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8FBE2">
      <w:pPr>
        <w:spacing w:line="360" w:lineRule="auto"/>
        <w:jc w:val="left"/>
        <w:rPr>
          <w:rFonts w:ascii="黑体" w:hAnsi="黑体" w:eastAsia="黑体" w:cs="Times New Roman"/>
          <w:sz w:val="32"/>
          <w:szCs w:val="32"/>
        </w:rPr>
      </w:pPr>
      <w:bookmarkStart w:id="0" w:name="_Toc324282218"/>
      <w:bookmarkStart w:id="1" w:name="_Toc323828595"/>
      <w:bookmarkStart w:id="2" w:name="_Toc324358037"/>
      <w:bookmarkStart w:id="3" w:name="_Toc360526200"/>
      <w:bookmarkStart w:id="4" w:name="_Toc323805351"/>
      <w:bookmarkStart w:id="5" w:name="_Toc324287510"/>
      <w:bookmarkStart w:id="6" w:name="_Toc324280183"/>
      <w:bookmarkStart w:id="7" w:name="_Toc360519920"/>
      <w:bookmarkStart w:id="8" w:name="_Toc323805559"/>
      <w:bookmarkStart w:id="9" w:name="_Toc323744094"/>
      <w:bookmarkStart w:id="10" w:name="OLE_LINK2"/>
      <w:r>
        <w:rPr>
          <w:rFonts w:ascii="Times New Roman" w:hAnsi="Times New Roman" w:eastAsia="黑体" w:cs="Times New Roman"/>
          <w:kern w:val="0"/>
          <w:sz w:val="32"/>
          <w:szCs w:val="32"/>
        </w:rPr>
        <w:drawing>
          <wp:anchor distT="0" distB="0" distL="0" distR="0" simplePos="0" relativeHeight="251666432" behindDoc="0" locked="0" layoutInCell="1" allowOverlap="1">
            <wp:simplePos x="0" y="0"/>
            <wp:positionH relativeFrom="column">
              <wp:posOffset>4147185</wp:posOffset>
            </wp:positionH>
            <wp:positionV relativeFrom="paragraph">
              <wp:posOffset>38735</wp:posOffset>
            </wp:positionV>
            <wp:extent cx="1506855" cy="904240"/>
            <wp:effectExtent l="0" t="0" r="1905" b="10160"/>
            <wp:wrapNone/>
            <wp:docPr id="1026" name="图片 1"/>
            <wp:cNvGraphicFramePr/>
            <a:graphic xmlns:a="http://schemas.openxmlformats.org/drawingml/2006/main">
              <a:graphicData uri="http://schemas.openxmlformats.org/drawingml/2006/picture">
                <pic:pic xmlns:pic="http://schemas.openxmlformats.org/drawingml/2006/picture">
                  <pic:nvPicPr>
                    <pic:cNvPr id="1026" name="图片 1"/>
                    <pic:cNvPicPr/>
                  </pic:nvPicPr>
                  <pic:blipFill>
                    <a:blip r:embed="rId18" cstate="print"/>
                    <a:srcRect/>
                    <a:stretch>
                      <a:fillRect/>
                    </a:stretch>
                  </pic:blipFill>
                  <pic:spPr>
                    <a:xfrm>
                      <a:off x="0" y="0"/>
                      <a:ext cx="1506854" cy="904240"/>
                    </a:xfrm>
                    <a:prstGeom prst="rect">
                      <a:avLst/>
                    </a:prstGeom>
                    <a:ln>
                      <a:noFill/>
                    </a:ln>
                  </pic:spPr>
                </pic:pic>
              </a:graphicData>
            </a:graphic>
          </wp:anchor>
        </w:drawing>
      </w:r>
      <w:r>
        <w:rPr>
          <w:rFonts w:ascii="Times New Roman" w:hAnsi="Times New Roman" w:eastAsia="黑体" w:cs="Times New Roman"/>
          <w:kern w:val="0"/>
          <w:sz w:val="32"/>
          <w:szCs w:val="32"/>
        </w:rPr>
        <w:t>UDC</w:t>
      </w:r>
      <w:bookmarkEnd w:id="0"/>
      <w:bookmarkEnd w:id="1"/>
      <w:bookmarkEnd w:id="2"/>
      <w:bookmarkEnd w:id="3"/>
      <w:bookmarkEnd w:id="4"/>
      <w:bookmarkEnd w:id="5"/>
      <w:bookmarkEnd w:id="6"/>
      <w:bookmarkEnd w:id="7"/>
      <w:bookmarkEnd w:id="8"/>
      <w:bookmarkEnd w:id="9"/>
      <w:r>
        <w:rPr>
          <w:rFonts w:ascii="黑体" w:hAnsi="黑体" w:eastAsia="黑体" w:cs="Times New Roman"/>
          <w:sz w:val="32"/>
          <w:szCs w:val="32"/>
        </w:rPr>
        <w:t xml:space="preserve"> </w:t>
      </w:r>
    </w:p>
    <w:p w14:paraId="38760A2F">
      <w:pPr>
        <w:autoSpaceDE w:val="0"/>
        <w:autoSpaceDN w:val="0"/>
        <w:adjustRightInd w:val="0"/>
        <w:snapToGrid w:val="0"/>
        <w:spacing w:line="360" w:lineRule="auto"/>
        <w:jc w:val="left"/>
        <w:rPr>
          <w:rFonts w:ascii="Times New Roman" w:hAnsi="Times New Roman" w:eastAsia="黑体_x0004_." w:cs="Times New Roman"/>
          <w:kern w:val="0"/>
          <w:sz w:val="21"/>
          <w:szCs w:val="21"/>
        </w:rPr>
      </w:pPr>
    </w:p>
    <w:p w14:paraId="3376682E">
      <w:pPr>
        <w:autoSpaceDE w:val="0"/>
        <w:autoSpaceDN w:val="0"/>
        <w:adjustRightInd w:val="0"/>
        <w:snapToGrid w:val="0"/>
        <w:spacing w:line="360" w:lineRule="auto"/>
        <w:jc w:val="left"/>
        <w:rPr>
          <w:rFonts w:ascii="Times New Roman" w:hAnsi="Times New Roman" w:eastAsia="黑体_x0004_." w:cs="Times New Roman"/>
          <w:kern w:val="0"/>
          <w:sz w:val="21"/>
          <w:szCs w:val="21"/>
        </w:rPr>
      </w:pPr>
    </w:p>
    <w:p w14:paraId="0C3FF928">
      <w:pPr>
        <w:snapToGrid w:val="0"/>
        <w:spacing w:line="360" w:lineRule="auto"/>
        <w:jc w:val="center"/>
        <w:rPr>
          <w:rFonts w:ascii="Times New Roman" w:hAnsi="Times New Roman" w:eastAsia="Sim Hei+ 2" w:cs="Times New Roman"/>
          <w:kern w:val="0"/>
          <w:sz w:val="32"/>
          <w:szCs w:val="32"/>
        </w:rPr>
      </w:pPr>
      <w:r>
        <w:rPr>
          <w:rFonts w:ascii="Times New Roman" w:hAnsi="Times New Roman" w:eastAsia="黑体" w:cs="Times New Roman"/>
          <w:sz w:val="32"/>
          <w:szCs w:val="32"/>
        </w:rPr>
        <w:t>中华人民共和国国家标准</w:t>
      </w:r>
    </w:p>
    <w:p w14:paraId="2BB95404">
      <w:pPr>
        <w:autoSpaceDE w:val="0"/>
        <w:autoSpaceDN w:val="0"/>
        <w:adjustRightInd w:val="0"/>
        <w:snapToGrid w:val="0"/>
        <w:spacing w:line="360" w:lineRule="auto"/>
        <w:jc w:val="left"/>
        <w:rPr>
          <w:rFonts w:ascii="Times New Roman" w:hAnsi="Times New Roman" w:eastAsia="黑体_x0004_." w:cs="Times New Roman"/>
          <w:kern w:val="0"/>
          <w:sz w:val="21"/>
          <w:szCs w:val="21"/>
        </w:rPr>
      </w:pPr>
    </w:p>
    <w:p w14:paraId="3FA37A9A">
      <w:pPr>
        <w:spacing w:line="360" w:lineRule="auto"/>
        <w:jc w:val="left"/>
        <w:rPr>
          <w:rFonts w:ascii="Times New Roman" w:hAnsi="Times New Roman" w:eastAsia="Sim Hei+ 2" w:cs="Times New Roman"/>
          <w:kern w:val="0"/>
          <w:szCs w:val="28"/>
        </w:rPr>
      </w:pPr>
      <w:bookmarkStart w:id="11" w:name="_Toc324287511"/>
      <w:bookmarkStart w:id="12" w:name="_Toc324280184"/>
      <w:bookmarkStart w:id="13" w:name="_Toc323828596"/>
      <w:bookmarkStart w:id="14" w:name="_Toc323744095"/>
      <w:bookmarkStart w:id="15" w:name="_Toc324282219"/>
      <w:bookmarkStart w:id="16" w:name="_Toc323805560"/>
      <w:bookmarkStart w:id="17" w:name="_Toc323805352"/>
      <w:bookmarkStart w:id="18" w:name="_Toc324358038"/>
      <w:r>
        <w:rPr>
          <w:rFonts w:ascii="Times New Roman" w:hAnsi="Times New Roman" w:eastAsia="黑体" w:cs="Times New Roman"/>
          <w:kern w:val="0"/>
          <w:sz w:val="32"/>
          <w:szCs w:val="32"/>
        </w:rPr>
        <w:t>P</w:t>
      </w:r>
      <w:bookmarkEnd w:id="11"/>
      <w:bookmarkEnd w:id="12"/>
      <w:bookmarkEnd w:id="13"/>
      <w:bookmarkEnd w:id="14"/>
      <w:bookmarkEnd w:id="15"/>
      <w:bookmarkEnd w:id="16"/>
      <w:bookmarkEnd w:id="17"/>
      <w:bookmarkEnd w:id="18"/>
      <w:r>
        <w:rPr>
          <w:rFonts w:ascii="Times New Roman" w:hAnsi="Times New Roman" w:eastAsia="黑体" w:cs="Times New Roman"/>
          <w:kern w:val="0"/>
          <w:sz w:val="32"/>
          <w:szCs w:val="32"/>
        </w:rPr>
        <w:t xml:space="preserve">                                      </w:t>
      </w:r>
      <w:bookmarkStart w:id="19" w:name="_Toc324282220"/>
      <w:bookmarkStart w:id="20" w:name="_Toc323744096"/>
      <w:bookmarkStart w:id="21" w:name="_Toc323828597"/>
      <w:bookmarkStart w:id="22" w:name="_Toc324358039"/>
      <w:bookmarkStart w:id="23" w:name="_Toc324280185"/>
      <w:bookmarkStart w:id="24" w:name="_Toc324287512"/>
      <w:bookmarkStart w:id="25" w:name="_Toc323805561"/>
      <w:bookmarkStart w:id="26" w:name="_Toc323805353"/>
      <w:r>
        <w:rPr>
          <w:rFonts w:ascii="Times New Roman" w:hAnsi="Times New Roman" w:eastAsia="黑体" w:cs="Times New Roman"/>
          <w:kern w:val="0"/>
          <w:szCs w:val="28"/>
        </w:rPr>
        <w:t>GB×××××--202×</w:t>
      </w:r>
      <w:bookmarkEnd w:id="19"/>
      <w:bookmarkEnd w:id="20"/>
      <w:bookmarkEnd w:id="21"/>
      <w:bookmarkEnd w:id="22"/>
      <w:bookmarkEnd w:id="23"/>
      <w:bookmarkEnd w:id="24"/>
      <w:bookmarkEnd w:id="25"/>
      <w:bookmarkEnd w:id="26"/>
    </w:p>
    <w:p w14:paraId="57969FFF">
      <w:pPr>
        <w:spacing w:line="360" w:lineRule="auto"/>
        <w:jc w:val="center"/>
        <w:rPr>
          <w:rFonts w:ascii="Times New Roman" w:hAnsi="Times New Roman" w:eastAsia="黑体" w:cs="Times New Roman"/>
          <w:sz w:val="44"/>
          <w:szCs w:val="44"/>
        </w:rPr>
      </w:pPr>
      <w:bookmarkStart w:id="27" w:name="_Toc302578429"/>
      <w:bookmarkStart w:id="28" w:name="_Toc302199596"/>
      <w:bookmarkStart w:id="29" w:name="_Toc302554755"/>
      <w:bookmarkStart w:id="30" w:name="_Toc293818554"/>
      <w:bookmarkStart w:id="31" w:name="_Toc303196961"/>
      <w:bookmarkStart w:id="32" w:name="_Toc293671975"/>
      <w:bookmarkStart w:id="33" w:name="_Toc302975473"/>
      <w:bookmarkStart w:id="34" w:name="_Toc303250440"/>
      <w:bookmarkStart w:id="35" w:name="_Toc303259589"/>
      <w:bookmarkStart w:id="36" w:name="_Toc293818115"/>
      <w:bookmarkStart w:id="37" w:name="_Toc302811760"/>
      <w:bookmarkStart w:id="38" w:name="_Toc304214146"/>
      <w:r>
        <w:rPr>
          <w:rFonts w:ascii="Times New Roman" w:hAnsi="Times New Roman" w:eastAsia="黑体" w:cs="Times New Roman"/>
          <w:b/>
          <w:kern w:val="0"/>
          <w:szCs w:val="28"/>
        </w:rPr>
        <mc:AlternateContent>
          <mc:Choice Requires="wps">
            <w:drawing>
              <wp:anchor distT="0" distB="0" distL="0" distR="0" simplePos="0" relativeHeight="251667456" behindDoc="0" locked="0" layoutInCell="1" allowOverlap="1">
                <wp:simplePos x="0" y="0"/>
                <wp:positionH relativeFrom="column">
                  <wp:posOffset>-39370</wp:posOffset>
                </wp:positionH>
                <wp:positionV relativeFrom="paragraph">
                  <wp:posOffset>36830</wp:posOffset>
                </wp:positionV>
                <wp:extent cx="5795010" cy="0"/>
                <wp:effectExtent l="0" t="9525" r="11430" b="13335"/>
                <wp:wrapNone/>
                <wp:docPr id="1027" name="直接箭头连接符 32"/>
                <wp:cNvGraphicFramePr/>
                <a:graphic xmlns:a="http://schemas.openxmlformats.org/drawingml/2006/main">
                  <a:graphicData uri="http://schemas.microsoft.com/office/word/2010/wordprocessingShape">
                    <wps:wsp>
                      <wps:cNvCnPr/>
                      <wps:spPr>
                        <a:xfrm>
                          <a:off x="0" y="0"/>
                          <a:ext cx="5795010" cy="0"/>
                        </a:xfrm>
                        <a:prstGeom prst="straightConnector1">
                          <a:avLst/>
                        </a:prstGeom>
                        <a:ln w="19050" cap="flat" cmpd="sng">
                          <a:solidFill>
                            <a:srgbClr val="000000"/>
                          </a:solidFill>
                          <a:prstDash val="solid"/>
                          <a:round/>
                          <a:headEnd type="none" w="med" len="med"/>
                          <a:tailEnd type="none" w="med" len="med"/>
                        </a:ln>
                      </wps:spPr>
                      <wps:bodyPr/>
                    </wps:wsp>
                  </a:graphicData>
                </a:graphic>
              </wp:anchor>
            </w:drawing>
          </mc:Choice>
          <mc:Fallback>
            <w:pict>
              <v:shape id="直接箭头连接符 32" o:spid="_x0000_s1026" o:spt="32" type="#_x0000_t32" style="position:absolute;left:0pt;margin-left:-3.1pt;margin-top:2.9pt;height:0pt;width:456.3pt;z-index:251667456;mso-width-relative:page;mso-height-relative:page;" filled="f" stroked="t" coordsize="21600,21600" o:gfxdata="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Lm8jSAAAABgEAAA8AAAAAAAAAAQAgAAAAIgAAAGRycy9kb3du&#10;cmV2LnhtbFBLAQIUABQAAAAIAIdO4kBOQIWyBQIAAPsDAAAOAAAAAAAAAAEAIAAAACEBAABkcnMv&#10;ZTJvRG9jLnhtbFBLBQYAAAAABgAGAFkBAACYBQAAAAA=&#10;">
                <v:fill on="f" focussize="0,0"/>
                <v:stroke weight="1.5pt" color="#000000" joinstyle="round"/>
                <v:imagedata o:title=""/>
                <o:lock v:ext="edit" aspectratio="f"/>
              </v:shape>
            </w:pict>
          </mc:Fallback>
        </mc:AlternateContent>
      </w:r>
    </w:p>
    <w:p w14:paraId="1D488EB9">
      <w:pPr>
        <w:spacing w:line="360" w:lineRule="auto"/>
        <w:jc w:val="center"/>
        <w:rPr>
          <w:rFonts w:ascii="Times New Roman" w:hAnsi="Times New Roman" w:eastAsia="黑体" w:cs="Times New Roman"/>
          <w:sz w:val="52"/>
          <w:szCs w:val="52"/>
        </w:rPr>
      </w:pPr>
      <w:r>
        <w:rPr>
          <w:rFonts w:ascii="Times New Roman" w:hAnsi="Times New Roman" w:eastAsia="黑体" w:cs="Times New Roman"/>
          <w:sz w:val="52"/>
          <w:szCs w:val="52"/>
        </w:rPr>
        <w:t>水土保持工程设计</w:t>
      </w:r>
      <w:bookmarkEnd w:id="27"/>
      <w:bookmarkEnd w:id="28"/>
      <w:bookmarkEnd w:id="29"/>
      <w:bookmarkEnd w:id="30"/>
      <w:bookmarkEnd w:id="31"/>
      <w:bookmarkEnd w:id="32"/>
      <w:bookmarkEnd w:id="33"/>
      <w:bookmarkEnd w:id="34"/>
      <w:bookmarkEnd w:id="35"/>
      <w:bookmarkEnd w:id="36"/>
      <w:bookmarkEnd w:id="37"/>
      <w:bookmarkEnd w:id="38"/>
      <w:r>
        <w:rPr>
          <w:rFonts w:ascii="Times New Roman" w:hAnsi="Times New Roman" w:eastAsia="黑体" w:cs="Times New Roman"/>
          <w:sz w:val="52"/>
          <w:szCs w:val="52"/>
        </w:rPr>
        <w:t>标准</w:t>
      </w:r>
    </w:p>
    <w:p w14:paraId="14D23D3A">
      <w:pPr>
        <w:spacing w:line="360" w:lineRule="auto"/>
        <w:jc w:val="center"/>
        <w:rPr>
          <w:rFonts w:ascii="Times New Roman" w:hAnsi="Times New Roman" w:eastAsia="黑体" w:cs="Times New Roman"/>
          <w:bCs/>
          <w:szCs w:val="28"/>
        </w:rPr>
      </w:pPr>
      <w:bookmarkStart w:id="39" w:name="_Toc293818116"/>
      <w:bookmarkStart w:id="40" w:name="_Toc303196962"/>
      <w:bookmarkStart w:id="41" w:name="_Toc302975474"/>
      <w:bookmarkStart w:id="42" w:name="_Toc302554756"/>
      <w:bookmarkStart w:id="43" w:name="_Toc303259590"/>
      <w:bookmarkStart w:id="44" w:name="_Toc304214147"/>
      <w:bookmarkStart w:id="45" w:name="_Toc293671976"/>
      <w:bookmarkStart w:id="46" w:name="_Toc293818555"/>
      <w:bookmarkStart w:id="47" w:name="_Toc302199597"/>
      <w:bookmarkStart w:id="48" w:name="_Toc302578430"/>
      <w:bookmarkStart w:id="49" w:name="_Toc302811761"/>
      <w:bookmarkStart w:id="50" w:name="_Toc303250441"/>
      <w:r>
        <w:rPr>
          <w:rFonts w:ascii="Times New Roman" w:hAnsi="Times New Roman" w:eastAsia="黑体" w:cs="Times New Roman"/>
          <w:bCs/>
          <w:szCs w:val="28"/>
        </w:rPr>
        <w:t>Code for design of soil and water conservation engineering</w:t>
      </w:r>
    </w:p>
    <w:p w14:paraId="52BE7518">
      <w:pPr>
        <w:spacing w:line="360" w:lineRule="auto"/>
        <w:jc w:val="center"/>
        <w:rPr>
          <w:rFonts w:ascii="楷体" w:hAnsi="楷体" w:eastAsia="楷体" w:cs="Times New Roman"/>
          <w:bCs/>
          <w:szCs w:val="28"/>
        </w:rPr>
      </w:pPr>
      <w:r>
        <w:rPr>
          <w:rFonts w:hint="eastAsia" w:ascii="楷体" w:hAnsi="楷体" w:eastAsia="楷体" w:cs="Times New Roman"/>
          <w:sz w:val="40"/>
          <w:szCs w:val="32"/>
        </w:rPr>
        <w:t>（征求意见稿）</w:t>
      </w:r>
    </w:p>
    <w:bookmarkEnd w:id="39"/>
    <w:bookmarkEnd w:id="40"/>
    <w:bookmarkEnd w:id="41"/>
    <w:bookmarkEnd w:id="42"/>
    <w:bookmarkEnd w:id="43"/>
    <w:bookmarkEnd w:id="44"/>
    <w:bookmarkEnd w:id="45"/>
    <w:bookmarkEnd w:id="46"/>
    <w:bookmarkEnd w:id="47"/>
    <w:bookmarkEnd w:id="48"/>
    <w:bookmarkEnd w:id="49"/>
    <w:bookmarkEnd w:id="50"/>
    <w:p w14:paraId="453E04F5">
      <w:pPr>
        <w:snapToGrid w:val="0"/>
        <w:spacing w:line="360" w:lineRule="auto"/>
        <w:jc w:val="left"/>
        <w:rPr>
          <w:rFonts w:ascii="Times New Roman" w:hAnsi="Times New Roman" w:cs="Times New Roman"/>
          <w:sz w:val="32"/>
          <w:szCs w:val="30"/>
        </w:rPr>
      </w:pPr>
    </w:p>
    <w:p w14:paraId="39E13299">
      <w:pPr>
        <w:snapToGrid w:val="0"/>
        <w:spacing w:line="360" w:lineRule="auto"/>
        <w:jc w:val="left"/>
        <w:rPr>
          <w:rFonts w:ascii="Times New Roman" w:hAnsi="Times New Roman" w:cs="Times New Roman"/>
          <w:sz w:val="32"/>
          <w:szCs w:val="30"/>
        </w:rPr>
      </w:pPr>
    </w:p>
    <w:p w14:paraId="5C58EFA7">
      <w:pPr>
        <w:snapToGrid w:val="0"/>
        <w:spacing w:line="360" w:lineRule="auto"/>
        <w:jc w:val="left"/>
        <w:rPr>
          <w:rFonts w:ascii="Times New Roman" w:hAnsi="Times New Roman" w:cs="Times New Roman"/>
          <w:sz w:val="32"/>
          <w:szCs w:val="30"/>
        </w:rPr>
      </w:pPr>
    </w:p>
    <w:p w14:paraId="1A824F64">
      <w:pPr>
        <w:snapToGrid w:val="0"/>
        <w:spacing w:line="360" w:lineRule="auto"/>
        <w:jc w:val="left"/>
        <w:rPr>
          <w:rFonts w:ascii="Times New Roman" w:hAnsi="Times New Roman" w:cs="Times New Roman"/>
          <w:sz w:val="32"/>
          <w:szCs w:val="30"/>
        </w:rPr>
      </w:pPr>
    </w:p>
    <w:p w14:paraId="2F26C8B3">
      <w:pPr>
        <w:snapToGrid w:val="0"/>
        <w:spacing w:line="360" w:lineRule="auto"/>
        <w:jc w:val="left"/>
        <w:rPr>
          <w:rFonts w:ascii="Times New Roman" w:hAnsi="Times New Roman" w:cs="Times New Roman"/>
          <w:sz w:val="32"/>
          <w:szCs w:val="30"/>
        </w:rPr>
      </w:pPr>
    </w:p>
    <w:p w14:paraId="17FDB818">
      <w:pPr>
        <w:snapToGrid w:val="0"/>
        <w:spacing w:line="360" w:lineRule="auto"/>
        <w:jc w:val="left"/>
        <w:rPr>
          <w:rFonts w:ascii="Times New Roman" w:hAnsi="Times New Roman" w:cs="Times New Roman"/>
          <w:sz w:val="32"/>
          <w:szCs w:val="30"/>
        </w:rPr>
      </w:pPr>
    </w:p>
    <w:p w14:paraId="1768CB83">
      <w:pPr>
        <w:snapToGrid w:val="0"/>
        <w:spacing w:line="360" w:lineRule="auto"/>
        <w:jc w:val="left"/>
        <w:rPr>
          <w:rFonts w:ascii="Times New Roman" w:hAnsi="Times New Roman" w:cs="Times New Roman"/>
          <w:sz w:val="32"/>
          <w:szCs w:val="30"/>
        </w:rPr>
      </w:pPr>
    </w:p>
    <w:p w14:paraId="57DDBF4E">
      <w:pPr>
        <w:snapToGrid w:val="0"/>
        <w:spacing w:line="360" w:lineRule="auto"/>
        <w:jc w:val="left"/>
        <w:rPr>
          <w:rFonts w:ascii="Times New Roman" w:hAnsi="Times New Roman" w:cs="Times New Roman"/>
          <w:sz w:val="32"/>
          <w:szCs w:val="30"/>
        </w:rPr>
      </w:pPr>
    </w:p>
    <w:p w14:paraId="0D5E5D2B">
      <w:pPr>
        <w:snapToGrid w:val="0"/>
        <w:spacing w:line="360" w:lineRule="auto"/>
        <w:jc w:val="left"/>
        <w:rPr>
          <w:rFonts w:ascii="Times New Roman" w:hAnsi="Times New Roman" w:cs="Times New Roman"/>
          <w:sz w:val="32"/>
          <w:szCs w:val="30"/>
        </w:rPr>
      </w:pPr>
    </w:p>
    <w:p w14:paraId="2BB5B276">
      <w:pPr>
        <w:spacing w:line="360" w:lineRule="auto"/>
        <w:jc w:val="left"/>
        <w:rPr>
          <w:rFonts w:ascii="Times New Roman" w:hAnsi="Times New Roman" w:eastAsia="黑体" w:cs="Times New Roman"/>
          <w:szCs w:val="28"/>
        </w:rPr>
      </w:pPr>
      <w:r>
        <w:rPr>
          <w:rFonts w:ascii="Times New Roman" w:hAnsi="Times New Roman" w:eastAsia="黑体" w:cs="Times New Roman"/>
          <w:b/>
          <w:sz w:val="32"/>
          <w:szCs w:val="32"/>
        </w:rPr>
        <mc:AlternateContent>
          <mc:Choice Requires="wps">
            <w:drawing>
              <wp:anchor distT="0" distB="0" distL="0" distR="0" simplePos="0" relativeHeight="251668480" behindDoc="0" locked="0" layoutInCell="1" allowOverlap="1">
                <wp:simplePos x="0" y="0"/>
                <wp:positionH relativeFrom="column">
                  <wp:posOffset>-39370</wp:posOffset>
                </wp:positionH>
                <wp:positionV relativeFrom="paragraph">
                  <wp:posOffset>373380</wp:posOffset>
                </wp:positionV>
                <wp:extent cx="5739765" cy="0"/>
                <wp:effectExtent l="0" t="7620" r="5715" b="15240"/>
                <wp:wrapNone/>
                <wp:docPr id="1028" name="直接连接符 33"/>
                <wp:cNvGraphicFramePr/>
                <a:graphic xmlns:a="http://schemas.openxmlformats.org/drawingml/2006/main">
                  <a:graphicData uri="http://schemas.microsoft.com/office/word/2010/wordprocessingShape">
                    <wps:wsp>
                      <wps:cNvCnPr/>
                      <wps:spPr>
                        <a:xfrm>
                          <a:off x="0" y="0"/>
                          <a:ext cx="5739765" cy="0"/>
                        </a:xfrm>
                        <a:prstGeom prst="line">
                          <a:avLst/>
                        </a:prstGeom>
                        <a:ln w="15875" cap="flat" cmpd="sng">
                          <a:solidFill>
                            <a:srgbClr val="000000"/>
                          </a:solidFill>
                          <a:prstDash val="solid"/>
                          <a:round/>
                          <a:headEnd type="none" w="med" len="med"/>
                          <a:tailEnd type="none" w="med" len="med"/>
                        </a:ln>
                      </wps:spPr>
                      <wps:bodyPr/>
                    </wps:wsp>
                  </a:graphicData>
                </a:graphic>
              </wp:anchor>
            </w:drawing>
          </mc:Choice>
          <mc:Fallback>
            <w:pict>
              <v:line id="直接连接符 33" o:spid="_x0000_s1026" o:spt="20" style="position:absolute;left:0pt;margin-left:-3.1pt;margin-top:29.4pt;height:0pt;width:451.95pt;z-index:251668480;mso-width-relative:page;mso-height-relative:page;" filled="f" stroked="t" coordsize="21600,21600" o:gfxdata="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T5Vjl1wAAAAgBAAAPAAAAAAAAAAEAIAAAACIAAABkcnMvZG93bnJldi54bWxQSwEC&#10;FAAUAAAACACHTuJAlo+NYvUBAADnAwAADgAAAAAAAAABACAAAAAmAQAAZHJzL2Uyb0RvYy54bWxQ&#10;SwUGAAAAAAYABgBZAQAAjQUAAAAA&#10;">
                <v:fill on="f" focussize="0,0"/>
                <v:stroke weight="1.25pt" color="#000000" joinstyle="round"/>
                <v:imagedata o:title=""/>
                <o:lock v:ext="edit" aspectratio="f"/>
              </v:line>
            </w:pict>
          </mc:Fallback>
        </mc:AlternateContent>
      </w:r>
      <w:r>
        <w:rPr>
          <w:rFonts w:ascii="Times New Roman" w:hAnsi="Times New Roman" w:eastAsia="黑体" w:cs="Times New Roman"/>
          <w:szCs w:val="28"/>
        </w:rPr>
        <w:t>202×－××－××发布                     202×－××－××实施</w:t>
      </w:r>
    </w:p>
    <w:p w14:paraId="0C66EE56">
      <w:pPr>
        <w:autoSpaceDE w:val="0"/>
        <w:autoSpaceDN w:val="0"/>
        <w:adjustRightInd w:val="0"/>
        <w:jc w:val="center"/>
        <w:rPr>
          <w:rFonts w:ascii="Times New Roman" w:hAnsi="Times New Roman" w:eastAsia="黑体" w:cs="Times New Roman"/>
          <w:sz w:val="32"/>
          <w:szCs w:val="30"/>
        </w:rPr>
      </w:pPr>
    </w:p>
    <w:tbl>
      <w:tblPr>
        <w:tblStyle w:val="10"/>
        <w:tblpPr w:leftFromText="180" w:rightFromText="180" w:vertAnchor="text" w:horzAnchor="margin" w:tblpXSpec="center" w:tblpY="74"/>
        <w:tblW w:w="0" w:type="auto"/>
        <w:tblInd w:w="0" w:type="dxa"/>
        <w:tblLayout w:type="autofit"/>
        <w:tblCellMar>
          <w:top w:w="0" w:type="dxa"/>
          <w:left w:w="108" w:type="dxa"/>
          <w:bottom w:w="0" w:type="dxa"/>
          <w:right w:w="108" w:type="dxa"/>
        </w:tblCellMar>
      </w:tblPr>
      <w:tblGrid>
        <w:gridCol w:w="6440"/>
        <w:gridCol w:w="1685"/>
      </w:tblGrid>
      <w:tr w14:paraId="47D06538">
        <w:tblPrEx>
          <w:tblCellMar>
            <w:top w:w="0" w:type="dxa"/>
            <w:left w:w="108" w:type="dxa"/>
            <w:bottom w:w="0" w:type="dxa"/>
            <w:right w:w="108" w:type="dxa"/>
          </w:tblCellMar>
        </w:tblPrEx>
        <w:tc>
          <w:tcPr>
            <w:tcW w:w="6440" w:type="dxa"/>
          </w:tcPr>
          <w:p w14:paraId="3DC5483B">
            <w:pPr>
              <w:spacing w:before="100" w:beforeAutospacing="1" w:after="100" w:afterAutospacing="1" w:line="480" w:lineRule="exact"/>
              <w:rPr>
                <w:rFonts w:ascii="Times New Roman" w:hAnsi="Times New Roman" w:eastAsia="黑体" w:cs="Times New Roman"/>
                <w:bCs/>
                <w:spacing w:val="46"/>
                <w:sz w:val="32"/>
                <w:szCs w:val="32"/>
              </w:rPr>
            </w:pPr>
            <w:r>
              <w:rPr>
                <w:rFonts w:ascii="Times New Roman" w:hAnsi="Times New Roman" w:eastAsia="黑体" w:cs="Times New Roman"/>
                <w:bCs/>
                <w:spacing w:val="46"/>
                <w:kern w:val="15"/>
                <w:sz w:val="32"/>
                <w:szCs w:val="32"/>
              </w:rPr>
              <w:t>中华人民共和国住房和城乡建设部</w:t>
            </w:r>
          </w:p>
        </w:tc>
        <w:tc>
          <w:tcPr>
            <w:tcW w:w="1685" w:type="dxa"/>
            <w:vMerge w:val="restart"/>
            <w:vAlign w:val="center"/>
          </w:tcPr>
          <w:p w14:paraId="02A42DEB">
            <w:pPr>
              <w:spacing w:before="100" w:beforeAutospacing="1" w:after="100" w:afterAutospacing="1" w:line="480" w:lineRule="exact"/>
              <w:jc w:val="center"/>
              <w:rPr>
                <w:rFonts w:ascii="Times New Roman" w:hAnsi="Times New Roman" w:eastAsia="黑体" w:cs="Times New Roman"/>
                <w:bCs/>
                <w:sz w:val="32"/>
                <w:szCs w:val="32"/>
              </w:rPr>
            </w:pPr>
            <w:r>
              <w:rPr>
                <w:rFonts w:ascii="Times New Roman" w:hAnsi="Times New Roman" w:eastAsia="黑体" w:cs="Times New Roman"/>
                <w:bCs/>
                <w:sz w:val="32"/>
                <w:szCs w:val="32"/>
              </w:rPr>
              <w:t>联合发布</w:t>
            </w:r>
          </w:p>
        </w:tc>
      </w:tr>
      <w:tr w14:paraId="1C59280E">
        <w:tblPrEx>
          <w:tblCellMar>
            <w:top w:w="0" w:type="dxa"/>
            <w:left w:w="108" w:type="dxa"/>
            <w:bottom w:w="0" w:type="dxa"/>
            <w:right w:w="108" w:type="dxa"/>
          </w:tblCellMar>
        </w:tblPrEx>
        <w:tc>
          <w:tcPr>
            <w:tcW w:w="6440" w:type="dxa"/>
          </w:tcPr>
          <w:p w14:paraId="2BD5C43A">
            <w:pPr>
              <w:spacing w:before="100" w:beforeAutospacing="1" w:after="100" w:afterAutospacing="1" w:line="480" w:lineRule="exact"/>
              <w:rPr>
                <w:rFonts w:ascii="Times New Roman" w:hAnsi="Times New Roman" w:eastAsia="黑体" w:cs="Times New Roman"/>
                <w:bCs/>
                <w:spacing w:val="-30"/>
                <w:kern w:val="15"/>
                <w:sz w:val="32"/>
                <w:szCs w:val="32"/>
              </w:rPr>
            </w:pPr>
            <w:r>
              <w:rPr>
                <w:rFonts w:ascii="Times New Roman" w:hAnsi="Times New Roman" w:eastAsia="黑体" w:cs="Times New Roman"/>
                <w:bCs/>
                <w:spacing w:val="163"/>
                <w:kern w:val="0"/>
                <w:sz w:val="32"/>
                <w:szCs w:val="32"/>
                <w:fitText w:val="6138" w:id="2037871270"/>
              </w:rPr>
              <w:t>国家市场监督管理总</w:t>
            </w:r>
            <w:r>
              <w:rPr>
                <w:rFonts w:ascii="Times New Roman" w:hAnsi="Times New Roman" w:eastAsia="黑体" w:cs="Times New Roman"/>
                <w:bCs/>
                <w:spacing w:val="2"/>
                <w:kern w:val="0"/>
                <w:sz w:val="32"/>
                <w:szCs w:val="32"/>
                <w:fitText w:val="6138" w:id="2037871270"/>
              </w:rPr>
              <w:t>局</w:t>
            </w:r>
          </w:p>
        </w:tc>
        <w:tc>
          <w:tcPr>
            <w:tcW w:w="1685" w:type="dxa"/>
            <w:vMerge w:val="continue"/>
          </w:tcPr>
          <w:p w14:paraId="7F2464F2">
            <w:pPr>
              <w:spacing w:before="100" w:beforeAutospacing="1" w:after="100" w:afterAutospacing="1" w:line="480" w:lineRule="exact"/>
              <w:rPr>
                <w:rFonts w:ascii="Times New Roman" w:hAnsi="Times New Roman" w:eastAsia="黑体" w:cs="Times New Roman"/>
                <w:bCs/>
                <w:sz w:val="36"/>
              </w:rPr>
            </w:pPr>
          </w:p>
        </w:tc>
      </w:tr>
    </w:tbl>
    <w:p w14:paraId="78439435">
      <w:pPr>
        <w:autoSpaceDE w:val="0"/>
        <w:autoSpaceDN w:val="0"/>
        <w:adjustRightInd w:val="0"/>
        <w:jc w:val="center"/>
        <w:rPr>
          <w:rFonts w:ascii="Times New Roman" w:hAnsi="Times New Roman" w:eastAsia="黑体" w:cs="Times New Roman"/>
          <w:sz w:val="32"/>
          <w:szCs w:val="30"/>
        </w:rPr>
        <w:sectPr>
          <w:headerReference r:id="rId4" w:type="first"/>
          <w:headerReference r:id="rId3" w:type="default"/>
          <w:footerReference r:id="rId5" w:type="default"/>
          <w:footerReference r:id="rId6" w:type="even"/>
          <w:pgSz w:w="11906" w:h="16838"/>
          <w:pgMar w:top="1418" w:right="1418" w:bottom="1418" w:left="1418" w:header="851" w:footer="992" w:gutter="0"/>
          <w:pgNumType w:start="0"/>
          <w:cols w:space="720" w:num="1"/>
          <w:titlePg/>
          <w:docGrid w:type="linesAndChars" w:linePitch="466" w:charSpace="0"/>
        </w:sectPr>
      </w:pPr>
    </w:p>
    <w:p w14:paraId="2DAE8798">
      <w:pPr>
        <w:jc w:val="center"/>
        <w:rPr>
          <w:rFonts w:ascii="黑体" w:hAnsi="宋体" w:eastAsia="黑体" w:cs="Times New Roman"/>
          <w:szCs w:val="28"/>
        </w:rPr>
      </w:pPr>
      <w:r>
        <w:rPr>
          <w:rFonts w:hint="eastAsia" w:ascii="黑体" w:hAnsi="宋体" w:eastAsia="黑体" w:cs="Times New Roman"/>
          <w:szCs w:val="28"/>
        </w:rPr>
        <w:t>前    言</w:t>
      </w:r>
    </w:p>
    <w:p w14:paraId="61490330">
      <w:pPr>
        <w:spacing w:line="360" w:lineRule="auto"/>
        <w:ind w:firstLine="420" w:firstLineChars="200"/>
        <w:rPr>
          <w:rFonts w:ascii="宋体" w:hAnsi="宋体" w:cs="Times New Roman"/>
          <w:sz w:val="21"/>
          <w:szCs w:val="21"/>
        </w:rPr>
      </w:pPr>
      <w:r>
        <w:rPr>
          <w:rFonts w:hint="eastAsia" w:ascii="宋体" w:hAnsi="宋体" w:cs="Times New Roman"/>
          <w:sz w:val="21"/>
          <w:szCs w:val="21"/>
        </w:rPr>
        <w:t>根据住房城乡建设部《关于印发&lt;2025年工程建设规范标准编制及相关工作计划&gt;的通知》（建标函〔2025〕18号）的要求，标准编制组经广泛调查研究，认真总结实践经验，参考有关国际标准和国外先进标准，并在广泛征求意见的基础上，编制了本标准。</w:t>
      </w:r>
    </w:p>
    <w:p w14:paraId="4102F8E3">
      <w:pPr>
        <w:spacing w:line="360" w:lineRule="auto"/>
        <w:ind w:firstLine="420" w:firstLineChars="200"/>
        <w:rPr>
          <w:rFonts w:ascii="宋体" w:hAnsi="宋体" w:cs="Times New Roman"/>
          <w:sz w:val="21"/>
          <w:szCs w:val="21"/>
        </w:rPr>
      </w:pPr>
      <w:r>
        <w:rPr>
          <w:rFonts w:hint="eastAsia" w:ascii="宋体" w:hAnsi="宋体" w:cs="Times New Roman"/>
          <w:sz w:val="21"/>
          <w:szCs w:val="21"/>
        </w:rPr>
        <w:t>本标准主要技术内容：总则，术语，基本规定，水土流失综合治理工程和生产建设项目水土保持工程等。</w:t>
      </w:r>
    </w:p>
    <w:p w14:paraId="57E988BE">
      <w:pPr>
        <w:spacing w:line="360" w:lineRule="auto"/>
        <w:ind w:firstLine="420" w:firstLineChars="200"/>
        <w:rPr>
          <w:rFonts w:ascii="宋体" w:hAnsi="宋体" w:cs="Times New Roman"/>
          <w:sz w:val="21"/>
          <w:szCs w:val="21"/>
        </w:rPr>
      </w:pPr>
      <w:r>
        <w:rPr>
          <w:rFonts w:hint="eastAsia" w:ascii="宋体" w:hAnsi="宋体" w:cs="Times New Roman"/>
          <w:sz w:val="21"/>
          <w:szCs w:val="21"/>
        </w:rPr>
        <w:t>本标准修订的主要技术内容：</w:t>
      </w:r>
    </w:p>
    <w:p w14:paraId="4036F9D1">
      <w:pPr>
        <w:spacing w:line="360" w:lineRule="auto"/>
        <w:ind w:firstLine="420" w:firstLineChars="200"/>
        <w:rPr>
          <w:rFonts w:ascii="宋体" w:hAnsi="宋体" w:cs="Times New Roman"/>
          <w:sz w:val="21"/>
          <w:szCs w:val="21"/>
        </w:rPr>
      </w:pPr>
      <w:r>
        <w:rPr>
          <w:rFonts w:hint="eastAsia" w:ascii="宋体" w:hAnsi="宋体" w:cs="Times New Roman"/>
          <w:sz w:val="21"/>
          <w:szCs w:val="21"/>
        </w:rPr>
        <w:t>1.将标准适用范围调整为“水土流失综合治理工程和生产建设项目水土保持工程设计”，按照水土流失综合治理工程、生产建设项目水土保持工程两大类工程设计进行修订。</w:t>
      </w:r>
    </w:p>
    <w:p w14:paraId="7202F0DB">
      <w:pPr>
        <w:spacing w:line="360" w:lineRule="auto"/>
        <w:ind w:firstLine="420" w:firstLineChars="200"/>
        <w:rPr>
          <w:rFonts w:ascii="宋体" w:hAnsi="宋体" w:cs="Times New Roman"/>
          <w:sz w:val="21"/>
          <w:szCs w:val="21"/>
        </w:rPr>
      </w:pPr>
      <w:r>
        <w:rPr>
          <w:rFonts w:hint="eastAsia" w:ascii="宋体" w:hAnsi="宋体" w:cs="Times New Roman"/>
          <w:sz w:val="21"/>
          <w:szCs w:val="21"/>
        </w:rPr>
        <w:t>2.优化调整梯田工程、淤地坝工程及建筑物、拦沙坝工程等工程级别划分和设计标准，以及布置、组成、结构等设计要求；规范淤地坝和拦沙坝抗滑稳定安全系数计算工况及标准值；完善梯田工程、生态护岸、谷坊等工程设计原则、范围和要求。</w:t>
      </w:r>
    </w:p>
    <w:p w14:paraId="10F1CD76">
      <w:pPr>
        <w:spacing w:line="360" w:lineRule="auto"/>
        <w:ind w:firstLine="420" w:firstLineChars="200"/>
        <w:rPr>
          <w:rFonts w:ascii="宋体" w:hAnsi="宋体" w:cs="Times New Roman"/>
          <w:sz w:val="21"/>
          <w:szCs w:val="21"/>
        </w:rPr>
      </w:pPr>
      <w:r>
        <w:rPr>
          <w:rFonts w:hint="eastAsia" w:ascii="宋体" w:hAnsi="宋体" w:cs="Times New Roman"/>
          <w:sz w:val="21"/>
          <w:szCs w:val="21"/>
        </w:rPr>
        <w:t>3.将生产建设项目水土保持工程设计部分按照工程级别与设计标准、弃渣场设计、表土保护工程、拦渣工程、防洪排导工程、边坡防护工程、降水蓄渗工程、土地整治工程、固沙工程、植被恢复与建设工程、临时防护工程等设置章节，并按章节提出各类工程的设计要求和有关规定。</w:t>
      </w:r>
    </w:p>
    <w:p w14:paraId="1FCEF95A">
      <w:pPr>
        <w:spacing w:line="360" w:lineRule="auto"/>
        <w:ind w:firstLine="420" w:firstLineChars="200"/>
        <w:rPr>
          <w:rFonts w:ascii="宋体" w:hAnsi="宋体" w:cs="Times New Roman"/>
          <w:sz w:val="21"/>
          <w:szCs w:val="21"/>
        </w:rPr>
      </w:pPr>
      <w:r>
        <w:rPr>
          <w:rFonts w:hint="eastAsia" w:ascii="宋体" w:hAnsi="宋体" w:cs="Times New Roman"/>
          <w:sz w:val="21"/>
          <w:szCs w:val="21"/>
        </w:rPr>
        <w:t>4.新增弃渣场永久性截排水、临时排洪标准、临时堆渣场排洪标准、软弱地基弃渣场底部第一台阶最大堆高计算方法和弃渣场安全保护范围等内容和要求。</w:t>
      </w:r>
    </w:p>
    <w:p w14:paraId="5F5A561B">
      <w:pPr>
        <w:spacing w:line="360" w:lineRule="auto"/>
        <w:ind w:firstLine="420" w:firstLineChars="200"/>
        <w:rPr>
          <w:rFonts w:ascii="宋体" w:hAnsi="宋体" w:cs="Times New Roman"/>
          <w:sz w:val="21"/>
          <w:szCs w:val="21"/>
        </w:rPr>
      </w:pPr>
      <w:r>
        <w:rPr>
          <w:rFonts w:hint="eastAsia" w:ascii="宋体" w:hAnsi="宋体" w:cs="Times New Roman"/>
          <w:sz w:val="21"/>
          <w:szCs w:val="21"/>
        </w:rPr>
        <w:t>5.调整输气、输油、输变电工程的植被恢复与建设工程级别，增加光伏、风力发电工程植被恢复与建设工程级别。</w:t>
      </w:r>
    </w:p>
    <w:p w14:paraId="2925293C">
      <w:pPr>
        <w:spacing w:line="360" w:lineRule="auto"/>
        <w:ind w:firstLine="420" w:firstLineChars="200"/>
        <w:rPr>
          <w:rFonts w:ascii="宋体" w:hAnsi="宋体" w:cs="Times New Roman"/>
          <w:sz w:val="21"/>
          <w:szCs w:val="21"/>
        </w:rPr>
      </w:pPr>
      <w:r>
        <w:rPr>
          <w:rFonts w:hint="eastAsia" w:ascii="宋体" w:hAnsi="宋体" w:cs="Times New Roman"/>
          <w:sz w:val="21"/>
          <w:szCs w:val="21"/>
        </w:rPr>
        <w:t>6.附录C新增景观绿化主要树（草）种表。</w:t>
      </w:r>
    </w:p>
    <w:p w14:paraId="06BFF6C0">
      <w:pPr>
        <w:spacing w:line="360" w:lineRule="auto"/>
        <w:ind w:firstLine="420" w:firstLineChars="200"/>
        <w:rPr>
          <w:rFonts w:ascii="宋体" w:hAnsi="宋体" w:cs="Times New Roman"/>
          <w:sz w:val="21"/>
          <w:szCs w:val="21"/>
        </w:rPr>
      </w:pPr>
      <w:r>
        <w:rPr>
          <w:rFonts w:hint="eastAsia" w:ascii="宋体" w:hAnsi="宋体" w:cs="Times New Roman"/>
          <w:sz w:val="21"/>
          <w:szCs w:val="21"/>
        </w:rPr>
        <w:t>本标准由住房城乡建设部负责管理。</w:t>
      </w:r>
    </w:p>
    <w:p w14:paraId="55CD432E">
      <w:pPr>
        <w:spacing w:line="360" w:lineRule="auto"/>
        <w:ind w:firstLine="420" w:firstLineChars="200"/>
        <w:rPr>
          <w:rFonts w:ascii="宋体" w:hAnsi="宋体" w:cs="Times New Roman"/>
          <w:sz w:val="21"/>
          <w:szCs w:val="21"/>
        </w:rPr>
      </w:pPr>
      <w:r>
        <w:rPr>
          <w:rFonts w:hint="eastAsia" w:ascii="宋体" w:hAnsi="宋体" w:cs="Times New Roman"/>
          <w:sz w:val="21"/>
          <w:szCs w:val="21"/>
        </w:rPr>
        <w:t>本标准起草单位、起草人员和审查人员：</w:t>
      </w:r>
    </w:p>
    <w:p w14:paraId="309A92A3">
      <w:pPr>
        <w:spacing w:line="360" w:lineRule="auto"/>
        <w:ind w:firstLine="420" w:firstLineChars="200"/>
        <w:rPr>
          <w:rFonts w:ascii="宋体" w:hAnsi="宋体" w:cs="Times New Roman"/>
          <w:sz w:val="21"/>
          <w:szCs w:val="21"/>
        </w:rPr>
      </w:pPr>
      <w:r>
        <w:rPr>
          <w:rFonts w:hint="eastAsia" w:ascii="黑体" w:hAnsi="黑体" w:eastAsia="黑体" w:cs="Times New Roman"/>
          <w:sz w:val="21"/>
          <w:szCs w:val="21"/>
        </w:rPr>
        <w:t>起草单位：</w:t>
      </w:r>
      <w:r>
        <w:rPr>
          <w:rFonts w:hint="eastAsia" w:ascii="宋体" w:hAnsi="宋体" w:cs="Times New Roman"/>
          <w:sz w:val="21"/>
          <w:szCs w:val="21"/>
        </w:rPr>
        <w:t>水利部水利水电规划设计总院</w:t>
      </w:r>
    </w:p>
    <w:p w14:paraId="6B6CCF6D">
      <w:pPr>
        <w:spacing w:line="360" w:lineRule="auto"/>
        <w:ind w:firstLine="420" w:firstLineChars="200"/>
        <w:rPr>
          <w:rFonts w:asciiTheme="minorEastAsia" w:hAnsiTheme="minorEastAsia" w:eastAsiaTheme="minorEastAsia" w:cstheme="minorEastAsia"/>
          <w:sz w:val="21"/>
          <w:szCs w:val="21"/>
        </w:rPr>
      </w:pPr>
      <w:r>
        <w:rPr>
          <w:rFonts w:hint="eastAsia" w:ascii="黑体" w:hAnsi="黑体" w:eastAsia="黑体" w:cs="Times New Roman"/>
          <w:sz w:val="21"/>
          <w:szCs w:val="21"/>
        </w:rPr>
        <w:t xml:space="preserve"> </w:t>
      </w:r>
      <w:r>
        <w:rPr>
          <w:rFonts w:ascii="黑体" w:hAnsi="黑体" w:eastAsia="黑体" w:cs="Times New Roman"/>
          <w:sz w:val="21"/>
          <w:szCs w:val="21"/>
        </w:rPr>
        <w:t xml:space="preserve">   </w:t>
      </w:r>
      <w:r>
        <w:rPr>
          <w:rFonts w:hint="eastAsia" w:asciiTheme="minorEastAsia" w:hAnsiTheme="minorEastAsia" w:eastAsiaTheme="minorEastAsia" w:cstheme="minorEastAsia"/>
          <w:sz w:val="21"/>
          <w:szCs w:val="21"/>
        </w:rPr>
        <w:t>黄河勘测规划设计研究院有限公司</w:t>
      </w:r>
    </w:p>
    <w:p w14:paraId="6921B6F4">
      <w:pPr>
        <w:spacing w:line="360" w:lineRule="auto"/>
        <w:ind w:firstLine="1470" w:firstLineChars="7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长江勘测规划设计研究有限责任公司</w:t>
      </w:r>
    </w:p>
    <w:p w14:paraId="44E3FD4C">
      <w:pPr>
        <w:spacing w:line="360" w:lineRule="auto"/>
        <w:ind w:firstLine="1470" w:firstLineChars="7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中国电建集团华东勘测设计研究院有限公司</w:t>
      </w:r>
    </w:p>
    <w:p w14:paraId="08291B96">
      <w:pPr>
        <w:spacing w:line="360" w:lineRule="auto"/>
        <w:ind w:firstLine="1470" w:firstLineChars="7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贵州省水利水电勘测设计研究院有限公司</w:t>
      </w:r>
    </w:p>
    <w:p w14:paraId="33B93085">
      <w:pPr>
        <w:spacing w:line="360" w:lineRule="auto"/>
        <w:ind w:firstLine="1470" w:firstLineChars="7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中国电建集团成都勘测设计研究院有限公司</w:t>
      </w:r>
    </w:p>
    <w:p w14:paraId="640DE090">
      <w:pPr>
        <w:spacing w:line="360" w:lineRule="auto"/>
        <w:ind w:firstLine="1470" w:firstLineChars="7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西安黄河规划设计有限公司</w:t>
      </w:r>
    </w:p>
    <w:p w14:paraId="1F483C61">
      <w:pPr>
        <w:spacing w:line="360" w:lineRule="auto"/>
        <w:ind w:firstLine="1470" w:firstLineChars="7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广东省水利电力勘测设计研究院有限公司</w:t>
      </w:r>
    </w:p>
    <w:p w14:paraId="6863573A">
      <w:pPr>
        <w:spacing w:line="360" w:lineRule="auto"/>
        <w:ind w:firstLine="1470" w:firstLineChars="7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辽宁省水利水电勘测设计研究院有限责任公司</w:t>
      </w:r>
    </w:p>
    <w:p w14:paraId="465D9D8F">
      <w:pPr>
        <w:spacing w:line="360" w:lineRule="auto"/>
        <w:ind w:firstLine="1470" w:firstLineChars="7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中水珠江规划勘测设计有限公司</w:t>
      </w:r>
    </w:p>
    <w:p w14:paraId="4B778021">
      <w:pPr>
        <w:spacing w:line="360" w:lineRule="auto"/>
        <w:ind w:firstLine="1470" w:firstLineChars="7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福建省水利水电勘测设计研究院有限公司</w:t>
      </w:r>
    </w:p>
    <w:p w14:paraId="17580D57">
      <w:pPr>
        <w:spacing w:line="360" w:lineRule="auto"/>
        <w:ind w:firstLine="420" w:firstLineChars="200"/>
        <w:rPr>
          <w:rFonts w:ascii="黑体" w:hAnsi="黑体" w:eastAsia="黑体" w:cs="Times New Roman"/>
          <w:sz w:val="21"/>
          <w:szCs w:val="21"/>
        </w:rPr>
      </w:pPr>
      <w:r>
        <w:rPr>
          <w:rFonts w:hint="eastAsia" w:ascii="黑体" w:hAnsi="黑体" w:eastAsia="黑体" w:cs="Times New Roman"/>
          <w:sz w:val="21"/>
          <w:szCs w:val="21"/>
        </w:rPr>
        <w:t>起草人员：</w:t>
      </w:r>
    </w:p>
    <w:p w14:paraId="593C64A8">
      <w:pPr>
        <w:spacing w:line="360" w:lineRule="auto"/>
        <w:ind w:firstLine="420" w:firstLineChars="200"/>
        <w:rPr>
          <w:rFonts w:ascii="黑体" w:hAnsi="黑体" w:eastAsia="黑体" w:cs="Times New Roman"/>
          <w:sz w:val="21"/>
          <w:szCs w:val="21"/>
        </w:rPr>
      </w:pPr>
      <w:r>
        <w:rPr>
          <w:rFonts w:hint="eastAsia" w:ascii="黑体" w:hAnsi="黑体" w:eastAsia="黑体" w:cs="Times New Roman"/>
          <w:sz w:val="21"/>
          <w:szCs w:val="21"/>
        </w:rPr>
        <w:t>审查人员：</w:t>
      </w:r>
    </w:p>
    <w:p w14:paraId="7498CFA7">
      <w:pPr>
        <w:spacing w:line="360" w:lineRule="auto"/>
        <w:jc w:val="center"/>
        <w:rPr>
          <w:rFonts w:ascii="Times New Roman" w:hAnsi="Times New Roman" w:cs="Times New Roman"/>
          <w:b/>
          <w:bCs/>
          <w:sz w:val="32"/>
          <w:szCs w:val="32"/>
          <w:highlight w:val="yellow"/>
        </w:rPr>
        <w:sectPr>
          <w:footerReference r:id="rId7" w:type="default"/>
          <w:pgSz w:w="11906" w:h="16838"/>
          <w:pgMar w:top="1440" w:right="1800" w:bottom="1440" w:left="1800" w:header="851" w:footer="992" w:gutter="0"/>
          <w:pgNumType w:start="1"/>
          <w:cols w:space="720" w:num="1"/>
          <w:docGrid w:type="lines" w:linePitch="312" w:charSpace="0"/>
        </w:sectPr>
      </w:pPr>
    </w:p>
    <w:p w14:paraId="0A169C2D">
      <w:pPr>
        <w:jc w:val="center"/>
        <w:rPr>
          <w:rFonts w:ascii="Times New Roman" w:hAnsi="Times New Roman" w:cs="Times New Roman"/>
          <w:b/>
          <w:bCs/>
          <w:sz w:val="32"/>
          <w:szCs w:val="32"/>
        </w:rPr>
      </w:pPr>
      <w:r>
        <w:rPr>
          <w:rFonts w:ascii="Times New Roman" w:hAnsi="Times New Roman" w:cs="Times New Roman"/>
          <w:b/>
          <w:bCs/>
          <w:sz w:val="32"/>
          <w:szCs w:val="32"/>
        </w:rPr>
        <w:t xml:space="preserve">目  </w:t>
      </w:r>
      <w:r>
        <w:rPr>
          <w:rFonts w:hint="eastAsia" w:ascii="Times New Roman" w:hAnsi="Times New Roman" w:cs="Times New Roman"/>
          <w:b/>
          <w:bCs/>
          <w:sz w:val="32"/>
          <w:szCs w:val="32"/>
        </w:rPr>
        <w:t>次</w:t>
      </w:r>
    </w:p>
    <w:p w14:paraId="50095D3F">
      <w:pPr>
        <w:pStyle w:val="8"/>
        <w:tabs>
          <w:tab w:val="right" w:leader="dot" w:pos="8306"/>
        </w:tabs>
        <w:spacing w:line="360" w:lineRule="auto"/>
        <w:rPr>
          <w:rFonts w:ascii="Times New Roman" w:hAnsi="Times New Roman" w:cs="Times New Roman" w:eastAsiaTheme="minorEastAsia"/>
          <w:sz w:val="21"/>
          <w:szCs w:val="21"/>
        </w:rPr>
      </w:pPr>
      <w:r>
        <w:rPr>
          <w:rFonts w:ascii="Times New Roman" w:hAnsi="Times New Roman" w:cs="Times New Roman"/>
          <w:sz w:val="21"/>
        </w:rPr>
        <w:fldChar w:fldCharType="begin"/>
      </w:r>
      <w:r>
        <w:rPr>
          <w:rFonts w:ascii="Times New Roman" w:hAnsi="Times New Roman" w:cs="Times New Roman"/>
          <w:sz w:val="21"/>
        </w:rPr>
        <w:instrText xml:space="preserve">TOC \o "1-2" \h \u </w:instrText>
      </w:r>
      <w:r>
        <w:rPr>
          <w:rFonts w:ascii="Times New Roman" w:hAnsi="Times New Roman" w:cs="Times New Roman"/>
          <w:sz w:val="21"/>
        </w:rPr>
        <w:fldChar w:fldCharType="separate"/>
      </w:r>
      <w:r>
        <w:fldChar w:fldCharType="begin"/>
      </w:r>
      <w:r>
        <w:instrText xml:space="preserve"> HYPERLINK \l "_Toc31603" </w:instrText>
      </w:r>
      <w:r>
        <w:fldChar w:fldCharType="separate"/>
      </w:r>
      <w:r>
        <w:rPr>
          <w:rFonts w:ascii="Times New Roman" w:hAnsi="Times New Roman" w:cs="Times New Roman" w:eastAsiaTheme="minorEastAsia"/>
          <w:bCs/>
          <w:kern w:val="44"/>
          <w:sz w:val="21"/>
          <w:szCs w:val="21"/>
        </w:rPr>
        <w:t>1  总    则</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_Toc31603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1</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238E70BF">
      <w:pPr>
        <w:pStyle w:val="8"/>
        <w:tabs>
          <w:tab w:val="right" w:leader="dot" w:pos="8306"/>
        </w:tabs>
        <w:spacing w:line="360" w:lineRule="auto"/>
        <w:rPr>
          <w:rFonts w:ascii="Times New Roman" w:hAnsi="Times New Roman" w:cs="Times New Roman" w:eastAsiaTheme="minorEastAsia"/>
          <w:sz w:val="21"/>
          <w:szCs w:val="21"/>
        </w:rPr>
      </w:pPr>
      <w:r>
        <w:fldChar w:fldCharType="begin"/>
      </w:r>
      <w:r>
        <w:instrText xml:space="preserve"> HYPERLINK \l "_Toc669" </w:instrText>
      </w:r>
      <w:r>
        <w:fldChar w:fldCharType="separate"/>
      </w:r>
      <w:r>
        <w:rPr>
          <w:rFonts w:ascii="Times New Roman" w:hAnsi="Times New Roman" w:cs="Times New Roman" w:eastAsiaTheme="minorEastAsia"/>
          <w:bCs/>
          <w:kern w:val="44"/>
          <w:sz w:val="21"/>
          <w:szCs w:val="21"/>
        </w:rPr>
        <w:t>2  术    语</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_Toc669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2</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7CE9324B">
      <w:pPr>
        <w:pStyle w:val="8"/>
        <w:tabs>
          <w:tab w:val="right" w:leader="dot" w:pos="8306"/>
        </w:tabs>
        <w:spacing w:line="360" w:lineRule="auto"/>
        <w:rPr>
          <w:rFonts w:ascii="Times New Roman" w:hAnsi="Times New Roman" w:cs="Times New Roman" w:eastAsiaTheme="minorEastAsia"/>
          <w:sz w:val="21"/>
          <w:szCs w:val="21"/>
        </w:rPr>
      </w:pPr>
      <w:r>
        <w:fldChar w:fldCharType="begin"/>
      </w:r>
      <w:r>
        <w:instrText xml:space="preserve"> HYPERLINK \l "_Toc31487" </w:instrText>
      </w:r>
      <w:r>
        <w:fldChar w:fldCharType="separate"/>
      </w:r>
      <w:r>
        <w:rPr>
          <w:rFonts w:ascii="Times New Roman" w:hAnsi="Times New Roman" w:cs="Times New Roman" w:eastAsiaTheme="minorEastAsia"/>
          <w:bCs/>
          <w:kern w:val="44"/>
          <w:sz w:val="21"/>
          <w:szCs w:val="21"/>
        </w:rPr>
        <w:t>3  基 本 规 定</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_Toc31487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4</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12DAD349">
      <w:pPr>
        <w:pStyle w:val="8"/>
        <w:tabs>
          <w:tab w:val="right" w:leader="dot" w:pos="8306"/>
        </w:tabs>
        <w:spacing w:line="360" w:lineRule="auto"/>
        <w:rPr>
          <w:rFonts w:ascii="Times New Roman" w:hAnsi="Times New Roman" w:cs="Times New Roman" w:eastAsiaTheme="minorEastAsia"/>
          <w:sz w:val="21"/>
          <w:szCs w:val="21"/>
        </w:rPr>
      </w:pPr>
      <w:r>
        <w:fldChar w:fldCharType="begin"/>
      </w:r>
      <w:r>
        <w:instrText xml:space="preserve"> HYPERLINK \l "_Toc1958" </w:instrText>
      </w:r>
      <w:r>
        <w:fldChar w:fldCharType="separate"/>
      </w:r>
      <w:r>
        <w:rPr>
          <w:rFonts w:ascii="Times New Roman" w:hAnsi="Times New Roman" w:cs="Times New Roman" w:eastAsiaTheme="minorEastAsia"/>
          <w:bCs/>
          <w:kern w:val="44"/>
          <w:sz w:val="21"/>
          <w:szCs w:val="21"/>
        </w:rPr>
        <w:t>4  水土流失综合治理工程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_Toc1958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6</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5B741928">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"_Toc25083" </w:instrText>
      </w:r>
      <w:r>
        <w:fldChar w:fldCharType="separate"/>
      </w:r>
      <w:r>
        <w:rPr>
          <w:rFonts w:ascii="Times New Roman" w:hAnsi="Times New Roman" w:cs="Times New Roman" w:eastAsiaTheme="minorEastAsia"/>
          <w:bCs/>
          <w:sz w:val="21"/>
          <w:szCs w:val="21"/>
        </w:rPr>
        <w:t>4.1 分区总体布置要求</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_Toc25083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6</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681F58FC">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"_Toc27919" </w:instrText>
      </w:r>
      <w:r>
        <w:fldChar w:fldCharType="separate"/>
      </w:r>
      <w:r>
        <w:rPr>
          <w:rFonts w:ascii="Times New Roman" w:hAnsi="Times New Roman" w:cs="Times New Roman" w:eastAsiaTheme="minorEastAsia"/>
          <w:bCs/>
          <w:sz w:val="21"/>
          <w:szCs w:val="21"/>
        </w:rPr>
        <w:t>4.2 工程级别与设计标准</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_Toc27919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8</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22554E82">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"_Toc27851" </w:instrText>
      </w:r>
      <w:r>
        <w:fldChar w:fldCharType="separate"/>
      </w:r>
      <w:r>
        <w:rPr>
          <w:rFonts w:ascii="Times New Roman" w:hAnsi="Times New Roman" w:cs="Times New Roman" w:eastAsiaTheme="minorEastAsia"/>
          <w:bCs/>
          <w:sz w:val="21"/>
          <w:szCs w:val="21"/>
        </w:rPr>
        <w:t>4.3 梯田工程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_Toc27851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17</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29736054">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"_Toc32027" </w:instrText>
      </w:r>
      <w:r>
        <w:fldChar w:fldCharType="separate"/>
      </w:r>
      <w:r>
        <w:rPr>
          <w:rFonts w:ascii="Times New Roman" w:hAnsi="Times New Roman" w:cs="Times New Roman" w:eastAsiaTheme="minorEastAsia"/>
          <w:bCs/>
          <w:sz w:val="21"/>
          <w:szCs w:val="21"/>
        </w:rPr>
        <w:t>4.4 淤地坝工程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_Toc32027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22</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0CB12292">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"_Toc1618" </w:instrText>
      </w:r>
      <w:r>
        <w:fldChar w:fldCharType="separate"/>
      </w:r>
      <w:r>
        <w:rPr>
          <w:rFonts w:ascii="Times New Roman" w:hAnsi="Times New Roman" w:cs="Times New Roman" w:eastAsiaTheme="minorEastAsia"/>
          <w:bCs/>
          <w:sz w:val="21"/>
          <w:szCs w:val="21"/>
        </w:rPr>
        <w:t>4.5 拦沙坝工程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_Toc1618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32</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2B220041">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"_Toc16931" </w:instrText>
      </w:r>
      <w:r>
        <w:fldChar w:fldCharType="separate"/>
      </w:r>
      <w:r>
        <w:rPr>
          <w:rFonts w:ascii="Times New Roman" w:hAnsi="Times New Roman" w:cs="Times New Roman" w:eastAsiaTheme="minorEastAsia"/>
          <w:bCs/>
          <w:sz w:val="21"/>
          <w:szCs w:val="21"/>
        </w:rPr>
        <w:t>4.6 塘坝和滚水坝</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_Toc16931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36</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3A0C97E1">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"_Toc13951" </w:instrText>
      </w:r>
      <w:r>
        <w:fldChar w:fldCharType="separate"/>
      </w:r>
      <w:r>
        <w:rPr>
          <w:rFonts w:ascii="Times New Roman" w:hAnsi="Times New Roman" w:cs="Times New Roman" w:eastAsiaTheme="minorEastAsia"/>
          <w:bCs/>
          <w:sz w:val="21"/>
          <w:szCs w:val="21"/>
        </w:rPr>
        <w:t>4.7 沟道滩岸防护工程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_Toc13951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43</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0BBDA0AC">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"_Toc6001" </w:instrText>
      </w:r>
      <w:r>
        <w:fldChar w:fldCharType="separate"/>
      </w:r>
      <w:r>
        <w:rPr>
          <w:rFonts w:ascii="Times New Roman" w:hAnsi="Times New Roman" w:cs="Times New Roman" w:eastAsiaTheme="minorEastAsia"/>
          <w:bCs/>
          <w:sz w:val="21"/>
          <w:szCs w:val="21"/>
        </w:rPr>
        <w:t>4.8 坡面截排水工程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_Toc6001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46</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7A265FA4">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"_Toc23103" </w:instrText>
      </w:r>
      <w:r>
        <w:fldChar w:fldCharType="separate"/>
      </w:r>
      <w:r>
        <w:rPr>
          <w:rFonts w:ascii="Times New Roman" w:hAnsi="Times New Roman" w:cs="Times New Roman" w:eastAsiaTheme="minorEastAsia"/>
          <w:bCs/>
          <w:sz w:val="21"/>
          <w:szCs w:val="21"/>
        </w:rPr>
        <w:t>4.9 引洪漫地和引水拉沙工程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_Toc23103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52</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40DE4A19">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"_Toc16857" </w:instrText>
      </w:r>
      <w:r>
        <w:fldChar w:fldCharType="separate"/>
      </w:r>
      <w:r>
        <w:rPr>
          <w:rFonts w:ascii="Times New Roman" w:hAnsi="Times New Roman" w:cs="Times New Roman" w:eastAsiaTheme="minorEastAsia"/>
          <w:bCs/>
          <w:sz w:val="21"/>
          <w:szCs w:val="21"/>
        </w:rPr>
        <w:t>4.10 支毛沟治理工程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_Toc16857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56</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27E24954">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"_Toc6185" </w:instrText>
      </w:r>
      <w:r>
        <w:fldChar w:fldCharType="separate"/>
      </w:r>
      <w:r>
        <w:rPr>
          <w:rFonts w:ascii="Times New Roman" w:hAnsi="Times New Roman" w:cs="Times New Roman" w:eastAsiaTheme="minorEastAsia"/>
          <w:bCs/>
          <w:sz w:val="21"/>
          <w:szCs w:val="21"/>
        </w:rPr>
        <w:t>4.11 小型蓄水工程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_Toc6185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61</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3D1F6B1F">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"_Toc22093" </w:instrText>
      </w:r>
      <w:r>
        <w:fldChar w:fldCharType="separate"/>
      </w:r>
      <w:r>
        <w:rPr>
          <w:rFonts w:ascii="Times New Roman" w:hAnsi="Times New Roman" w:cs="Times New Roman" w:eastAsiaTheme="minorEastAsia"/>
          <w:bCs/>
          <w:sz w:val="21"/>
          <w:szCs w:val="21"/>
        </w:rPr>
        <w:t>4.12 农业耕作措施</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_Toc22093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64</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226C9CCC">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"_Toc24412" </w:instrText>
      </w:r>
      <w:r>
        <w:fldChar w:fldCharType="separate"/>
      </w:r>
      <w:r>
        <w:rPr>
          <w:rFonts w:ascii="Times New Roman" w:hAnsi="Times New Roman" w:cs="Times New Roman" w:eastAsiaTheme="minorEastAsia"/>
          <w:bCs/>
          <w:sz w:val="21"/>
          <w:szCs w:val="21"/>
        </w:rPr>
        <w:t>4.13 固沙工程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_Toc24412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68</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3C916285">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"_Toc9648" </w:instrText>
      </w:r>
      <w:r>
        <w:fldChar w:fldCharType="separate"/>
      </w:r>
      <w:r>
        <w:rPr>
          <w:rFonts w:ascii="Times New Roman" w:hAnsi="Times New Roman" w:cs="Times New Roman" w:eastAsiaTheme="minorEastAsia"/>
          <w:bCs/>
          <w:sz w:val="21"/>
          <w:szCs w:val="21"/>
        </w:rPr>
        <w:t>4.14 林草工程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_Toc9648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71</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213F328D">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"_Toc27231" </w:instrText>
      </w:r>
      <w:r>
        <w:fldChar w:fldCharType="separate"/>
      </w:r>
      <w:r>
        <w:rPr>
          <w:rFonts w:ascii="Times New Roman" w:hAnsi="Times New Roman" w:cs="Times New Roman" w:eastAsiaTheme="minorEastAsia"/>
          <w:bCs/>
          <w:sz w:val="21"/>
          <w:szCs w:val="21"/>
        </w:rPr>
        <w:t>4.15 封育工程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_Toc27231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75</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52AFA45C">
      <w:pPr>
        <w:pStyle w:val="8"/>
        <w:tabs>
          <w:tab w:val="right" w:leader="dot" w:pos="8306"/>
        </w:tabs>
        <w:spacing w:line="360" w:lineRule="auto"/>
        <w:rPr>
          <w:rFonts w:ascii="Times New Roman" w:hAnsi="Times New Roman" w:cs="Times New Roman" w:eastAsiaTheme="minorEastAsia"/>
          <w:sz w:val="21"/>
          <w:szCs w:val="21"/>
        </w:rPr>
      </w:pPr>
      <w:r>
        <w:fldChar w:fldCharType="begin"/>
      </w:r>
      <w:r>
        <w:instrText xml:space="preserve"> HYPERLINK \l "_Toc24766" </w:instrText>
      </w:r>
      <w:r>
        <w:fldChar w:fldCharType="separate"/>
      </w:r>
      <w:r>
        <w:rPr>
          <w:rFonts w:ascii="Times New Roman" w:hAnsi="Times New Roman" w:cs="Times New Roman" w:eastAsiaTheme="minorEastAsia"/>
          <w:bCs/>
          <w:kern w:val="44"/>
          <w:sz w:val="21"/>
          <w:szCs w:val="21"/>
        </w:rPr>
        <w:t xml:space="preserve">5 </w:t>
      </w:r>
      <w:r>
        <w:rPr>
          <w:rFonts w:hint="eastAsia" w:ascii="Times New Roman" w:hAnsi="Times New Roman" w:cs="Times New Roman" w:eastAsiaTheme="minorEastAsia"/>
          <w:bCs/>
          <w:kern w:val="44"/>
          <w:sz w:val="21"/>
          <w:szCs w:val="21"/>
        </w:rPr>
        <w:t xml:space="preserve"> </w:t>
      </w:r>
      <w:r>
        <w:rPr>
          <w:rFonts w:ascii="Times New Roman" w:hAnsi="Times New Roman" w:cs="Times New Roman" w:eastAsiaTheme="minorEastAsia"/>
          <w:bCs/>
          <w:kern w:val="44"/>
          <w:sz w:val="21"/>
          <w:szCs w:val="21"/>
        </w:rPr>
        <w:t>生产建设项目水土保持工程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_Toc24766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77</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68B54EDF">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"_Toc19982" </w:instrText>
      </w:r>
      <w:r>
        <w:fldChar w:fldCharType="separate"/>
      </w:r>
      <w:r>
        <w:rPr>
          <w:rFonts w:ascii="Times New Roman" w:hAnsi="Times New Roman" w:cs="Times New Roman" w:eastAsiaTheme="minorEastAsia"/>
          <w:bCs/>
          <w:sz w:val="21"/>
          <w:szCs w:val="21"/>
        </w:rPr>
        <w:t>5.1 工程级别与设计标准</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_Toc19982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77</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44286B73">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"_Toc31686" </w:instrText>
      </w:r>
      <w:r>
        <w:fldChar w:fldCharType="separate"/>
      </w:r>
      <w:r>
        <w:rPr>
          <w:rFonts w:ascii="Times New Roman" w:hAnsi="Times New Roman" w:cs="Times New Roman" w:eastAsiaTheme="minorEastAsia"/>
          <w:bCs/>
          <w:sz w:val="21"/>
          <w:szCs w:val="21"/>
        </w:rPr>
        <w:t>5.2 弃渣场设计</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_Toc31686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82</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47EF8B6E">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"_Toc7379" </w:instrText>
      </w:r>
      <w:r>
        <w:fldChar w:fldCharType="separate"/>
      </w:r>
      <w:r>
        <w:rPr>
          <w:rFonts w:ascii="Times New Roman" w:hAnsi="Times New Roman" w:cs="Times New Roman" w:eastAsiaTheme="minorEastAsia"/>
          <w:bCs/>
          <w:sz w:val="21"/>
          <w:szCs w:val="21"/>
        </w:rPr>
        <w:t>5.3 表土保护工程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_Toc7379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90</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529999E4">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"_Toc22909" </w:instrText>
      </w:r>
      <w:r>
        <w:fldChar w:fldCharType="separate"/>
      </w:r>
      <w:r>
        <w:rPr>
          <w:rFonts w:ascii="Times New Roman" w:hAnsi="Times New Roman" w:cs="Times New Roman" w:eastAsiaTheme="minorEastAsia"/>
          <w:bCs/>
          <w:sz w:val="21"/>
          <w:szCs w:val="21"/>
        </w:rPr>
        <w:t>5.4 拦渣工程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_Toc22909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91</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16A3C47F">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"_Toc10426" </w:instrText>
      </w:r>
      <w:r>
        <w:fldChar w:fldCharType="separate"/>
      </w:r>
      <w:r>
        <w:rPr>
          <w:rFonts w:ascii="Times New Roman" w:hAnsi="Times New Roman" w:cs="Times New Roman" w:eastAsiaTheme="minorEastAsia"/>
          <w:bCs/>
          <w:sz w:val="21"/>
          <w:szCs w:val="21"/>
        </w:rPr>
        <w:t>5.5 防洪排导工程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_Toc10426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96</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39B823C4">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"_Toc15680" </w:instrText>
      </w:r>
      <w:r>
        <w:fldChar w:fldCharType="separate"/>
      </w:r>
      <w:r>
        <w:rPr>
          <w:rFonts w:ascii="Times New Roman" w:hAnsi="Times New Roman" w:cs="Times New Roman" w:eastAsiaTheme="minorEastAsia"/>
          <w:bCs/>
          <w:sz w:val="21"/>
          <w:szCs w:val="21"/>
        </w:rPr>
        <w:t>5.6 边坡防护工程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_Toc15680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101</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7A4AB286">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"_Toc808" </w:instrText>
      </w:r>
      <w:r>
        <w:fldChar w:fldCharType="separate"/>
      </w:r>
      <w:r>
        <w:rPr>
          <w:rFonts w:ascii="Times New Roman" w:hAnsi="Times New Roman" w:cs="Times New Roman" w:eastAsiaTheme="minorEastAsia"/>
          <w:bCs/>
          <w:sz w:val="21"/>
          <w:szCs w:val="21"/>
        </w:rPr>
        <w:t>5.7 降水蓄渗工程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_Toc808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105</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0F3FC836">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"_Toc18548" </w:instrText>
      </w:r>
      <w:r>
        <w:fldChar w:fldCharType="separate"/>
      </w:r>
      <w:r>
        <w:rPr>
          <w:rFonts w:ascii="Times New Roman" w:hAnsi="Times New Roman" w:cs="Times New Roman" w:eastAsiaTheme="minorEastAsia"/>
          <w:bCs/>
          <w:sz w:val="21"/>
          <w:szCs w:val="21"/>
        </w:rPr>
        <w:t>5.8 土地整治工程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_Toc18548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108</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3A542140">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"_Toc3894" </w:instrText>
      </w:r>
      <w:r>
        <w:fldChar w:fldCharType="separate"/>
      </w:r>
      <w:r>
        <w:rPr>
          <w:rFonts w:ascii="Times New Roman" w:hAnsi="Times New Roman" w:cs="Times New Roman" w:eastAsiaTheme="minorEastAsia"/>
          <w:bCs/>
          <w:sz w:val="21"/>
          <w:szCs w:val="21"/>
        </w:rPr>
        <w:t>5.9 固沙工程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_Toc3894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110</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5565FA85">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"_Toc9196" </w:instrText>
      </w:r>
      <w:r>
        <w:fldChar w:fldCharType="separate"/>
      </w:r>
      <w:r>
        <w:rPr>
          <w:rFonts w:ascii="Times New Roman" w:hAnsi="Times New Roman" w:cs="Times New Roman" w:eastAsiaTheme="minorEastAsia"/>
          <w:bCs/>
          <w:sz w:val="21"/>
          <w:szCs w:val="21"/>
        </w:rPr>
        <w:t>5.10 植被恢复与建设工程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_Toc9196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111</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25DBDC86">
      <w:pPr>
        <w:pStyle w:val="9"/>
        <w:tabs>
          <w:tab w:val="right" w:leader="dot" w:pos="8306"/>
        </w:tabs>
        <w:spacing w:line="360" w:lineRule="auto"/>
        <w:ind w:left="560"/>
        <w:rPr>
          <w:rFonts w:ascii="Times New Roman" w:hAnsi="Times New Roman" w:cs="Times New Roman" w:eastAsiaTheme="minorEastAsia"/>
          <w:sz w:val="21"/>
          <w:szCs w:val="21"/>
        </w:rPr>
      </w:pPr>
      <w:r>
        <w:fldChar w:fldCharType="begin"/>
      </w:r>
      <w:r>
        <w:instrText xml:space="preserve"> HYPERLINK \l "_Toc25604" </w:instrText>
      </w:r>
      <w:r>
        <w:fldChar w:fldCharType="separate"/>
      </w:r>
      <w:r>
        <w:rPr>
          <w:rFonts w:ascii="Times New Roman" w:hAnsi="Times New Roman" w:cs="Times New Roman" w:eastAsiaTheme="minorEastAsia"/>
          <w:bCs/>
          <w:sz w:val="21"/>
          <w:szCs w:val="21"/>
        </w:rPr>
        <w:t>5.11 临时防护工程</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_Toc25604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116</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5660DD9D">
      <w:pPr>
        <w:pStyle w:val="8"/>
        <w:tabs>
          <w:tab w:val="right" w:leader="dot" w:pos="8306"/>
        </w:tabs>
        <w:spacing w:line="360" w:lineRule="auto"/>
        <w:rPr>
          <w:rFonts w:ascii="Times New Roman" w:hAnsi="Times New Roman" w:cs="Times New Roman" w:eastAsiaTheme="minorEastAsia"/>
          <w:sz w:val="21"/>
          <w:szCs w:val="21"/>
        </w:rPr>
      </w:pPr>
      <w:r>
        <w:fldChar w:fldCharType="begin"/>
      </w:r>
      <w:r>
        <w:instrText xml:space="preserve"> HYPERLINK \l "_Toc15742" </w:instrText>
      </w:r>
      <w:r>
        <w:fldChar w:fldCharType="separate"/>
      </w:r>
      <w:r>
        <w:rPr>
          <w:rFonts w:ascii="Times New Roman" w:hAnsi="Times New Roman" w:cs="Times New Roman" w:eastAsiaTheme="minorEastAsia"/>
          <w:bCs/>
          <w:kern w:val="44"/>
          <w:sz w:val="21"/>
          <w:szCs w:val="21"/>
        </w:rPr>
        <w:t>附录A 水文计算</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_Toc15742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119</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6DC7B08E">
      <w:pPr>
        <w:pStyle w:val="8"/>
        <w:tabs>
          <w:tab w:val="right" w:leader="dot" w:pos="8306"/>
        </w:tabs>
        <w:spacing w:line="360" w:lineRule="auto"/>
        <w:rPr>
          <w:rFonts w:ascii="Times New Roman" w:hAnsi="Times New Roman" w:cs="Times New Roman" w:eastAsiaTheme="minorEastAsia"/>
          <w:sz w:val="21"/>
          <w:szCs w:val="21"/>
        </w:rPr>
      </w:pPr>
      <w:r>
        <w:fldChar w:fldCharType="begin"/>
      </w:r>
      <w:r>
        <w:instrText xml:space="preserve"> HYPERLINK \l "_Toc26238" </w:instrText>
      </w:r>
      <w:r>
        <w:fldChar w:fldCharType="separate"/>
      </w:r>
      <w:r>
        <w:rPr>
          <w:rFonts w:ascii="Times New Roman" w:hAnsi="Times New Roman" w:cs="Times New Roman" w:eastAsiaTheme="minorEastAsia"/>
          <w:bCs/>
          <w:kern w:val="44"/>
          <w:sz w:val="21"/>
          <w:szCs w:val="21"/>
        </w:rPr>
        <w:t>附录B 稳定计算</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_Toc26238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131</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46318B3A">
      <w:pPr>
        <w:pStyle w:val="8"/>
        <w:tabs>
          <w:tab w:val="right" w:leader="dot" w:pos="8306"/>
        </w:tabs>
        <w:spacing w:line="360" w:lineRule="auto"/>
        <w:rPr>
          <w:rFonts w:ascii="Times New Roman" w:hAnsi="Times New Roman" w:cs="Times New Roman" w:eastAsiaTheme="minorEastAsia"/>
          <w:sz w:val="21"/>
          <w:szCs w:val="21"/>
        </w:rPr>
      </w:pPr>
      <w:r>
        <w:fldChar w:fldCharType="begin"/>
      </w:r>
      <w:r>
        <w:instrText xml:space="preserve"> HYPERLINK \l "_Toc805" </w:instrText>
      </w:r>
      <w:r>
        <w:fldChar w:fldCharType="separate"/>
      </w:r>
      <w:r>
        <w:rPr>
          <w:rFonts w:ascii="Times New Roman" w:hAnsi="Times New Roman" w:cs="Times New Roman" w:eastAsiaTheme="minorEastAsia"/>
          <w:bCs/>
          <w:kern w:val="44"/>
          <w:sz w:val="21"/>
          <w:szCs w:val="21"/>
        </w:rPr>
        <w:t>附录C 植被恢复与建设工程主要适宜树（草）种表</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_Toc805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137</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331EFB52">
      <w:pPr>
        <w:pStyle w:val="8"/>
        <w:tabs>
          <w:tab w:val="right" w:leader="dot" w:pos="8306"/>
        </w:tabs>
        <w:spacing w:line="360" w:lineRule="auto"/>
        <w:rPr>
          <w:rFonts w:ascii="Times New Roman" w:hAnsi="Times New Roman" w:cs="Times New Roman" w:eastAsiaTheme="minorEastAsia"/>
          <w:sz w:val="21"/>
          <w:szCs w:val="21"/>
        </w:rPr>
      </w:pPr>
      <w:r>
        <w:fldChar w:fldCharType="begin"/>
      </w:r>
      <w:r>
        <w:instrText xml:space="preserve"> HYPERLINK \l "_Toc32359" </w:instrText>
      </w:r>
      <w:r>
        <w:fldChar w:fldCharType="separate"/>
      </w:r>
      <w:r>
        <w:rPr>
          <w:rFonts w:ascii="Times New Roman" w:hAnsi="Times New Roman" w:cs="Times New Roman" w:eastAsiaTheme="minorEastAsia"/>
          <w:bCs/>
          <w:kern w:val="44"/>
          <w:sz w:val="21"/>
          <w:szCs w:val="21"/>
        </w:rPr>
        <w:t>本标准用词说明</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_Toc32359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139</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01ECFA01">
      <w:pPr>
        <w:pStyle w:val="8"/>
        <w:tabs>
          <w:tab w:val="right" w:leader="dot" w:pos="8306"/>
        </w:tabs>
        <w:spacing w:line="360" w:lineRule="auto"/>
        <w:rPr>
          <w:rFonts w:ascii="Times New Roman" w:hAnsi="Times New Roman" w:cs="Times New Roman" w:eastAsiaTheme="minorEastAsia"/>
          <w:sz w:val="21"/>
          <w:szCs w:val="21"/>
        </w:rPr>
      </w:pPr>
      <w:r>
        <w:fldChar w:fldCharType="begin"/>
      </w:r>
      <w:r>
        <w:instrText xml:space="preserve"> HYPERLINK \l "_Toc4206" </w:instrText>
      </w:r>
      <w:r>
        <w:fldChar w:fldCharType="separate"/>
      </w:r>
      <w:r>
        <w:rPr>
          <w:rFonts w:ascii="Times New Roman" w:hAnsi="Times New Roman" w:cs="Times New Roman" w:eastAsiaTheme="minorEastAsia"/>
          <w:bCs/>
          <w:kern w:val="44"/>
          <w:sz w:val="21"/>
          <w:szCs w:val="21"/>
        </w:rPr>
        <w:t>引用标准名录</w:t>
      </w:r>
      <w:r>
        <w:rPr>
          <w:rFonts w:ascii="Times New Roman" w:hAnsi="Times New Roman" w:cs="Times New Roman" w:eastAsiaTheme="minorEastAsia"/>
          <w:sz w:val="21"/>
          <w:szCs w:val="21"/>
        </w:rPr>
        <w:tab/>
      </w:r>
      <w:r>
        <w:rPr>
          <w:rFonts w:ascii="Times New Roman" w:hAnsi="Times New Roman" w:cs="Times New Roman" w:eastAsiaTheme="minorEastAsia"/>
          <w:sz w:val="21"/>
          <w:szCs w:val="21"/>
        </w:rPr>
        <w:fldChar w:fldCharType="begin"/>
      </w:r>
      <w:r>
        <w:rPr>
          <w:rFonts w:ascii="Times New Roman" w:hAnsi="Times New Roman" w:cs="Times New Roman" w:eastAsiaTheme="minorEastAsia"/>
          <w:sz w:val="21"/>
          <w:szCs w:val="21"/>
        </w:rPr>
        <w:instrText xml:space="preserve"> PAGEREF _Toc4206 \h </w:instrText>
      </w:r>
      <w:r>
        <w:rPr>
          <w:rFonts w:ascii="Times New Roman" w:hAnsi="Times New Roman" w:cs="Times New Roman" w:eastAsiaTheme="minorEastAsia"/>
          <w:sz w:val="21"/>
          <w:szCs w:val="21"/>
        </w:rPr>
        <w:fldChar w:fldCharType="separate"/>
      </w:r>
      <w:r>
        <w:rPr>
          <w:rFonts w:ascii="Times New Roman" w:hAnsi="Times New Roman" w:cs="Times New Roman" w:eastAsiaTheme="minorEastAsia"/>
          <w:sz w:val="21"/>
          <w:szCs w:val="21"/>
        </w:rPr>
        <w:t>140</w:t>
      </w:r>
      <w:r>
        <w:rPr>
          <w:rFonts w:ascii="Times New Roman" w:hAnsi="Times New Roman" w:cs="Times New Roman" w:eastAsiaTheme="minorEastAsia"/>
          <w:sz w:val="21"/>
          <w:szCs w:val="21"/>
        </w:rPr>
        <w:fldChar w:fldCharType="end"/>
      </w:r>
      <w:r>
        <w:rPr>
          <w:rFonts w:ascii="Times New Roman" w:hAnsi="Times New Roman" w:cs="Times New Roman" w:eastAsiaTheme="minorEastAsia"/>
          <w:sz w:val="21"/>
          <w:szCs w:val="21"/>
        </w:rPr>
        <w:fldChar w:fldCharType="end"/>
      </w:r>
    </w:p>
    <w:p w14:paraId="420A80E4">
      <w:pPr>
        <w:pStyle w:val="8"/>
        <w:tabs>
          <w:tab w:val="right" w:leader="dot" w:pos="8306"/>
        </w:tabs>
        <w:spacing w:line="360" w:lineRule="auto"/>
      </w:pPr>
      <w:bookmarkStart w:id="666" w:name="_GoBack"/>
      <w:bookmarkEnd w:id="666"/>
    </w:p>
    <w:p w14:paraId="257AFD2A">
      <w:pPr>
        <w:spacing w:line="360" w:lineRule="auto"/>
        <w:jc w:val="left"/>
        <w:rPr>
          <w:rFonts w:ascii="Times New Roman" w:hAnsi="Times New Roman" w:cs="Times New Roman"/>
          <w:sz w:val="21"/>
        </w:rPr>
      </w:pPr>
      <w:r>
        <w:rPr>
          <w:rFonts w:ascii="Times New Roman" w:hAnsi="Times New Roman" w:cs="Times New Roman"/>
        </w:rPr>
        <w:fldChar w:fldCharType="end"/>
      </w:r>
    </w:p>
    <w:p w14:paraId="5BA113EE">
      <w:pPr>
        <w:rPr>
          <w:rFonts w:ascii="Times New Roman" w:hAnsi="Times New Roman" w:cs="Times New Roman"/>
        </w:rPr>
        <w:sectPr>
          <w:pgSz w:w="11906" w:h="16838"/>
          <w:pgMar w:top="1440" w:right="1800" w:bottom="1440" w:left="1800" w:header="851" w:footer="992" w:gutter="0"/>
          <w:pgNumType w:start="1"/>
          <w:cols w:space="720" w:num="1"/>
          <w:docGrid w:type="lines" w:linePitch="312" w:charSpace="0"/>
        </w:sectPr>
      </w:pPr>
    </w:p>
    <w:p w14:paraId="34CA4257">
      <w:pPr>
        <w:keepNext/>
        <w:keepLines/>
        <w:spacing w:before="260" w:after="260" w:line="578" w:lineRule="auto"/>
        <w:jc w:val="center"/>
        <w:outlineLvl w:val="0"/>
        <w:rPr>
          <w:rFonts w:ascii="Times New Roman" w:hAnsi="Times New Roman" w:eastAsia="黑体" w:cs="Times New Roman"/>
          <w:bCs/>
          <w:kern w:val="44"/>
          <w:sz w:val="32"/>
          <w:szCs w:val="44"/>
        </w:rPr>
      </w:pPr>
      <w:bookmarkStart w:id="51" w:name="_Toc31603"/>
      <w:bookmarkStart w:id="52" w:name="_Toc11357"/>
      <w:r>
        <w:rPr>
          <w:rFonts w:ascii="Times New Roman" w:hAnsi="Times New Roman" w:eastAsia="黑体" w:cs="Times New Roman"/>
          <w:bCs/>
          <w:kern w:val="44"/>
          <w:sz w:val="32"/>
          <w:szCs w:val="44"/>
        </w:rPr>
        <w:t xml:space="preserve">1 </w:t>
      </w:r>
      <w:r>
        <w:rPr>
          <w:rFonts w:hint="eastAsia" w:ascii="Times New Roman" w:hAnsi="Times New Roman" w:eastAsia="黑体" w:cs="Times New Roman"/>
          <w:bCs/>
          <w:kern w:val="44"/>
          <w:sz w:val="32"/>
          <w:szCs w:val="44"/>
        </w:rPr>
        <w:t xml:space="preserve"> </w:t>
      </w:r>
      <w:r>
        <w:rPr>
          <w:rFonts w:ascii="Times New Roman" w:hAnsi="Times New Roman" w:eastAsia="黑体" w:cs="Times New Roman"/>
          <w:bCs/>
          <w:kern w:val="44"/>
          <w:sz w:val="32"/>
          <w:szCs w:val="44"/>
        </w:rPr>
        <w:t>总    则</w:t>
      </w:r>
      <w:bookmarkEnd w:id="51"/>
      <w:bookmarkEnd w:id="52"/>
    </w:p>
    <w:p w14:paraId="33876C0B">
      <w:pPr>
        <w:spacing w:line="360" w:lineRule="auto"/>
        <w:rPr>
          <w:rFonts w:ascii="Times New Roman" w:hAnsi="Times New Roman" w:cs="Times New Roman"/>
          <w:sz w:val="21"/>
        </w:rPr>
      </w:pPr>
      <w:r>
        <w:rPr>
          <w:rFonts w:ascii="Times New Roman" w:hAnsi="Times New Roman" w:cs="Times New Roman"/>
          <w:b/>
          <w:sz w:val="21"/>
        </w:rPr>
        <w:t>1.0.1</w:t>
      </w:r>
      <w:r>
        <w:rPr>
          <w:rFonts w:ascii="Times New Roman" w:hAnsi="Times New Roman" w:cs="Times New Roman"/>
          <w:sz w:val="21"/>
        </w:rPr>
        <w:t xml:space="preserve">  为统一水土保持工程设计要求，保证设计质量和工程安全，发挥水土保持工程综合效益，制定本标准。</w:t>
      </w:r>
    </w:p>
    <w:p w14:paraId="5483967F">
      <w:pPr>
        <w:spacing w:line="360" w:lineRule="auto"/>
        <w:rPr>
          <w:rFonts w:ascii="Times New Roman" w:hAnsi="Times New Roman" w:cs="Times New Roman"/>
          <w:sz w:val="21"/>
        </w:rPr>
      </w:pPr>
      <w:r>
        <w:rPr>
          <w:rFonts w:ascii="Times New Roman" w:hAnsi="Times New Roman" w:cs="Times New Roman"/>
          <w:b/>
          <w:sz w:val="21"/>
        </w:rPr>
        <w:t xml:space="preserve">1.0.2 </w:t>
      </w:r>
      <w:r>
        <w:rPr>
          <w:rFonts w:ascii="Times New Roman" w:hAnsi="Times New Roman" w:cs="Times New Roman"/>
          <w:sz w:val="21"/>
        </w:rPr>
        <w:t xml:space="preserve"> 本标准主要适用于水土流失综合治理工程中的梯田工程、淤地坝工程、拦沙坝工程、塘坝和滚水坝工程、沟道滩岸防护工程、坡面截排水工程、引洪漫地和引水</w:t>
      </w:r>
      <w:r>
        <w:rPr>
          <w:rFonts w:hint="eastAsia" w:ascii="Times New Roman" w:hAnsi="Times New Roman" w:cs="Times New Roman"/>
          <w:sz w:val="21"/>
        </w:rPr>
        <w:t>拉</w:t>
      </w:r>
      <w:r>
        <w:rPr>
          <w:rFonts w:ascii="Times New Roman" w:hAnsi="Times New Roman" w:cs="Times New Roman"/>
          <w:sz w:val="21"/>
        </w:rPr>
        <w:t>沙工程、支毛沟治理工程、小型蓄水工程、农业耕作措施、固沙工程、林草工程、封育工程，以及生产建设项目水土保持工程中的弃渣场、表土保护工程、拦渣工程、边坡防护工程、土地整治工程、防洪排导工程、降水蓄渗工程、植被恢复与建设工程、防风固沙工程和临时防护工程设计。</w:t>
      </w:r>
    </w:p>
    <w:p w14:paraId="063C0A8D">
      <w:pPr>
        <w:spacing w:line="360" w:lineRule="auto"/>
        <w:rPr>
          <w:rFonts w:ascii="Times New Roman" w:hAnsi="Times New Roman" w:cs="Times New Roman"/>
          <w:sz w:val="21"/>
        </w:rPr>
      </w:pPr>
      <w:r>
        <w:rPr>
          <w:rFonts w:ascii="Times New Roman" w:hAnsi="Times New Roman" w:cs="Times New Roman"/>
          <w:b/>
          <w:sz w:val="21"/>
        </w:rPr>
        <w:t xml:space="preserve">1.0.3 </w:t>
      </w:r>
      <w:r>
        <w:rPr>
          <w:rFonts w:ascii="Times New Roman" w:hAnsi="Times New Roman" w:cs="Times New Roman"/>
          <w:sz w:val="21"/>
        </w:rPr>
        <w:t xml:space="preserve"> 水土保持工程设计应具备可靠的基础资料，在收集地质地貌、气象水文、土壤植被、水土流失、水土保持和社会经济等基本资料的基础上，开展相应调查、勘测及试验。应本着因地制宜、综合治理、安全可靠、注重效益的原则，鼓励采用新技术、新工艺和新材料，在进行总体布置设计的基础上，进行各项措施设计。</w:t>
      </w:r>
    </w:p>
    <w:p w14:paraId="2C2BBDD5">
      <w:pPr>
        <w:spacing w:line="360" w:lineRule="auto"/>
        <w:rPr>
          <w:rFonts w:ascii="Times New Roman" w:hAnsi="Times New Roman" w:cs="Times New Roman"/>
          <w:sz w:val="21"/>
        </w:rPr>
      </w:pPr>
      <w:r>
        <w:rPr>
          <w:rFonts w:ascii="Times New Roman" w:hAnsi="Times New Roman" w:cs="Times New Roman"/>
          <w:b/>
          <w:sz w:val="21"/>
        </w:rPr>
        <w:t>1.0.4</w:t>
      </w:r>
      <w:r>
        <w:rPr>
          <w:rFonts w:ascii="Times New Roman" w:hAnsi="Times New Roman" w:cs="Times New Roman"/>
          <w:sz w:val="21"/>
        </w:rPr>
        <w:t xml:space="preserve">  水土保持工程设计除应符合本标准外，尚应符合国家现行有关标准的规定。</w:t>
      </w:r>
    </w:p>
    <w:p w14:paraId="1244BE7E">
      <w:pPr>
        <w:widowControl/>
        <w:spacing w:line="360" w:lineRule="auto"/>
        <w:jc w:val="left"/>
        <w:rPr>
          <w:rFonts w:ascii="Times New Roman" w:hAnsi="Times New Roman" w:eastAsia="黑体" w:cs="Times New Roman"/>
          <w:bCs/>
          <w:kern w:val="44"/>
          <w:sz w:val="32"/>
          <w:szCs w:val="44"/>
        </w:rPr>
      </w:pPr>
      <w:r>
        <w:rPr>
          <w:rFonts w:ascii="Times New Roman" w:hAnsi="Times New Roman" w:eastAsia="黑体" w:cs="Times New Roman"/>
          <w:sz w:val="21"/>
        </w:rPr>
        <w:br w:type="page"/>
      </w:r>
    </w:p>
    <w:p w14:paraId="1ED1808C">
      <w:pPr>
        <w:keepNext/>
        <w:keepLines/>
        <w:spacing w:before="260" w:after="260" w:line="578" w:lineRule="auto"/>
        <w:jc w:val="center"/>
        <w:outlineLvl w:val="0"/>
        <w:rPr>
          <w:rFonts w:ascii="Times New Roman" w:hAnsi="Times New Roman" w:eastAsia="黑体" w:cs="Times New Roman"/>
          <w:bCs/>
          <w:kern w:val="44"/>
          <w:sz w:val="32"/>
          <w:szCs w:val="44"/>
        </w:rPr>
      </w:pPr>
      <w:bookmarkStart w:id="53" w:name="_Toc21003"/>
      <w:bookmarkStart w:id="54" w:name="_Toc669"/>
      <w:r>
        <w:rPr>
          <w:rFonts w:ascii="Times New Roman" w:hAnsi="Times New Roman" w:eastAsia="黑体" w:cs="Times New Roman"/>
          <w:bCs/>
          <w:kern w:val="44"/>
          <w:sz w:val="32"/>
          <w:szCs w:val="44"/>
        </w:rPr>
        <w:t xml:space="preserve">2 </w:t>
      </w:r>
      <w:r>
        <w:rPr>
          <w:rFonts w:hint="eastAsia" w:ascii="Times New Roman" w:hAnsi="Times New Roman" w:eastAsia="黑体" w:cs="Times New Roman"/>
          <w:bCs/>
          <w:kern w:val="44"/>
          <w:sz w:val="32"/>
          <w:szCs w:val="44"/>
        </w:rPr>
        <w:t xml:space="preserve"> </w:t>
      </w:r>
      <w:r>
        <w:rPr>
          <w:rFonts w:ascii="Times New Roman" w:hAnsi="Times New Roman" w:eastAsia="黑体" w:cs="Times New Roman"/>
          <w:bCs/>
          <w:kern w:val="44"/>
          <w:sz w:val="32"/>
          <w:szCs w:val="44"/>
        </w:rPr>
        <w:t>术    语</w:t>
      </w:r>
      <w:bookmarkEnd w:id="53"/>
      <w:bookmarkEnd w:id="54"/>
    </w:p>
    <w:p w14:paraId="2B96AEE1">
      <w:pPr>
        <w:spacing w:line="360" w:lineRule="auto"/>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b/>
          <w:sz w:val="21"/>
          <w:szCs w:val="24"/>
        </w:rPr>
        <w:t>.</w:t>
      </w:r>
      <w:r>
        <w:rPr>
          <w:rFonts w:ascii="Times New Roman" w:hAnsi="Times New Roman" w:cs="Times New Roman"/>
          <w:b/>
          <w:sz w:val="21"/>
        </w:rPr>
        <w:t>0</w:t>
      </w:r>
      <w:r>
        <w:rPr>
          <w:rFonts w:ascii="Times New Roman" w:hAnsi="Times New Roman" w:cs="Times New Roman"/>
          <w:b/>
          <w:sz w:val="21"/>
          <w:szCs w:val="24"/>
        </w:rPr>
        <w:t>.</w:t>
      </w:r>
      <w:r>
        <w:rPr>
          <w:rFonts w:ascii="Times New Roman" w:hAnsi="Times New Roman" w:cs="Times New Roman"/>
          <w:b/>
          <w:sz w:val="21"/>
        </w:rPr>
        <w:t>1</w:t>
      </w:r>
      <w:r>
        <w:rPr>
          <w:rFonts w:ascii="Times New Roman" w:hAnsi="Times New Roman" w:cs="Times New Roman"/>
          <w:sz w:val="21"/>
        </w:rPr>
        <w:t xml:space="preserve">  淤地坝    check dam for farmland forming</w:t>
      </w:r>
    </w:p>
    <w:p w14:paraId="36BAB638">
      <w:pPr>
        <w:spacing w:line="360" w:lineRule="auto"/>
        <w:ind w:firstLine="264" w:firstLineChars="126"/>
        <w:rPr>
          <w:rFonts w:ascii="Times New Roman" w:hAnsi="Times New Roman" w:cs="Times New Roman"/>
          <w:sz w:val="21"/>
        </w:rPr>
      </w:pPr>
      <w:r>
        <w:rPr>
          <w:rFonts w:ascii="Times New Roman" w:hAnsi="Times New Roman" w:cs="Times New Roman"/>
          <w:sz w:val="21"/>
        </w:rPr>
        <w:t>在多泥沙沟道修建的以控制侵蚀、拦泥淤地、减少洪水和泥沙灾害为主要目的工程设施。</w:t>
      </w:r>
    </w:p>
    <w:p w14:paraId="035D8A4E">
      <w:pPr>
        <w:spacing w:line="360" w:lineRule="auto"/>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b/>
          <w:sz w:val="21"/>
          <w:szCs w:val="24"/>
        </w:rPr>
        <w:t>.</w:t>
      </w:r>
      <w:r>
        <w:rPr>
          <w:rFonts w:ascii="Times New Roman" w:hAnsi="Times New Roman" w:cs="Times New Roman"/>
          <w:b/>
          <w:sz w:val="21"/>
        </w:rPr>
        <w:t>0</w:t>
      </w:r>
      <w:r>
        <w:rPr>
          <w:rFonts w:ascii="Times New Roman" w:hAnsi="Times New Roman" w:cs="Times New Roman"/>
          <w:b/>
          <w:sz w:val="21"/>
          <w:szCs w:val="24"/>
        </w:rPr>
        <w:t>.</w:t>
      </w:r>
      <w:r>
        <w:rPr>
          <w:rFonts w:ascii="Times New Roman" w:hAnsi="Times New Roman" w:cs="Times New Roman"/>
          <w:b/>
          <w:sz w:val="21"/>
        </w:rPr>
        <w:t>2</w:t>
      </w:r>
      <w:r>
        <w:rPr>
          <w:rFonts w:ascii="Times New Roman" w:hAnsi="Times New Roman" w:cs="Times New Roman"/>
          <w:sz w:val="21"/>
        </w:rPr>
        <w:t xml:space="preserve">  滚水坝    overflow dam</w:t>
      </w:r>
    </w:p>
    <w:p w14:paraId="4F0C626D">
      <w:pPr>
        <w:spacing w:line="360" w:lineRule="auto"/>
        <w:ind w:firstLine="262" w:firstLineChars="125"/>
        <w:rPr>
          <w:rFonts w:ascii="Times New Roman" w:hAnsi="Times New Roman" w:cs="Times New Roman"/>
          <w:sz w:val="21"/>
        </w:rPr>
      </w:pPr>
      <w:r>
        <w:rPr>
          <w:rFonts w:ascii="Times New Roman" w:hAnsi="Times New Roman" w:cs="Times New Roman"/>
          <w:sz w:val="21"/>
        </w:rPr>
        <w:t>以抬高沟道上游水位、固定沟床、灌溉、生态修复为主要目的的一种高度较低的挡水建筑物。</w:t>
      </w:r>
    </w:p>
    <w:p w14:paraId="272E37AC">
      <w:pPr>
        <w:spacing w:line="360" w:lineRule="auto"/>
        <w:rPr>
          <w:rFonts w:ascii="Times New Roman" w:hAnsi="Times New Roman" w:cs="Times New Roman"/>
          <w:sz w:val="21"/>
        </w:rPr>
      </w:pPr>
      <w:bookmarkStart w:id="55" w:name="_Toc293818921"/>
      <w:bookmarkStart w:id="56" w:name="_Toc293672387"/>
      <w:r>
        <w:rPr>
          <w:rFonts w:ascii="Times New Roman" w:hAnsi="Times New Roman" w:cs="Times New Roman"/>
          <w:b/>
          <w:sz w:val="21"/>
        </w:rPr>
        <w:t>2</w:t>
      </w:r>
      <w:r>
        <w:rPr>
          <w:rFonts w:ascii="Times New Roman" w:hAnsi="Times New Roman" w:cs="Times New Roman"/>
          <w:b/>
          <w:sz w:val="21"/>
          <w:szCs w:val="24"/>
        </w:rPr>
        <w:t>.</w:t>
      </w:r>
      <w:r>
        <w:rPr>
          <w:rFonts w:ascii="Times New Roman" w:hAnsi="Times New Roman" w:cs="Times New Roman"/>
          <w:b/>
          <w:sz w:val="21"/>
        </w:rPr>
        <w:t>0</w:t>
      </w:r>
      <w:r>
        <w:rPr>
          <w:rFonts w:ascii="Times New Roman" w:hAnsi="Times New Roman" w:cs="Times New Roman"/>
          <w:b/>
          <w:sz w:val="21"/>
          <w:szCs w:val="24"/>
        </w:rPr>
        <w:t>.</w:t>
      </w:r>
      <w:r>
        <w:rPr>
          <w:rFonts w:ascii="Times New Roman" w:hAnsi="Times New Roman" w:cs="Times New Roman"/>
          <w:b/>
          <w:sz w:val="21"/>
        </w:rPr>
        <w:t>3</w:t>
      </w:r>
      <w:r>
        <w:rPr>
          <w:rFonts w:ascii="Times New Roman" w:hAnsi="Times New Roman" w:cs="Times New Roman"/>
          <w:sz w:val="21"/>
        </w:rPr>
        <w:t xml:space="preserve">  雨水集蓄利用工程</w:t>
      </w:r>
      <w:bookmarkEnd w:id="55"/>
      <w:bookmarkEnd w:id="56"/>
      <w:r>
        <w:rPr>
          <w:rFonts w:ascii="Times New Roman" w:hAnsi="Times New Roman" w:cs="Times New Roman"/>
          <w:sz w:val="21"/>
        </w:rPr>
        <w:t xml:space="preserve">    rainwater utilization works</w:t>
      </w:r>
    </w:p>
    <w:p w14:paraId="5D77E737">
      <w:pPr>
        <w:spacing w:line="360" w:lineRule="auto"/>
        <w:ind w:firstLine="264" w:firstLineChars="126"/>
        <w:rPr>
          <w:rFonts w:ascii="Times New Roman" w:hAnsi="Times New Roman" w:cs="Times New Roman"/>
          <w:sz w:val="21"/>
        </w:rPr>
      </w:pPr>
      <w:r>
        <w:rPr>
          <w:rFonts w:ascii="Times New Roman" w:hAnsi="Times New Roman" w:cs="Times New Roman"/>
          <w:sz w:val="21"/>
        </w:rPr>
        <w:t>对雨水进行收集、蓄存和调节利用的小型水利水保工程。</w:t>
      </w:r>
    </w:p>
    <w:p w14:paraId="5BF47B88">
      <w:pPr>
        <w:spacing w:line="360" w:lineRule="auto"/>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b/>
          <w:sz w:val="21"/>
          <w:szCs w:val="24"/>
        </w:rPr>
        <w:t>.</w:t>
      </w:r>
      <w:r>
        <w:rPr>
          <w:rFonts w:ascii="Times New Roman" w:hAnsi="Times New Roman" w:cs="Times New Roman"/>
          <w:b/>
          <w:sz w:val="21"/>
        </w:rPr>
        <w:t>0</w:t>
      </w:r>
      <w:r>
        <w:rPr>
          <w:rFonts w:ascii="Times New Roman" w:hAnsi="Times New Roman" w:cs="Times New Roman"/>
          <w:b/>
          <w:sz w:val="21"/>
          <w:szCs w:val="24"/>
        </w:rPr>
        <w:t>.</w:t>
      </w:r>
      <w:r>
        <w:rPr>
          <w:rFonts w:ascii="Times New Roman" w:hAnsi="Times New Roman" w:cs="Times New Roman"/>
          <w:b/>
          <w:sz w:val="21"/>
        </w:rPr>
        <w:t>4</w:t>
      </w:r>
      <w:r>
        <w:rPr>
          <w:rFonts w:ascii="Times New Roman" w:hAnsi="Times New Roman" w:cs="Times New Roman"/>
          <w:sz w:val="21"/>
        </w:rPr>
        <w:t xml:space="preserve">  林草工程    forest and grass works</w:t>
      </w:r>
    </w:p>
    <w:p w14:paraId="2942D4DB">
      <w:pPr>
        <w:spacing w:line="360" w:lineRule="auto"/>
        <w:ind w:firstLine="264" w:firstLineChars="126"/>
        <w:rPr>
          <w:rFonts w:ascii="Times New Roman" w:hAnsi="Times New Roman" w:cs="Times New Roman"/>
          <w:sz w:val="21"/>
        </w:rPr>
      </w:pPr>
      <w:r>
        <w:rPr>
          <w:rFonts w:ascii="Times New Roman" w:hAnsi="Times New Roman" w:cs="Times New Roman"/>
          <w:sz w:val="21"/>
        </w:rPr>
        <w:t>以植物措施为主体的水土流失防治工程，主要包括具有生态功能、生产功能的造林种草及经果林营造，以及农村生活污水处置湿地植物措施。</w:t>
      </w:r>
    </w:p>
    <w:p w14:paraId="5F04D8FF">
      <w:pPr>
        <w:spacing w:line="360" w:lineRule="auto"/>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b/>
          <w:sz w:val="21"/>
          <w:szCs w:val="24"/>
        </w:rPr>
        <w:t>.</w:t>
      </w:r>
      <w:r>
        <w:rPr>
          <w:rFonts w:ascii="Times New Roman" w:hAnsi="Times New Roman" w:cs="Times New Roman"/>
          <w:b/>
          <w:sz w:val="21"/>
        </w:rPr>
        <w:t>0</w:t>
      </w:r>
      <w:r>
        <w:rPr>
          <w:rFonts w:ascii="Times New Roman" w:hAnsi="Times New Roman" w:cs="Times New Roman"/>
          <w:b/>
          <w:sz w:val="21"/>
          <w:szCs w:val="24"/>
        </w:rPr>
        <w:t>.</w:t>
      </w:r>
      <w:r>
        <w:rPr>
          <w:rFonts w:ascii="Times New Roman" w:hAnsi="Times New Roman" w:cs="Times New Roman"/>
          <w:b/>
          <w:sz w:val="21"/>
        </w:rPr>
        <w:t>5</w:t>
      </w:r>
      <w:r>
        <w:rPr>
          <w:rFonts w:ascii="Times New Roman" w:hAnsi="Times New Roman" w:cs="Times New Roman"/>
          <w:sz w:val="21"/>
        </w:rPr>
        <w:t xml:space="preserve">  生态护岸    gully bank protection eco-works</w:t>
      </w:r>
    </w:p>
    <w:p w14:paraId="6902BAA2">
      <w:pPr>
        <w:spacing w:line="360" w:lineRule="auto"/>
        <w:ind w:firstLine="264" w:firstLineChars="126"/>
        <w:rPr>
          <w:rFonts w:ascii="Times New Roman" w:hAnsi="Times New Roman" w:cs="Times New Roman"/>
          <w:sz w:val="21"/>
        </w:rPr>
      </w:pPr>
      <w:r>
        <w:rPr>
          <w:rFonts w:ascii="Times New Roman" w:hAnsi="Times New Roman" w:cs="Times New Roman"/>
          <w:sz w:val="21"/>
        </w:rPr>
        <w:t>利用植物或者植物与工程相结合，对沟道滩岸进行防护，以达到固岸护地、控制土壤侵蚀和修复水生态的一种护岸形式。</w:t>
      </w:r>
    </w:p>
    <w:p w14:paraId="64C92689">
      <w:pPr>
        <w:spacing w:line="360" w:lineRule="auto"/>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b/>
          <w:sz w:val="21"/>
          <w:szCs w:val="24"/>
        </w:rPr>
        <w:t>.</w:t>
      </w:r>
      <w:r>
        <w:rPr>
          <w:rFonts w:ascii="Times New Roman" w:hAnsi="Times New Roman" w:cs="Times New Roman"/>
          <w:b/>
          <w:sz w:val="21"/>
        </w:rPr>
        <w:t>0</w:t>
      </w:r>
      <w:r>
        <w:rPr>
          <w:rFonts w:ascii="Times New Roman" w:hAnsi="Times New Roman" w:cs="Times New Roman"/>
          <w:b/>
          <w:sz w:val="21"/>
          <w:szCs w:val="24"/>
        </w:rPr>
        <w:t>.</w:t>
      </w:r>
      <w:r>
        <w:rPr>
          <w:rFonts w:ascii="Times New Roman" w:hAnsi="Times New Roman" w:cs="Times New Roman"/>
          <w:b/>
          <w:sz w:val="21"/>
        </w:rPr>
        <w:t>6</w:t>
      </w:r>
      <w:r>
        <w:rPr>
          <w:rFonts w:ascii="Times New Roman" w:hAnsi="Times New Roman" w:cs="Times New Roman"/>
          <w:sz w:val="21"/>
        </w:rPr>
        <w:t xml:space="preserve">  坡面截排水工程    water intercepting and drainage works on hill-slope</w:t>
      </w:r>
    </w:p>
    <w:p w14:paraId="7C86E40A">
      <w:pPr>
        <w:spacing w:line="360" w:lineRule="auto"/>
        <w:ind w:firstLine="264" w:firstLineChars="126"/>
        <w:rPr>
          <w:rFonts w:ascii="Times New Roman" w:hAnsi="Times New Roman" w:cs="Times New Roman"/>
          <w:sz w:val="21"/>
        </w:rPr>
      </w:pPr>
      <w:r>
        <w:rPr>
          <w:rFonts w:ascii="Times New Roman" w:hAnsi="Times New Roman" w:cs="Times New Roman"/>
          <w:sz w:val="21"/>
        </w:rPr>
        <w:t>为拦截和疏导坡面径流而修建的设施。</w:t>
      </w:r>
    </w:p>
    <w:p w14:paraId="073DCFD5">
      <w:pPr>
        <w:spacing w:line="360" w:lineRule="auto"/>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b/>
          <w:sz w:val="21"/>
          <w:szCs w:val="24"/>
        </w:rPr>
        <w:t>.</w:t>
      </w:r>
      <w:r>
        <w:rPr>
          <w:rFonts w:ascii="Times New Roman" w:hAnsi="Times New Roman" w:cs="Times New Roman"/>
          <w:b/>
          <w:sz w:val="21"/>
        </w:rPr>
        <w:t>0</w:t>
      </w:r>
      <w:r>
        <w:rPr>
          <w:rFonts w:ascii="Times New Roman" w:hAnsi="Times New Roman" w:cs="Times New Roman"/>
          <w:b/>
          <w:sz w:val="21"/>
          <w:szCs w:val="24"/>
        </w:rPr>
        <w:t>.</w:t>
      </w:r>
      <w:r>
        <w:rPr>
          <w:rFonts w:ascii="Times New Roman" w:hAnsi="Times New Roman" w:cs="Times New Roman"/>
          <w:b/>
          <w:sz w:val="21"/>
        </w:rPr>
        <w:t xml:space="preserve">7 </w:t>
      </w:r>
      <w:r>
        <w:rPr>
          <w:rFonts w:ascii="Times New Roman" w:hAnsi="Times New Roman" w:cs="Times New Roman"/>
          <w:sz w:val="21"/>
        </w:rPr>
        <w:t xml:space="preserve"> 支毛沟     branch gully</w:t>
      </w:r>
    </w:p>
    <w:p w14:paraId="68E1A1B5">
      <w:pPr>
        <w:spacing w:line="360" w:lineRule="auto"/>
        <w:ind w:firstLine="264" w:firstLineChars="126"/>
        <w:rPr>
          <w:rFonts w:ascii="Times New Roman" w:hAnsi="Times New Roman" w:cs="Times New Roman"/>
          <w:sz w:val="21"/>
        </w:rPr>
      </w:pPr>
      <w:r>
        <w:rPr>
          <w:rFonts w:ascii="Times New Roman" w:hAnsi="Times New Roman" w:cs="Times New Roman"/>
          <w:sz w:val="21"/>
        </w:rPr>
        <w:t>小流域中汇水面积小于1km</w:t>
      </w:r>
      <w:r>
        <w:rPr>
          <w:rFonts w:ascii="Times New Roman" w:hAnsi="Times New Roman" w:cs="Times New Roman"/>
          <w:sz w:val="21"/>
          <w:vertAlign w:val="superscript"/>
        </w:rPr>
        <w:t>2</w:t>
      </w:r>
      <w:r>
        <w:rPr>
          <w:rFonts w:ascii="Times New Roman" w:hAnsi="Times New Roman" w:cs="Times New Roman"/>
          <w:sz w:val="21"/>
        </w:rPr>
        <w:t>的分支沟。</w:t>
      </w:r>
    </w:p>
    <w:p w14:paraId="0AB6C9E9">
      <w:pPr>
        <w:spacing w:line="360" w:lineRule="auto"/>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b/>
          <w:sz w:val="21"/>
          <w:szCs w:val="24"/>
        </w:rPr>
        <w:t>.</w:t>
      </w:r>
      <w:r>
        <w:rPr>
          <w:rFonts w:ascii="Times New Roman" w:hAnsi="Times New Roman" w:cs="Times New Roman"/>
          <w:b/>
          <w:sz w:val="21"/>
        </w:rPr>
        <w:t>0</w:t>
      </w:r>
      <w:r>
        <w:rPr>
          <w:rFonts w:ascii="Times New Roman" w:hAnsi="Times New Roman" w:cs="Times New Roman"/>
          <w:b/>
          <w:sz w:val="21"/>
          <w:szCs w:val="24"/>
        </w:rPr>
        <w:t>.</w:t>
      </w:r>
      <w:r>
        <w:rPr>
          <w:rFonts w:ascii="Times New Roman" w:hAnsi="Times New Roman" w:cs="Times New Roman"/>
          <w:b/>
          <w:sz w:val="21"/>
        </w:rPr>
        <w:t>8</w:t>
      </w:r>
      <w:r>
        <w:rPr>
          <w:rFonts w:ascii="Times New Roman" w:hAnsi="Times New Roman" w:cs="Times New Roman"/>
          <w:sz w:val="21"/>
        </w:rPr>
        <w:t xml:space="preserve">  封育工程    fenced project and affiliated equipments </w:t>
      </w:r>
    </w:p>
    <w:p w14:paraId="6E1CEAB1">
      <w:pPr>
        <w:spacing w:line="360" w:lineRule="auto"/>
        <w:ind w:firstLine="264" w:firstLineChars="126"/>
        <w:rPr>
          <w:rFonts w:ascii="Times New Roman" w:hAnsi="Times New Roman" w:cs="Times New Roman"/>
          <w:sz w:val="21"/>
        </w:rPr>
      </w:pPr>
      <w:r>
        <w:rPr>
          <w:rFonts w:ascii="Times New Roman" w:hAnsi="Times New Roman" w:cs="Times New Roman"/>
          <w:sz w:val="21"/>
        </w:rPr>
        <w:t>以封禁为基本手段，利用植物的自然繁殖和生长能力，辅以补植、抚育、以电代柴、沼气池、节柴灶、生态移民等人工促进手段，促进和恢复区域林草植被全部措施的总称。</w:t>
      </w:r>
    </w:p>
    <w:p w14:paraId="68341B2B">
      <w:pPr>
        <w:spacing w:line="360" w:lineRule="auto"/>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b/>
          <w:sz w:val="21"/>
          <w:szCs w:val="24"/>
        </w:rPr>
        <w:t>.</w:t>
      </w:r>
      <w:r>
        <w:rPr>
          <w:rFonts w:ascii="Times New Roman" w:hAnsi="Times New Roman" w:cs="Times New Roman"/>
          <w:b/>
          <w:sz w:val="21"/>
        </w:rPr>
        <w:t>0</w:t>
      </w:r>
      <w:r>
        <w:rPr>
          <w:rFonts w:ascii="Times New Roman" w:hAnsi="Times New Roman" w:cs="Times New Roman"/>
          <w:b/>
          <w:sz w:val="21"/>
          <w:szCs w:val="24"/>
        </w:rPr>
        <w:t>.</w:t>
      </w:r>
      <w:r>
        <w:rPr>
          <w:rFonts w:ascii="Times New Roman" w:hAnsi="Times New Roman" w:cs="Times New Roman"/>
          <w:b/>
          <w:sz w:val="21"/>
        </w:rPr>
        <w:t>9</w:t>
      </w:r>
      <w:r>
        <w:rPr>
          <w:rFonts w:ascii="Times New Roman" w:hAnsi="Times New Roman" w:cs="Times New Roman"/>
          <w:sz w:val="21"/>
        </w:rPr>
        <w:t xml:space="preserve">  弃渣场    </w:t>
      </w:r>
      <w:bookmarkStart w:id="57" w:name="OLE_LINK20"/>
      <w:bookmarkStart w:id="58" w:name="OLE_LINK19"/>
      <w:r>
        <w:rPr>
          <w:rFonts w:ascii="Times New Roman" w:hAnsi="Times New Roman" w:cs="Times New Roman"/>
          <w:sz w:val="21"/>
        </w:rPr>
        <w:t>residues disposal area</w:t>
      </w:r>
      <w:bookmarkEnd w:id="57"/>
      <w:bookmarkEnd w:id="58"/>
    </w:p>
    <w:p w14:paraId="28369773">
      <w:pPr>
        <w:spacing w:line="360" w:lineRule="auto"/>
        <w:ind w:firstLine="264" w:firstLineChars="126"/>
        <w:rPr>
          <w:rFonts w:ascii="Times New Roman" w:hAnsi="Times New Roman" w:cs="Times New Roman"/>
          <w:sz w:val="21"/>
        </w:rPr>
      </w:pPr>
      <w:r>
        <w:rPr>
          <w:rFonts w:ascii="Times New Roman" w:hAnsi="Times New Roman" w:cs="Times New Roman"/>
          <w:sz w:val="21"/>
        </w:rPr>
        <w:t>工程建设中对自身不能利用的开挖土石方、拆除混凝土（土、石）或其混合物所选择的处置或堆放场地及其堆存物的总称。</w:t>
      </w:r>
    </w:p>
    <w:p w14:paraId="1FE7B0AC">
      <w:pPr>
        <w:spacing w:line="360" w:lineRule="auto"/>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b/>
          <w:sz w:val="21"/>
          <w:szCs w:val="24"/>
        </w:rPr>
        <w:t>.</w:t>
      </w:r>
      <w:r>
        <w:rPr>
          <w:rFonts w:ascii="Times New Roman" w:hAnsi="Times New Roman" w:cs="Times New Roman"/>
          <w:b/>
          <w:sz w:val="21"/>
        </w:rPr>
        <w:t>0</w:t>
      </w:r>
      <w:r>
        <w:rPr>
          <w:rFonts w:ascii="Times New Roman" w:hAnsi="Times New Roman" w:cs="Times New Roman"/>
          <w:b/>
          <w:sz w:val="21"/>
          <w:szCs w:val="24"/>
        </w:rPr>
        <w:t>.</w:t>
      </w:r>
      <w:r>
        <w:rPr>
          <w:rFonts w:ascii="Times New Roman" w:hAnsi="Times New Roman" w:cs="Times New Roman"/>
          <w:b/>
          <w:sz w:val="21"/>
        </w:rPr>
        <w:t>10</w:t>
      </w:r>
      <w:r>
        <w:rPr>
          <w:rFonts w:ascii="Times New Roman" w:hAnsi="Times New Roman" w:cs="Times New Roman"/>
          <w:sz w:val="21"/>
        </w:rPr>
        <w:t xml:space="preserve">  最大堆渣高度    maximum height of slag-dumping</w:t>
      </w:r>
    </w:p>
    <w:p w14:paraId="68520824">
      <w:pPr>
        <w:spacing w:line="360" w:lineRule="auto"/>
        <w:ind w:firstLine="262" w:firstLineChars="125"/>
        <w:rPr>
          <w:rFonts w:ascii="Times New Roman" w:hAnsi="Times New Roman" w:cs="Times New Roman"/>
          <w:sz w:val="21"/>
        </w:rPr>
      </w:pPr>
      <w:r>
        <w:rPr>
          <w:rFonts w:ascii="Times New Roman" w:hAnsi="Times New Roman" w:cs="Times New Roman"/>
          <w:sz w:val="21"/>
        </w:rPr>
        <w:t>堆渣体最高点与渣脚最低点之间的高程差值。</w:t>
      </w:r>
    </w:p>
    <w:p w14:paraId="658F6C30">
      <w:pPr>
        <w:spacing w:line="360" w:lineRule="auto"/>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b/>
          <w:sz w:val="21"/>
          <w:szCs w:val="24"/>
        </w:rPr>
        <w:t>.</w:t>
      </w:r>
      <w:r>
        <w:rPr>
          <w:rFonts w:ascii="Times New Roman" w:hAnsi="Times New Roman" w:cs="Times New Roman"/>
          <w:b/>
          <w:sz w:val="21"/>
        </w:rPr>
        <w:t>0</w:t>
      </w:r>
      <w:r>
        <w:rPr>
          <w:rFonts w:ascii="Times New Roman" w:hAnsi="Times New Roman" w:cs="Times New Roman"/>
          <w:b/>
          <w:sz w:val="21"/>
          <w:szCs w:val="24"/>
        </w:rPr>
        <w:t>.</w:t>
      </w:r>
      <w:r>
        <w:rPr>
          <w:rFonts w:ascii="Times New Roman" w:hAnsi="Times New Roman" w:cs="Times New Roman"/>
          <w:b/>
          <w:sz w:val="21"/>
        </w:rPr>
        <w:t>11</w:t>
      </w:r>
      <w:r>
        <w:rPr>
          <w:rFonts w:ascii="Times New Roman" w:hAnsi="Times New Roman" w:cs="Times New Roman"/>
          <w:sz w:val="21"/>
        </w:rPr>
        <w:t xml:space="preserve">  防风固沙带    windbreak and sand-fixation belt</w:t>
      </w:r>
    </w:p>
    <w:p w14:paraId="6C2CF793">
      <w:pPr>
        <w:spacing w:line="360" w:lineRule="auto"/>
        <w:ind w:firstLine="264" w:firstLineChars="126"/>
        <w:rPr>
          <w:rFonts w:ascii="Times New Roman" w:hAnsi="Times New Roman" w:cs="Times New Roman"/>
          <w:sz w:val="21"/>
        </w:rPr>
      </w:pPr>
      <w:r>
        <w:rPr>
          <w:rFonts w:ascii="Times New Roman" w:hAnsi="Times New Roman" w:cs="Times New Roman"/>
          <w:sz w:val="21"/>
        </w:rPr>
        <w:t>为控制风蚀危害，根据区域风蚀特点布设在工程保护对象周边，由若干植物固沙、沙障固沙、化学固沙和封育措施组合所形成的带状防护措施体系。</w:t>
      </w:r>
    </w:p>
    <w:p w14:paraId="4353C173">
      <w:pPr>
        <w:spacing w:line="360" w:lineRule="auto"/>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b/>
          <w:sz w:val="21"/>
          <w:szCs w:val="24"/>
        </w:rPr>
        <w:t>.</w:t>
      </w:r>
      <w:r>
        <w:rPr>
          <w:rFonts w:ascii="Times New Roman" w:hAnsi="Times New Roman" w:cs="Times New Roman"/>
          <w:b/>
          <w:sz w:val="21"/>
        </w:rPr>
        <w:t>0</w:t>
      </w:r>
      <w:r>
        <w:rPr>
          <w:rFonts w:ascii="Times New Roman" w:hAnsi="Times New Roman" w:cs="Times New Roman"/>
          <w:b/>
          <w:sz w:val="21"/>
          <w:szCs w:val="24"/>
        </w:rPr>
        <w:t>.</w:t>
      </w:r>
      <w:r>
        <w:rPr>
          <w:rFonts w:ascii="Times New Roman" w:hAnsi="Times New Roman" w:cs="Times New Roman"/>
          <w:b/>
          <w:sz w:val="21"/>
        </w:rPr>
        <w:t>12</w:t>
      </w:r>
      <w:r>
        <w:rPr>
          <w:rFonts w:ascii="Times New Roman" w:hAnsi="Times New Roman" w:cs="Times New Roman"/>
          <w:sz w:val="21"/>
        </w:rPr>
        <w:t xml:space="preserve">  临时堆渣场</w:t>
      </w:r>
      <w:r>
        <w:rPr>
          <w:rFonts w:hint="eastAsia" w:ascii="Times New Roman" w:hAnsi="Times New Roman" w:cs="Times New Roman"/>
          <w:sz w:val="21"/>
        </w:rPr>
        <w:t xml:space="preserve">    temporary residues disposal area</w:t>
      </w:r>
    </w:p>
    <w:p w14:paraId="48D1B77A">
      <w:pPr>
        <w:spacing w:line="360" w:lineRule="auto"/>
        <w:ind w:firstLine="264" w:firstLineChars="126"/>
        <w:rPr>
          <w:rFonts w:ascii="Times New Roman" w:hAnsi="Times New Roman" w:cs="Times New Roman"/>
          <w:sz w:val="21"/>
        </w:rPr>
      </w:pPr>
      <w:r>
        <w:rPr>
          <w:rFonts w:ascii="Times New Roman" w:hAnsi="Times New Roman" w:cs="Times New Roman"/>
          <w:sz w:val="21"/>
        </w:rPr>
        <w:t>在施工或生产过程中，为暂时存放弃渣而设立的临时性场地及其堆存物，主要用于中转或短期堆放，堆存物后续进行资源化利用或规范处置。</w:t>
      </w:r>
    </w:p>
    <w:p w14:paraId="5BCDA2AF">
      <w:pPr>
        <w:spacing w:line="360" w:lineRule="auto"/>
        <w:ind w:firstLine="264" w:firstLineChars="126"/>
        <w:rPr>
          <w:rFonts w:ascii="Times New Roman" w:hAnsi="Times New Roman" w:cs="Times New Roman"/>
          <w:kern w:val="44"/>
          <w:sz w:val="32"/>
          <w:szCs w:val="44"/>
        </w:rPr>
      </w:pPr>
      <w:r>
        <w:rPr>
          <w:rFonts w:ascii="Times New Roman" w:hAnsi="Times New Roman" w:cs="Times New Roman"/>
          <w:sz w:val="21"/>
        </w:rPr>
        <w:br w:type="page"/>
      </w:r>
    </w:p>
    <w:p w14:paraId="23A04E10">
      <w:pPr>
        <w:keepNext/>
        <w:keepLines/>
        <w:spacing w:before="260" w:after="260" w:line="578" w:lineRule="auto"/>
        <w:jc w:val="center"/>
        <w:outlineLvl w:val="0"/>
        <w:rPr>
          <w:rFonts w:ascii="Times New Roman" w:hAnsi="Times New Roman" w:eastAsia="黑体" w:cs="Times New Roman"/>
          <w:bCs/>
          <w:kern w:val="44"/>
          <w:sz w:val="32"/>
          <w:szCs w:val="44"/>
        </w:rPr>
      </w:pPr>
      <w:bookmarkStart w:id="59" w:name="_Toc31487"/>
      <w:bookmarkStart w:id="60" w:name="_Toc7038"/>
      <w:r>
        <w:rPr>
          <w:rFonts w:ascii="Times New Roman" w:hAnsi="Times New Roman" w:eastAsia="黑体" w:cs="Times New Roman"/>
          <w:bCs/>
          <w:kern w:val="44"/>
          <w:sz w:val="32"/>
          <w:szCs w:val="44"/>
        </w:rPr>
        <w:t xml:space="preserve">3 </w:t>
      </w:r>
      <w:r>
        <w:rPr>
          <w:rFonts w:hint="eastAsia" w:ascii="Times New Roman" w:hAnsi="Times New Roman" w:eastAsia="黑体" w:cs="Times New Roman"/>
          <w:bCs/>
          <w:kern w:val="44"/>
          <w:sz w:val="32"/>
          <w:szCs w:val="44"/>
        </w:rPr>
        <w:t xml:space="preserve"> </w:t>
      </w:r>
      <w:r>
        <w:rPr>
          <w:rFonts w:ascii="Times New Roman" w:hAnsi="Times New Roman" w:eastAsia="黑体" w:cs="Times New Roman"/>
          <w:bCs/>
          <w:kern w:val="44"/>
          <w:sz w:val="32"/>
          <w:szCs w:val="44"/>
        </w:rPr>
        <w:t>基 本 规 定</w:t>
      </w:r>
      <w:bookmarkEnd w:id="59"/>
      <w:bookmarkEnd w:id="60"/>
    </w:p>
    <w:p w14:paraId="6197BEFE">
      <w:pPr>
        <w:spacing w:line="360" w:lineRule="auto"/>
        <w:jc w:val="left"/>
        <w:rPr>
          <w:rFonts w:ascii="Times New Roman" w:hAnsi="Times New Roman" w:cs="Times New Roman"/>
          <w:sz w:val="21"/>
          <w:szCs w:val="21"/>
        </w:rPr>
      </w:pPr>
      <w:r>
        <w:rPr>
          <w:rFonts w:ascii="Times New Roman" w:hAnsi="Times New Roman" w:eastAsia="黑体" w:cs="Times New Roman"/>
          <w:b/>
          <w:sz w:val="21"/>
          <w:szCs w:val="24"/>
        </w:rPr>
        <w:t>3</w:t>
      </w:r>
      <w:r>
        <w:rPr>
          <w:rFonts w:ascii="Times New Roman" w:hAnsi="Times New Roman" w:cs="Times New Roman"/>
          <w:b/>
          <w:sz w:val="21"/>
          <w:szCs w:val="24"/>
        </w:rPr>
        <w:t>.</w:t>
      </w:r>
      <w:r>
        <w:rPr>
          <w:rFonts w:ascii="Times New Roman" w:hAnsi="Times New Roman" w:eastAsia="黑体" w:cs="Times New Roman"/>
          <w:b/>
          <w:sz w:val="21"/>
          <w:szCs w:val="24"/>
        </w:rPr>
        <w:t>0</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rPr>
        <w:t>水土流失综合治理工程设计应重点分析流域土地利用现状、经济社会发展和水土流失防治需求，应以“治理水土流失，保护和合理利用水土资源，提高土地生产力，改善农村生产生活条件及生态环境，提升水土保持功能和生态产品供给能力”为基本出发点进行总体布置，并应据此开展各类措施或单项工程的设计。</w:t>
      </w:r>
    </w:p>
    <w:p w14:paraId="0540A3AB">
      <w:pPr>
        <w:spacing w:line="360" w:lineRule="auto"/>
        <w:rPr>
          <w:rFonts w:ascii="Times New Roman" w:hAnsi="Times New Roman" w:cs="Times New Roman"/>
          <w:sz w:val="21"/>
          <w:szCs w:val="21"/>
        </w:rPr>
      </w:pPr>
      <w:r>
        <w:rPr>
          <w:rFonts w:ascii="Times New Roman" w:hAnsi="Times New Roman" w:eastAsia="黑体" w:cs="Times New Roman"/>
          <w:b/>
          <w:sz w:val="21"/>
          <w:szCs w:val="24"/>
        </w:rPr>
        <w:t>3</w:t>
      </w:r>
      <w:r>
        <w:rPr>
          <w:rFonts w:ascii="Times New Roman" w:hAnsi="Times New Roman" w:cs="Times New Roman"/>
          <w:b/>
          <w:sz w:val="21"/>
          <w:szCs w:val="24"/>
        </w:rPr>
        <w:t>.</w:t>
      </w:r>
      <w:r>
        <w:rPr>
          <w:rFonts w:ascii="Times New Roman" w:hAnsi="Times New Roman" w:eastAsia="黑体" w:cs="Times New Roman"/>
          <w:b/>
          <w:sz w:val="21"/>
          <w:szCs w:val="24"/>
        </w:rPr>
        <w:t>0</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sz w:val="21"/>
          <w:szCs w:val="24"/>
        </w:rPr>
        <w:t xml:space="preserve">  </w:t>
      </w:r>
      <w:r>
        <w:rPr>
          <w:rFonts w:ascii="Times New Roman" w:hAnsi="Times New Roman" w:cs="Times New Roman"/>
          <w:sz w:val="21"/>
          <w:szCs w:val="21"/>
        </w:rPr>
        <w:t>水土流失综合治理工程应以小流域为单元，根据水土流失防治、生态建设及经济社会发展需求，统筹山、水、林、田、湖、草、沙、路、渠、村进行总体布置，做到坡面与沟道、上游与下游、治理与利用、植物与工程、生态与经济兼顾，使各类措施相互配合，发挥综合效益。</w:t>
      </w:r>
    </w:p>
    <w:p w14:paraId="3609739A">
      <w:pPr>
        <w:spacing w:line="360" w:lineRule="auto"/>
        <w:rPr>
          <w:rFonts w:ascii="Times New Roman" w:hAnsi="Times New Roman" w:cs="Times New Roman"/>
          <w:sz w:val="21"/>
          <w:szCs w:val="21"/>
        </w:rPr>
      </w:pPr>
      <w:r>
        <w:rPr>
          <w:rFonts w:ascii="Times New Roman" w:hAnsi="Times New Roman" w:eastAsia="黑体" w:cs="Times New Roman"/>
          <w:b/>
          <w:sz w:val="21"/>
          <w:szCs w:val="24"/>
        </w:rPr>
        <w:t>3</w:t>
      </w:r>
      <w:r>
        <w:rPr>
          <w:rFonts w:ascii="Times New Roman" w:hAnsi="Times New Roman" w:cs="Times New Roman"/>
          <w:b/>
          <w:sz w:val="21"/>
          <w:szCs w:val="24"/>
        </w:rPr>
        <w:t>.</w:t>
      </w:r>
      <w:r>
        <w:rPr>
          <w:rFonts w:ascii="Times New Roman" w:hAnsi="Times New Roman" w:eastAsia="黑体" w:cs="Times New Roman"/>
          <w:b/>
          <w:sz w:val="21"/>
          <w:szCs w:val="24"/>
        </w:rPr>
        <w:t>0</w:t>
      </w:r>
      <w:r>
        <w:rPr>
          <w:rFonts w:ascii="Times New Roman" w:hAnsi="Times New Roman" w:cs="Times New Roman"/>
          <w:b/>
          <w:sz w:val="21"/>
          <w:szCs w:val="24"/>
        </w:rPr>
        <w:t>.</w:t>
      </w:r>
      <w:r>
        <w:rPr>
          <w:rFonts w:ascii="Times New Roman" w:hAnsi="Times New Roman" w:eastAsia="黑体" w:cs="Times New Roman"/>
          <w:b/>
          <w:sz w:val="21"/>
          <w:szCs w:val="24"/>
        </w:rPr>
        <w:t>3</w:t>
      </w:r>
      <w:r>
        <w:rPr>
          <w:rFonts w:ascii="Times New Roman" w:hAnsi="Times New Roman" w:cs="Times New Roman"/>
          <w:sz w:val="21"/>
          <w:szCs w:val="24"/>
        </w:rPr>
        <w:t xml:space="preserve">  水土流失综合治理工程</w:t>
      </w:r>
      <w:r>
        <w:rPr>
          <w:rFonts w:ascii="Times New Roman" w:hAnsi="Times New Roman" w:cs="Times New Roman"/>
          <w:sz w:val="21"/>
          <w:szCs w:val="21"/>
        </w:rPr>
        <w:t>总体布置应符合下列规定：</w:t>
      </w:r>
    </w:p>
    <w:p w14:paraId="15A8A20D">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1</w:t>
      </w:r>
      <w:r>
        <w:rPr>
          <w:rFonts w:ascii="Times New Roman" w:hAnsi="Times New Roman" w:cs="Times New Roman"/>
          <w:sz w:val="21"/>
          <w:szCs w:val="21"/>
        </w:rPr>
        <w:t xml:space="preserve">  应坚持沟坡兼治，坡面以梯田、林草工程为主，沟道应以淤地坝坝系、拦沙坝、塘坝、谷坊、滚水坝、滩岸防护工程为主。</w:t>
      </w:r>
    </w:p>
    <w:p w14:paraId="2DA8F63E">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应坚持生态与经济兼顾，梯田与林草工程布置应根据其生产功能，加强降水资源的合理利用，在少雨缺水地区配置雨水集蓄利用工程，多雨地区配置蓄排结合的蓄水排水工程，使梯田与坡面水系工程相配套，经济林、果园、设施农业与节水节灌、补灌相配套。</w:t>
      </w:r>
    </w:p>
    <w:p w14:paraId="5D10DADD">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 xml:space="preserve">3 </w:t>
      </w:r>
      <w:r>
        <w:rPr>
          <w:rFonts w:ascii="Times New Roman" w:hAnsi="Times New Roman" w:cs="Times New Roman"/>
          <w:sz w:val="21"/>
          <w:szCs w:val="21"/>
        </w:rPr>
        <w:t xml:space="preserve"> 应坚持自然修复和人工治理相结合，在江河源头区、远山边山地区应根据实际情况，充分利用自然修复能力，合理布置封育及其配套措施。</w:t>
      </w:r>
    </w:p>
    <w:p w14:paraId="1F1CFD75">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sz w:val="21"/>
          <w:szCs w:val="21"/>
        </w:rPr>
        <w:t xml:space="preserve">  江河源头、重要水源地、农林特色产业、生态景观资源丰富、民俗文化及人文资源优势明显的区域，宜按生态清洁小流域进行措施配置。</w:t>
      </w:r>
    </w:p>
    <w:p w14:paraId="451D40C9">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5</w:t>
      </w:r>
      <w:r>
        <w:rPr>
          <w:rFonts w:ascii="Times New Roman" w:hAnsi="Times New Roman" w:cs="Times New Roman"/>
          <w:sz w:val="21"/>
          <w:szCs w:val="21"/>
        </w:rPr>
        <w:t xml:space="preserve">  在山洪灾害、泥石</w:t>
      </w:r>
      <w:r>
        <w:rPr>
          <w:rFonts w:hint="eastAsia" w:ascii="Times New Roman" w:hAnsi="Times New Roman" w:cs="Times New Roman"/>
          <w:sz w:val="21"/>
          <w:szCs w:val="21"/>
        </w:rPr>
        <w:t>流</w:t>
      </w:r>
      <w:r>
        <w:rPr>
          <w:rFonts w:ascii="Times New Roman" w:hAnsi="Times New Roman" w:cs="Times New Roman"/>
          <w:sz w:val="21"/>
          <w:szCs w:val="21"/>
        </w:rPr>
        <w:t>灾害、崩岗灾害严重的地区，应合理配置防灾减灾的水土保持措施。</w:t>
      </w:r>
    </w:p>
    <w:p w14:paraId="38776856">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6</w:t>
      </w:r>
      <w:r>
        <w:rPr>
          <w:rFonts w:ascii="Times New Roman" w:hAnsi="Times New Roman" w:cs="Times New Roman"/>
          <w:sz w:val="21"/>
          <w:szCs w:val="21"/>
        </w:rPr>
        <w:t xml:space="preserve">  有条件建设水土保持科技和科普教育示范的小流域，应充分利用生态、景观、文化、观光、旅游等资源，合理配置措施。</w:t>
      </w:r>
    </w:p>
    <w:p w14:paraId="2EC34582">
      <w:pPr>
        <w:spacing w:line="360" w:lineRule="auto"/>
        <w:rPr>
          <w:rFonts w:ascii="Times New Roman" w:hAnsi="Times New Roman" w:cs="Times New Roman"/>
          <w:sz w:val="21"/>
        </w:rPr>
      </w:pPr>
      <w:r>
        <w:rPr>
          <w:rFonts w:ascii="Times New Roman" w:hAnsi="Times New Roman" w:eastAsia="黑体" w:cs="Times New Roman"/>
          <w:b/>
          <w:sz w:val="21"/>
          <w:szCs w:val="24"/>
        </w:rPr>
        <w:t>3</w:t>
      </w:r>
      <w:r>
        <w:rPr>
          <w:rFonts w:ascii="Times New Roman" w:hAnsi="Times New Roman" w:cs="Times New Roman"/>
          <w:b/>
          <w:sz w:val="21"/>
          <w:szCs w:val="24"/>
        </w:rPr>
        <w:t>.</w:t>
      </w:r>
      <w:r>
        <w:rPr>
          <w:rFonts w:ascii="Times New Roman" w:hAnsi="Times New Roman" w:eastAsia="黑体" w:cs="Times New Roman"/>
          <w:b/>
          <w:sz w:val="21"/>
          <w:szCs w:val="24"/>
        </w:rPr>
        <w:t>0</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sz w:val="21"/>
          <w:szCs w:val="24"/>
        </w:rPr>
        <w:t xml:space="preserve">  </w:t>
      </w:r>
      <w:r>
        <w:rPr>
          <w:rFonts w:ascii="Times New Roman" w:hAnsi="Times New Roman" w:cs="Times New Roman"/>
          <w:sz w:val="21"/>
        </w:rPr>
        <w:t>生产建设项目水土保持设计应控制和减少对原地貌、地表植被、水系的扰动和损毁，</w:t>
      </w:r>
      <w:r>
        <w:rPr>
          <w:rFonts w:ascii="Times New Roman" w:hAnsi="Times New Roman" w:cs="Times New Roman"/>
          <w:sz w:val="21"/>
          <w:szCs w:val="24"/>
        </w:rPr>
        <w:t>充分利用与保护水土资源，</w:t>
      </w:r>
      <w:r>
        <w:rPr>
          <w:rFonts w:ascii="Times New Roman" w:hAnsi="Times New Roman" w:cs="Times New Roman"/>
          <w:sz w:val="21"/>
        </w:rPr>
        <w:t>注重</w:t>
      </w:r>
      <w:r>
        <w:rPr>
          <w:rFonts w:ascii="Times New Roman" w:hAnsi="Times New Roman" w:cs="Times New Roman"/>
          <w:sz w:val="21"/>
          <w:szCs w:val="24"/>
        </w:rPr>
        <w:t>生态保护并</w:t>
      </w:r>
      <w:r>
        <w:rPr>
          <w:rFonts w:ascii="Times New Roman" w:hAnsi="Times New Roman" w:cs="Times New Roman"/>
          <w:sz w:val="21"/>
        </w:rPr>
        <w:t>提高资源利用效率</w:t>
      </w:r>
      <w:r>
        <w:rPr>
          <w:rFonts w:ascii="Times New Roman" w:hAnsi="Times New Roman" w:cs="Times New Roman"/>
          <w:sz w:val="21"/>
          <w:szCs w:val="24"/>
        </w:rPr>
        <w:t>，拟定水土保持措施总体布局，分区开展水土保持设计，使水土保持工程和设施与项目区生态、地貌、植被、景观相协调。</w:t>
      </w:r>
    </w:p>
    <w:p w14:paraId="43BE958C">
      <w:pPr>
        <w:spacing w:line="360" w:lineRule="auto"/>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cs="Times New Roman"/>
          <w:b/>
          <w:sz w:val="21"/>
          <w:szCs w:val="24"/>
        </w:rPr>
        <w:t>.</w:t>
      </w:r>
      <w:r>
        <w:rPr>
          <w:rFonts w:ascii="Times New Roman" w:hAnsi="Times New Roman" w:eastAsia="黑体" w:cs="Times New Roman"/>
          <w:b/>
          <w:sz w:val="21"/>
          <w:szCs w:val="24"/>
        </w:rPr>
        <w:t>0</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 xml:space="preserve"> </w:t>
      </w:r>
      <w:r>
        <w:rPr>
          <w:rFonts w:ascii="Times New Roman" w:hAnsi="Times New Roman" w:cs="Times New Roman"/>
          <w:sz w:val="21"/>
          <w:szCs w:val="24"/>
        </w:rPr>
        <w:t xml:space="preserve"> 生产建设项目水土保持措施总体布局设计应按现行国家标准《生产建设项目水土保持技术标准》GB 50433的有关规定执行。</w:t>
      </w:r>
    </w:p>
    <w:p w14:paraId="79404DCE">
      <w:pPr>
        <w:spacing w:line="360" w:lineRule="auto"/>
        <w:rPr>
          <w:rFonts w:ascii="Times New Roman" w:hAnsi="Times New Roman" w:cs="Times New Roman"/>
          <w:sz w:val="21"/>
        </w:rPr>
      </w:pPr>
      <w:r>
        <w:rPr>
          <w:rFonts w:ascii="Times New Roman" w:hAnsi="Times New Roman" w:eastAsia="黑体" w:cs="Times New Roman"/>
          <w:b/>
          <w:sz w:val="21"/>
          <w:szCs w:val="24"/>
        </w:rPr>
        <w:t>3</w:t>
      </w:r>
      <w:r>
        <w:rPr>
          <w:rFonts w:ascii="Times New Roman" w:hAnsi="Times New Roman" w:cs="Times New Roman"/>
          <w:b/>
          <w:sz w:val="21"/>
          <w:szCs w:val="24"/>
        </w:rPr>
        <w:t>.</w:t>
      </w:r>
      <w:r>
        <w:rPr>
          <w:rFonts w:ascii="Times New Roman" w:hAnsi="Times New Roman" w:eastAsia="黑体" w:cs="Times New Roman"/>
          <w:b/>
          <w:sz w:val="21"/>
          <w:szCs w:val="24"/>
        </w:rPr>
        <w:t>0</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rPr>
        <w:t xml:space="preserve"> </w:t>
      </w:r>
      <w:r>
        <w:rPr>
          <w:rFonts w:ascii="Times New Roman" w:hAnsi="Times New Roman" w:cs="Times New Roman"/>
          <w:sz w:val="21"/>
        </w:rPr>
        <w:t xml:space="preserve"> 水土保持工程设计调查与勘测资料及图件比例尺的基本要求应按《水土保持工程调查与勘测标准》GB/T 51297有关规定执行。</w:t>
      </w:r>
    </w:p>
    <w:p w14:paraId="75490A2D">
      <w:pPr>
        <w:spacing w:line="360" w:lineRule="auto"/>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cs="Times New Roman"/>
          <w:b/>
          <w:sz w:val="21"/>
          <w:szCs w:val="24"/>
        </w:rPr>
        <w:t>.</w:t>
      </w:r>
      <w:r>
        <w:rPr>
          <w:rFonts w:ascii="Times New Roman" w:hAnsi="Times New Roman" w:eastAsia="黑体" w:cs="Times New Roman"/>
          <w:b/>
          <w:sz w:val="21"/>
          <w:szCs w:val="24"/>
        </w:rPr>
        <w:t>0</w:t>
      </w:r>
      <w:r>
        <w:rPr>
          <w:rFonts w:ascii="Times New Roman" w:hAnsi="Times New Roman" w:cs="Times New Roman"/>
          <w:b/>
          <w:sz w:val="21"/>
          <w:szCs w:val="24"/>
        </w:rPr>
        <w:t>.</w:t>
      </w:r>
      <w:r>
        <w:rPr>
          <w:rFonts w:ascii="Times New Roman" w:hAnsi="Times New Roman" w:eastAsia="黑体" w:cs="Times New Roman"/>
          <w:b/>
          <w:sz w:val="21"/>
          <w:szCs w:val="24"/>
        </w:rPr>
        <w:t>7</w:t>
      </w:r>
      <w:r>
        <w:rPr>
          <w:rFonts w:ascii="Times New Roman" w:hAnsi="Times New Roman" w:cs="Times New Roman"/>
          <w:b/>
          <w:sz w:val="21"/>
          <w:szCs w:val="24"/>
        </w:rPr>
        <w:t xml:space="preserve">  </w:t>
      </w:r>
      <w:r>
        <w:rPr>
          <w:rFonts w:ascii="Times New Roman" w:hAnsi="Times New Roman" w:cs="Times New Roman"/>
          <w:sz w:val="21"/>
          <w:szCs w:val="24"/>
        </w:rPr>
        <w:t>水土保持工程规模、设计标准，应按总体布置（局）中确定的各项措施有机组合所发挥的作用和要求，遵循“安全可靠、经济合理”原则确定。</w:t>
      </w:r>
    </w:p>
    <w:bookmarkEnd w:id="10"/>
    <w:p w14:paraId="44258F3C">
      <w:pPr>
        <w:rPr>
          <w:rFonts w:ascii="Times New Roman" w:hAnsi="Times New Roman" w:cs="Times New Roman"/>
        </w:rPr>
        <w:sectPr>
          <w:headerReference r:id="rId8" w:type="default"/>
          <w:footerReference r:id="rId9" w:type="default"/>
          <w:pgSz w:w="11906" w:h="16838"/>
          <w:pgMar w:top="1440" w:right="1800" w:bottom="1440" w:left="1800" w:header="851" w:footer="992" w:gutter="0"/>
          <w:pgNumType w:start="1"/>
          <w:cols w:space="425" w:num="1"/>
          <w:docGrid w:type="lines" w:linePitch="312" w:charSpace="0"/>
        </w:sectPr>
      </w:pPr>
    </w:p>
    <w:p w14:paraId="78798E50">
      <w:pPr>
        <w:keepNext/>
        <w:keepLines/>
        <w:spacing w:before="260" w:after="260" w:line="578" w:lineRule="auto"/>
        <w:jc w:val="center"/>
        <w:outlineLvl w:val="0"/>
        <w:rPr>
          <w:rFonts w:ascii="Times New Roman" w:hAnsi="Times New Roman" w:eastAsia="黑体" w:cs="Times New Roman"/>
          <w:bCs/>
          <w:kern w:val="44"/>
          <w:sz w:val="32"/>
          <w:szCs w:val="44"/>
        </w:rPr>
      </w:pPr>
      <w:bookmarkStart w:id="61" w:name="_Toc1958"/>
      <w:bookmarkStart w:id="62" w:name="_Toc6623"/>
      <w:r>
        <w:rPr>
          <w:rFonts w:ascii="Times New Roman" w:hAnsi="Times New Roman" w:eastAsia="黑体" w:cs="Times New Roman"/>
          <w:bCs/>
          <w:kern w:val="44"/>
          <w:sz w:val="32"/>
          <w:szCs w:val="44"/>
        </w:rPr>
        <w:t xml:space="preserve">4 </w:t>
      </w:r>
      <w:r>
        <w:rPr>
          <w:rFonts w:hint="eastAsia" w:ascii="Times New Roman" w:hAnsi="Times New Roman" w:eastAsia="黑体" w:cs="Times New Roman"/>
          <w:bCs/>
          <w:kern w:val="44"/>
          <w:sz w:val="32"/>
          <w:szCs w:val="44"/>
        </w:rPr>
        <w:t xml:space="preserve"> </w:t>
      </w:r>
      <w:r>
        <w:rPr>
          <w:rFonts w:ascii="Times New Roman" w:hAnsi="Times New Roman" w:eastAsia="黑体" w:cs="Times New Roman"/>
          <w:bCs/>
          <w:kern w:val="44"/>
          <w:sz w:val="32"/>
          <w:szCs w:val="44"/>
        </w:rPr>
        <w:t>水土流失综合治理工程</w:t>
      </w:r>
      <w:bookmarkEnd w:id="61"/>
      <w:bookmarkEnd w:id="62"/>
    </w:p>
    <w:p w14:paraId="6F390314">
      <w:pPr>
        <w:keepNext/>
        <w:keepLines/>
        <w:spacing w:before="260" w:after="260" w:line="415" w:lineRule="auto"/>
        <w:jc w:val="center"/>
        <w:outlineLvl w:val="1"/>
        <w:rPr>
          <w:rFonts w:ascii="Times New Roman" w:hAnsi="Times New Roman" w:eastAsia="黑体" w:cs="Times New Roman"/>
          <w:bCs/>
          <w:sz w:val="30"/>
          <w:szCs w:val="32"/>
        </w:rPr>
      </w:pPr>
      <w:bookmarkStart w:id="63" w:name="_Toc12287"/>
      <w:bookmarkStart w:id="64" w:name="_Toc25083"/>
      <w:r>
        <w:rPr>
          <w:rFonts w:ascii="Times New Roman" w:hAnsi="Times New Roman" w:eastAsia="黑体" w:cs="Times New Roman"/>
          <w:bCs/>
          <w:sz w:val="30"/>
          <w:szCs w:val="32"/>
        </w:rPr>
        <w:t>4.1 分区总体布置要求</w:t>
      </w:r>
      <w:bookmarkEnd w:id="63"/>
      <w:bookmarkEnd w:id="64"/>
    </w:p>
    <w:p w14:paraId="3A40E6A1">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1"/>
        </w:rPr>
        <w:t>东北黑土区总体布置应符合下列要求：</w:t>
      </w:r>
    </w:p>
    <w:p w14:paraId="6259012E">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1</w:t>
      </w:r>
      <w:r>
        <w:rPr>
          <w:rFonts w:ascii="Times New Roman" w:hAnsi="Times New Roman" w:cs="Times New Roman"/>
          <w:sz w:val="21"/>
          <w:szCs w:val="21"/>
        </w:rPr>
        <w:t xml:space="preserve">  应以保护黑土资源、保障粮食生产为核心，以防治侵蚀沟和缓坡耕地水土流失为重点。</w:t>
      </w:r>
    </w:p>
    <w:p w14:paraId="08063987">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治理措施应以梯田、等高耕作、地埂、谷坊以及农业机械道路、灌溉渠系、坡面排水措施为主。</w:t>
      </w:r>
    </w:p>
    <w:p w14:paraId="0F7E993F">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w:t>
      </w:r>
      <w:r>
        <w:rPr>
          <w:rFonts w:ascii="Times New Roman" w:hAnsi="Times New Roman" w:eastAsia="黑体" w:cs="Times New Roman"/>
          <w:b/>
          <w:sz w:val="21"/>
          <w:szCs w:val="24"/>
        </w:rPr>
        <w:t xml:space="preserve">2 </w:t>
      </w:r>
      <w:r>
        <w:rPr>
          <w:rFonts w:ascii="Times New Roman" w:hAnsi="Times New Roman" w:cs="Times New Roman"/>
          <w:sz w:val="21"/>
          <w:szCs w:val="21"/>
        </w:rPr>
        <w:t xml:space="preserve"> 西北黄土高原区总体布置应符合下列要求：</w:t>
      </w:r>
    </w:p>
    <w:p w14:paraId="4A3CAADC">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1</w:t>
      </w:r>
      <w:r>
        <w:rPr>
          <w:rFonts w:ascii="Times New Roman" w:hAnsi="Times New Roman" w:cs="Times New Roman"/>
          <w:b/>
          <w:sz w:val="21"/>
          <w:szCs w:val="21"/>
        </w:rPr>
        <w:t xml:space="preserve"> </w:t>
      </w:r>
      <w:r>
        <w:rPr>
          <w:rFonts w:ascii="Times New Roman" w:hAnsi="Times New Roman" w:cs="Times New Roman"/>
          <w:sz w:val="21"/>
          <w:szCs w:val="21"/>
        </w:rPr>
        <w:t xml:space="preserve"> 应以提高综合农业生产能力和改善生态为核心，以保护土壤、蓄水保水、拦沙减沙、增加植被覆盖为重点。</w:t>
      </w:r>
    </w:p>
    <w:p w14:paraId="4FC89414">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治理措施应以梯田、淤地坝、治沟造地、林草、封育及配套措施为主，多年平均降水量400mm以下地区林草工程应以灌草为主。</w:t>
      </w:r>
    </w:p>
    <w:p w14:paraId="3C52066F">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3</w:t>
      </w:r>
      <w:r>
        <w:rPr>
          <w:rFonts w:ascii="Times New Roman" w:hAnsi="Times New Roman" w:cs="Times New Roman"/>
          <w:b/>
          <w:sz w:val="21"/>
          <w:szCs w:val="21"/>
        </w:rPr>
        <w:t xml:space="preserve"> </w:t>
      </w:r>
      <w:r>
        <w:rPr>
          <w:rFonts w:ascii="Times New Roman" w:hAnsi="Times New Roman" w:cs="Times New Roman"/>
          <w:sz w:val="21"/>
          <w:szCs w:val="21"/>
        </w:rPr>
        <w:t xml:space="preserve"> 沟道应布置坝系，坡面应布置梯田与林草工程，远山边山地区应布置封育及配套措施。梯田和淤地坝工程布置应与雨水集蓄利用、高效高产规模特色农业或经果林发展结合。</w:t>
      </w:r>
    </w:p>
    <w:p w14:paraId="6CB710B2">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sz w:val="21"/>
          <w:szCs w:val="21"/>
        </w:rPr>
        <w:t xml:space="preserve">  淤地坝工程坝系布置应妥善处理小流域内大、中、小型淤地坝与塘坝、小水库之间的关系，合理配置，联合运用；单坝规模确定应分析坝系中各单坝之间的相互作用。</w:t>
      </w:r>
    </w:p>
    <w:p w14:paraId="38A9B50B">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w:t>
      </w: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1"/>
        </w:rPr>
        <w:t>北方风沙区总体布置应符合下列要求：</w:t>
      </w:r>
    </w:p>
    <w:p w14:paraId="1F785D24">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1</w:t>
      </w:r>
      <w:r>
        <w:rPr>
          <w:rFonts w:ascii="Times New Roman" w:hAnsi="Times New Roman" w:cs="Times New Roman"/>
          <w:sz w:val="21"/>
          <w:szCs w:val="21"/>
        </w:rPr>
        <w:t xml:space="preserve">  应以建设生态屏障和防沙带、修复和改良草场、保护绿洲为核心，以水蚀风蚀交错区的水蚀和风蚀防治为重点。</w:t>
      </w:r>
    </w:p>
    <w:p w14:paraId="0B94A19D">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治理措施应以防风固沙、草场修复建设与保护、绿洲防护、林草、封育及其配套措施为主。</w:t>
      </w:r>
    </w:p>
    <w:p w14:paraId="3198524E">
      <w:pPr>
        <w:spacing w:line="360" w:lineRule="auto"/>
        <w:ind w:firstLine="426" w:firstLineChars="202"/>
        <w:rPr>
          <w:rFonts w:ascii="Times New Roman" w:hAnsi="Times New Roman" w:cs="Times New Roman"/>
          <w:sz w:val="21"/>
          <w:szCs w:val="21"/>
        </w:rPr>
      </w:pPr>
      <w:r>
        <w:rPr>
          <w:rFonts w:ascii="Times New Roman" w:hAnsi="Times New Roman" w:eastAsia="黑体" w:cs="Times New Roman"/>
          <w:b/>
          <w:sz w:val="21"/>
          <w:szCs w:val="21"/>
        </w:rPr>
        <w:t>3</w:t>
      </w:r>
      <w:r>
        <w:rPr>
          <w:rFonts w:ascii="Times New Roman" w:hAnsi="Times New Roman" w:cs="Times New Roman"/>
          <w:sz w:val="21"/>
          <w:szCs w:val="21"/>
        </w:rPr>
        <w:t xml:space="preserve">  多年平均降水量250mm及以上地区应充分利用小泉、小水，加强雨水集蓄利用，采取砂田与覆盖措施，保持土壤水分，合理配置坡改梯及配套措施。</w:t>
      </w:r>
    </w:p>
    <w:p w14:paraId="6942BB8D">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 xml:space="preserve"> </w:t>
      </w:r>
      <w:r>
        <w:rPr>
          <w:rFonts w:ascii="Times New Roman" w:hAnsi="Times New Roman" w:cs="Times New Roman"/>
          <w:sz w:val="21"/>
          <w:szCs w:val="21"/>
        </w:rPr>
        <w:t xml:space="preserve"> 多年平均降水量250mm以下地区应以封育为主，有灌溉条件的可建设人工草场，并以绿洲为核心设置防护措施。</w:t>
      </w:r>
    </w:p>
    <w:p w14:paraId="23570AD7">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1"/>
        </w:rPr>
        <w:t>北方土石山区总体布置应符合下列要求：</w:t>
      </w:r>
    </w:p>
    <w:p w14:paraId="3D13A655">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1</w:t>
      </w:r>
      <w:r>
        <w:rPr>
          <w:rFonts w:ascii="Times New Roman" w:hAnsi="Times New Roman" w:cs="Times New Roman"/>
          <w:b/>
          <w:sz w:val="21"/>
          <w:szCs w:val="21"/>
        </w:rPr>
        <w:t xml:space="preserve">  </w:t>
      </w:r>
      <w:r>
        <w:rPr>
          <w:rFonts w:ascii="Times New Roman" w:hAnsi="Times New Roman" w:cs="Times New Roman"/>
          <w:sz w:val="21"/>
          <w:szCs w:val="21"/>
        </w:rPr>
        <w:t>应以改善生态、保护与涵养水源、发展农林特色产业为核心，根据所处地区生态功能，注重保护土壤和耕地资源，防治局部区域山洪和泥石流灾害。</w:t>
      </w:r>
    </w:p>
    <w:p w14:paraId="564CA3DE">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治理措施应以梯田、雨水集蓄利用、沟道治理、经济林果种植以及林草为主。</w:t>
      </w:r>
    </w:p>
    <w:p w14:paraId="0EE724B3">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3</w:t>
      </w:r>
      <w:r>
        <w:rPr>
          <w:rFonts w:ascii="Times New Roman" w:hAnsi="Times New Roman" w:cs="Times New Roman"/>
          <w:sz w:val="21"/>
          <w:szCs w:val="21"/>
        </w:rPr>
        <w:t xml:space="preserve">  梯田应以石坎梯田为主，并与特色经济林果工程结合，注重山区沟道小泉、小水和雨水集蓄利用，配套节水型灌溉设施。</w:t>
      </w:r>
    </w:p>
    <w:p w14:paraId="765032AC">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水源地应配置水源涵养林以及面源污染控制措施。</w:t>
      </w:r>
    </w:p>
    <w:p w14:paraId="431E4DBE">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sz w:val="21"/>
          <w:szCs w:val="21"/>
        </w:rPr>
        <w:t xml:space="preserve">  西南岩溶地区总体布置应符合下列要求：</w:t>
      </w:r>
    </w:p>
    <w:p w14:paraId="660A4D11">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1</w:t>
      </w:r>
      <w:r>
        <w:rPr>
          <w:rFonts w:ascii="Times New Roman" w:hAnsi="Times New Roman" w:cs="Times New Roman"/>
          <w:sz w:val="21"/>
          <w:szCs w:val="21"/>
        </w:rPr>
        <w:t xml:space="preserve">  应以抢救和保护土壤资源、充分利用降水资源、改善农业生产条件为核心，以梯田及坡面截排水工程为重点，对植被覆盖度低的岩溶山体配置林草及封育措施。</w:t>
      </w:r>
    </w:p>
    <w:p w14:paraId="03B65E5A">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治理措施应以梯田及坡面截排水、田间道路、林草、岩溶地表水利用及岩溶落水洞治理工程为主。</w:t>
      </w:r>
    </w:p>
    <w:p w14:paraId="1ABB06C1">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3</w:t>
      </w:r>
      <w:r>
        <w:rPr>
          <w:rFonts w:ascii="Times New Roman" w:hAnsi="Times New Roman" w:cs="Times New Roman"/>
          <w:sz w:val="21"/>
          <w:szCs w:val="21"/>
        </w:rPr>
        <w:t xml:space="preserve">  梯田应以石坎梯田为主，对于田面出露裸岩，可通过爆破破碎挖除凸露岩石，回覆周边土壤，增加可耕种面积，并应配置“以排为主、蓄排结合”的蓄排水设施。</w:t>
      </w:r>
    </w:p>
    <w:p w14:paraId="24427ABA">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sz w:val="21"/>
          <w:szCs w:val="21"/>
        </w:rPr>
        <w:t xml:space="preserve">  应充分利用溪流及小泉、小水配置塘坝、滚水坝以及引水设施，并配套灌溉或补充灌溉设施。</w:t>
      </w:r>
    </w:p>
    <w:p w14:paraId="08DF23D4">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西南紫色土区总体布置应符合下列要求：</w:t>
      </w:r>
    </w:p>
    <w:p w14:paraId="02BD2D1B">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1</w:t>
      </w:r>
      <w:r>
        <w:rPr>
          <w:rFonts w:ascii="Times New Roman" w:hAnsi="Times New Roman" w:cs="Times New Roman"/>
          <w:sz w:val="21"/>
          <w:szCs w:val="21"/>
        </w:rPr>
        <w:t xml:space="preserve">  应以保护土壤资源、充分利用降水资源、改善农业生产条件、促进农业发展为核心，以</w:t>
      </w:r>
      <w:r>
        <w:rPr>
          <w:rFonts w:hint="eastAsia" w:ascii="Times New Roman" w:hAnsi="Times New Roman" w:cs="Times New Roman"/>
          <w:sz w:val="21"/>
          <w:szCs w:val="21"/>
        </w:rPr>
        <w:t>梯田</w:t>
      </w:r>
      <w:r>
        <w:rPr>
          <w:rFonts w:ascii="Times New Roman" w:hAnsi="Times New Roman" w:cs="Times New Roman"/>
          <w:sz w:val="21"/>
          <w:szCs w:val="21"/>
        </w:rPr>
        <w:t>及坡面截排水为重点。</w:t>
      </w:r>
    </w:p>
    <w:p w14:paraId="09E08737">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治理措施应以梯田及坡面截排水、田间道路、塘坝、经济林果种植、林草、高效复合农林业建设、封育及配套措施为主。</w:t>
      </w:r>
    </w:p>
    <w:p w14:paraId="139A7414">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3</w:t>
      </w:r>
      <w:r>
        <w:rPr>
          <w:rFonts w:ascii="Times New Roman" w:hAnsi="Times New Roman" w:cs="Times New Roman"/>
          <w:sz w:val="21"/>
          <w:szCs w:val="21"/>
        </w:rPr>
        <w:t xml:space="preserve">  梯田应选择土坎或石坎梯田，配置</w:t>
      </w:r>
      <w:r>
        <w:rPr>
          <w:rFonts w:hint="eastAsia" w:ascii="Times New Roman" w:hAnsi="Times New Roman" w:cs="Times New Roman"/>
          <w:sz w:val="21"/>
          <w:szCs w:val="21"/>
        </w:rPr>
        <w:t>“</w:t>
      </w:r>
      <w:r>
        <w:rPr>
          <w:rFonts w:ascii="Times New Roman" w:hAnsi="Times New Roman" w:cs="Times New Roman"/>
          <w:sz w:val="21"/>
          <w:szCs w:val="21"/>
        </w:rPr>
        <w:t>以排为主、蓄排结合</w:t>
      </w:r>
      <w:r>
        <w:rPr>
          <w:rFonts w:hint="eastAsia" w:ascii="Times New Roman" w:hAnsi="Times New Roman" w:cs="Times New Roman"/>
          <w:sz w:val="21"/>
          <w:szCs w:val="21"/>
        </w:rPr>
        <w:t>”</w:t>
      </w:r>
      <w:r>
        <w:rPr>
          <w:rFonts w:ascii="Times New Roman" w:hAnsi="Times New Roman" w:cs="Times New Roman"/>
          <w:sz w:val="21"/>
          <w:szCs w:val="21"/>
        </w:rPr>
        <w:t>的蓄排水工程，特色经济林果宜配置灌溉设施。</w:t>
      </w:r>
    </w:p>
    <w:p w14:paraId="6495A42C">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w:t>
      </w:r>
      <w:r>
        <w:rPr>
          <w:rFonts w:ascii="Times New Roman" w:hAnsi="Times New Roman" w:eastAsia="黑体" w:cs="Times New Roman"/>
          <w:b/>
          <w:sz w:val="21"/>
          <w:szCs w:val="24"/>
        </w:rPr>
        <w:t xml:space="preserve">7 </w:t>
      </w:r>
      <w:r>
        <w:rPr>
          <w:rFonts w:ascii="Times New Roman" w:hAnsi="Times New Roman" w:cs="Times New Roman"/>
          <w:sz w:val="21"/>
          <w:szCs w:val="21"/>
        </w:rPr>
        <w:t xml:space="preserve"> 南方红壤区总体布置应符合下列要求：</w:t>
      </w:r>
    </w:p>
    <w:p w14:paraId="02F8FD86">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 xml:space="preserve">1 </w:t>
      </w:r>
      <w:r>
        <w:rPr>
          <w:rFonts w:ascii="Times New Roman" w:hAnsi="Times New Roman" w:eastAsia="黑体" w:cs="Times New Roman"/>
          <w:sz w:val="21"/>
          <w:szCs w:val="21"/>
        </w:rPr>
        <w:t xml:space="preserve"> </w:t>
      </w:r>
      <w:r>
        <w:rPr>
          <w:rFonts w:ascii="Times New Roman" w:hAnsi="Times New Roman" w:cs="Times New Roman"/>
          <w:sz w:val="21"/>
          <w:szCs w:val="21"/>
        </w:rPr>
        <w:t>应以保护土壤资源、防治崩岗灾害、改善农业生产条件、促进高产高效农业发展为核心，以梯田、崩岗治理、侵蚀劣地治理和园地及林下水土流失治理为主。</w:t>
      </w:r>
    </w:p>
    <w:p w14:paraId="691160E0">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治理措施应以拦沙坝、截流沟、林草、梯田与坡面截排水、田间道路、特色亚热带和热带经济林果建设、封育及配套措施为主。</w:t>
      </w:r>
    </w:p>
    <w:p w14:paraId="626CEA0E">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3</w:t>
      </w:r>
      <w:r>
        <w:rPr>
          <w:rFonts w:ascii="Times New Roman" w:hAnsi="Times New Roman" w:cs="Times New Roman"/>
          <w:sz w:val="21"/>
          <w:szCs w:val="21"/>
        </w:rPr>
        <w:t xml:space="preserve">  崩岗治理应采取“上截、中林草、下堵”的综合措施体系，保障下游村庄和农业生产的安全。</w:t>
      </w:r>
    </w:p>
    <w:p w14:paraId="51C24628">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w:t>
      </w:r>
      <w:r>
        <w:rPr>
          <w:rFonts w:ascii="Times New Roman" w:hAnsi="Times New Roman" w:eastAsia="黑体" w:cs="Times New Roman"/>
          <w:b/>
          <w:sz w:val="21"/>
          <w:szCs w:val="24"/>
        </w:rPr>
        <w:t>8</w:t>
      </w:r>
      <w:r>
        <w:rPr>
          <w:rFonts w:ascii="Times New Roman" w:hAnsi="Times New Roman" w:cs="Times New Roman"/>
          <w:sz w:val="21"/>
          <w:szCs w:val="21"/>
        </w:rPr>
        <w:t xml:space="preserve">  青藏高原区总体布置应符合下列要求：</w:t>
      </w:r>
    </w:p>
    <w:p w14:paraId="1CEA212F">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1</w:t>
      </w:r>
      <w:r>
        <w:rPr>
          <w:rFonts w:ascii="Times New Roman" w:hAnsi="Times New Roman" w:cs="Times New Roman"/>
          <w:sz w:val="21"/>
          <w:szCs w:val="21"/>
        </w:rPr>
        <w:t xml:space="preserve">  应以保护生态、修复和改良草场、改善河谷农业生产条件为核心，以轮封轮牧、冬贮的人工草场建设、影响河谷农业生产的山洪灾害沟道治理以及坡耕地治理为主。</w:t>
      </w:r>
    </w:p>
    <w:p w14:paraId="6DD706CF">
      <w:pPr>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szCs w:val="21"/>
        </w:rPr>
        <w:t>2</w:t>
      </w:r>
      <w:r>
        <w:rPr>
          <w:rFonts w:ascii="Times New Roman" w:hAnsi="Times New Roman" w:cs="Times New Roman"/>
          <w:b/>
          <w:sz w:val="21"/>
          <w:szCs w:val="21"/>
        </w:rPr>
        <w:t xml:space="preserve"> </w:t>
      </w:r>
      <w:r>
        <w:rPr>
          <w:rFonts w:ascii="Times New Roman" w:hAnsi="Times New Roman" w:cs="Times New Roman"/>
          <w:sz w:val="21"/>
          <w:szCs w:val="21"/>
        </w:rPr>
        <w:t xml:space="preserve"> 林草工程应根据高原气候、地理位置、生态系统等地域特点和立地条件进行配置。</w:t>
      </w:r>
    </w:p>
    <w:p w14:paraId="6E8FED44">
      <w:pPr>
        <w:keepNext/>
        <w:keepLines/>
        <w:spacing w:before="260" w:after="260" w:line="415" w:lineRule="auto"/>
        <w:jc w:val="center"/>
        <w:outlineLvl w:val="1"/>
        <w:rPr>
          <w:rFonts w:ascii="Times New Roman" w:hAnsi="Times New Roman" w:eastAsia="黑体" w:cs="Times New Roman"/>
          <w:bCs/>
          <w:sz w:val="30"/>
          <w:szCs w:val="32"/>
        </w:rPr>
      </w:pPr>
      <w:bookmarkStart w:id="65" w:name="_Toc5511"/>
      <w:bookmarkStart w:id="66" w:name="_Toc27919"/>
      <w:r>
        <w:rPr>
          <w:rFonts w:ascii="Times New Roman" w:hAnsi="Times New Roman" w:eastAsia="黑体" w:cs="Times New Roman"/>
          <w:bCs/>
          <w:sz w:val="30"/>
          <w:szCs w:val="32"/>
        </w:rPr>
        <w:t>4.2 工程级别与设计标准</w:t>
      </w:r>
      <w:bookmarkEnd w:id="65"/>
      <w:bookmarkEnd w:id="66"/>
    </w:p>
    <w:p w14:paraId="4B840F6D">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Ⅰ 梯田工程</w:t>
      </w:r>
    </w:p>
    <w:p w14:paraId="22A38730">
      <w:pPr>
        <w:spacing w:line="360" w:lineRule="auto"/>
        <w:rPr>
          <w:rFonts w:ascii="Times New Roman" w:hAnsi="Times New Roman" w:cs="Times New Roman"/>
          <w:b/>
          <w:sz w:val="24"/>
          <w:szCs w:val="28"/>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8"/>
        </w:rPr>
        <w:t>梯田工程应根据地形、地面组成物质等划分为</w:t>
      </w:r>
      <w:r>
        <w:rPr>
          <w:rFonts w:ascii="Times New Roman" w:hAnsi="Times New Roman" w:cs="Times New Roman"/>
          <w:sz w:val="21"/>
          <w:szCs w:val="24"/>
        </w:rPr>
        <w:t>4种类型区，其</w:t>
      </w:r>
      <w:r>
        <w:rPr>
          <w:rFonts w:ascii="Times New Roman" w:hAnsi="Times New Roman" w:cs="Times New Roman"/>
          <w:sz w:val="21"/>
          <w:szCs w:val="28"/>
        </w:rPr>
        <w:t>级别应根据梯田面积</w:t>
      </w:r>
      <w:r>
        <w:rPr>
          <w:rFonts w:ascii="Times New Roman" w:hAnsi="Times New Roman" w:cs="Times New Roman"/>
          <w:sz w:val="21"/>
          <w:szCs w:val="24"/>
        </w:rPr>
        <w:t>、土地利用方向或水源条件分为3级。</w:t>
      </w:r>
    </w:p>
    <w:p w14:paraId="4A28BFE2">
      <w:pPr>
        <w:spacing w:line="360" w:lineRule="auto"/>
        <w:ind w:firstLine="422" w:firstLineChars="200"/>
        <w:rPr>
          <w:rFonts w:ascii="Times New Roman" w:hAnsi="Times New Roman" w:cs="Times New Roman"/>
          <w:b/>
          <w:sz w:val="24"/>
          <w:szCs w:val="28"/>
        </w:rPr>
      </w:pPr>
      <w:r>
        <w:rPr>
          <w:rFonts w:ascii="Times New Roman" w:hAnsi="Times New Roman" w:eastAsia="黑体" w:cs="Times New Roman"/>
          <w:b/>
          <w:sz w:val="21"/>
          <w:szCs w:val="24"/>
        </w:rPr>
        <w:t>1</w:t>
      </w:r>
      <w:r>
        <w:rPr>
          <w:rFonts w:ascii="Times New Roman" w:hAnsi="Times New Roman" w:cs="Times New Roman"/>
          <w:sz w:val="21"/>
          <w:szCs w:val="24"/>
        </w:rPr>
        <w:t xml:space="preserve"> </w:t>
      </w:r>
      <w:r>
        <w:rPr>
          <w:rFonts w:ascii="Times New Roman" w:hAnsi="Times New Roman" w:cs="Times New Roman"/>
          <w:sz w:val="22"/>
          <w:szCs w:val="24"/>
        </w:rPr>
        <w:t xml:space="preserve"> Ⅰ</w:t>
      </w:r>
      <w:r>
        <w:rPr>
          <w:rFonts w:hint="eastAsia" w:ascii="Times New Roman" w:hAnsi="Times New Roman" w:cs="Times New Roman"/>
          <w:sz w:val="22"/>
          <w:szCs w:val="24"/>
        </w:rPr>
        <w:t xml:space="preserve"> </w:t>
      </w:r>
      <w:r>
        <w:rPr>
          <w:rFonts w:ascii="Times New Roman" w:hAnsi="Times New Roman" w:cs="Times New Roman"/>
          <w:sz w:val="21"/>
          <w:szCs w:val="24"/>
        </w:rPr>
        <w:t>区主要包括西南岩溶区、秦巴山区及其类似区域，</w:t>
      </w:r>
      <w:r>
        <w:rPr>
          <w:rFonts w:ascii="Times New Roman" w:hAnsi="Times New Roman" w:cs="Times New Roman"/>
          <w:sz w:val="21"/>
          <w:szCs w:val="28"/>
        </w:rPr>
        <w:t>梯田工程级别</w:t>
      </w:r>
      <w:r>
        <w:rPr>
          <w:rFonts w:ascii="Times New Roman" w:hAnsi="Times New Roman" w:cs="Times New Roman"/>
          <w:bCs/>
          <w:spacing w:val="4"/>
          <w:sz w:val="21"/>
          <w:szCs w:val="24"/>
        </w:rPr>
        <w:t>应按表4.2.1-1确定。</w:t>
      </w:r>
    </w:p>
    <w:p w14:paraId="05D6F3D0">
      <w:pPr>
        <w:jc w:val="center"/>
        <w:rPr>
          <w:rFonts w:ascii="Times New Roman" w:hAnsi="Times New Roman" w:eastAsia="黑体" w:cs="Times New Roman"/>
          <w:sz w:val="24"/>
          <w:szCs w:val="21"/>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 xml:space="preserve">1-1 </w:t>
      </w:r>
      <w:r>
        <w:rPr>
          <w:rFonts w:ascii="Times New Roman" w:hAnsi="Times New Roman" w:eastAsia="黑体" w:cs="Times New Roman"/>
          <w:sz w:val="20"/>
          <w:szCs w:val="18"/>
        </w:rPr>
        <w:t xml:space="preserve"> </w:t>
      </w:r>
      <w:r>
        <w:rPr>
          <w:rFonts w:ascii="Times New Roman" w:hAnsi="Times New Roman" w:eastAsia="黑体" w:cs="Times New Roman"/>
          <w:sz w:val="18"/>
          <w:szCs w:val="18"/>
        </w:rPr>
        <w:t>Ⅰ 区梯田工程级别</w:t>
      </w:r>
    </w:p>
    <w:tbl>
      <w:tblPr>
        <w:tblStyle w:val="10"/>
        <w:tblW w:w="5000" w:type="pct"/>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83"/>
        <w:gridCol w:w="2483"/>
        <w:gridCol w:w="3310"/>
      </w:tblGrid>
      <w:tr w14:paraId="75797E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00" w:type="pct"/>
            <w:vAlign w:val="center"/>
          </w:tcPr>
          <w:p w14:paraId="4A2E75AD">
            <w:pPr>
              <w:jc w:val="center"/>
              <w:rPr>
                <w:rFonts w:ascii="Times New Roman" w:hAnsi="Times New Roman" w:cs="Times New Roman"/>
                <w:b/>
                <w:kern w:val="0"/>
                <w:sz w:val="15"/>
                <w:szCs w:val="15"/>
              </w:rPr>
            </w:pPr>
            <w:r>
              <w:rPr>
                <w:rFonts w:ascii="Times New Roman" w:hAnsi="Times New Roman" w:cs="Times New Roman"/>
                <w:kern w:val="0"/>
                <w:sz w:val="15"/>
                <w:szCs w:val="15"/>
              </w:rPr>
              <w:t>级别</w:t>
            </w:r>
          </w:p>
        </w:tc>
        <w:tc>
          <w:tcPr>
            <w:tcW w:w="1500" w:type="pct"/>
            <w:vAlign w:val="center"/>
          </w:tcPr>
          <w:p w14:paraId="7AA876EE">
            <w:pPr>
              <w:jc w:val="center"/>
              <w:rPr>
                <w:rFonts w:ascii="Times New Roman" w:hAnsi="Times New Roman" w:cs="Times New Roman"/>
                <w:b/>
                <w:kern w:val="0"/>
                <w:sz w:val="15"/>
                <w:szCs w:val="15"/>
              </w:rPr>
            </w:pPr>
            <w:r>
              <w:rPr>
                <w:rFonts w:ascii="Times New Roman" w:hAnsi="Times New Roman" w:cs="Times New Roman"/>
                <w:kern w:val="0"/>
                <w:sz w:val="15"/>
                <w:szCs w:val="15"/>
              </w:rPr>
              <w:t>土地面积（hm</w:t>
            </w:r>
            <w:r>
              <w:rPr>
                <w:rFonts w:ascii="Times New Roman" w:hAnsi="Times New Roman" w:cs="Times New Roman"/>
                <w:kern w:val="0"/>
                <w:sz w:val="15"/>
                <w:szCs w:val="15"/>
                <w:vertAlign w:val="superscript"/>
              </w:rPr>
              <w:t>2</w:t>
            </w:r>
            <w:r>
              <w:rPr>
                <w:rFonts w:ascii="Times New Roman" w:hAnsi="Times New Roman" w:cs="Times New Roman"/>
                <w:kern w:val="0"/>
                <w:sz w:val="15"/>
                <w:szCs w:val="15"/>
              </w:rPr>
              <w:t>）</w:t>
            </w:r>
          </w:p>
        </w:tc>
        <w:tc>
          <w:tcPr>
            <w:tcW w:w="2000" w:type="pct"/>
            <w:vAlign w:val="center"/>
          </w:tcPr>
          <w:p w14:paraId="58B9790F">
            <w:pPr>
              <w:jc w:val="center"/>
              <w:rPr>
                <w:rFonts w:ascii="Times New Roman" w:hAnsi="Times New Roman" w:cs="Times New Roman"/>
                <w:b/>
                <w:kern w:val="0"/>
                <w:sz w:val="15"/>
                <w:szCs w:val="15"/>
              </w:rPr>
            </w:pPr>
            <w:r>
              <w:rPr>
                <w:rFonts w:ascii="Times New Roman" w:hAnsi="Times New Roman" w:cs="Times New Roman"/>
                <w:kern w:val="0"/>
                <w:sz w:val="15"/>
                <w:szCs w:val="15"/>
              </w:rPr>
              <w:t>土地利用与经营方向</w:t>
            </w:r>
          </w:p>
        </w:tc>
      </w:tr>
      <w:tr w14:paraId="082A74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00" w:type="pct"/>
            <w:vAlign w:val="center"/>
          </w:tcPr>
          <w:p w14:paraId="4EBC4B8E">
            <w:pPr>
              <w:jc w:val="center"/>
              <w:rPr>
                <w:rFonts w:ascii="Times New Roman" w:hAnsi="Times New Roman" w:cs="Times New Roman"/>
                <w:b/>
                <w:kern w:val="0"/>
                <w:sz w:val="15"/>
                <w:szCs w:val="15"/>
              </w:rPr>
            </w:pPr>
            <w:r>
              <w:rPr>
                <w:rFonts w:ascii="Times New Roman" w:hAnsi="Times New Roman" w:cs="Times New Roman"/>
                <w:kern w:val="0"/>
                <w:sz w:val="15"/>
                <w:szCs w:val="15"/>
              </w:rPr>
              <w:t>1</w:t>
            </w:r>
          </w:p>
        </w:tc>
        <w:tc>
          <w:tcPr>
            <w:tcW w:w="1500" w:type="pct"/>
            <w:vMerge w:val="restart"/>
            <w:vAlign w:val="center"/>
          </w:tcPr>
          <w:p w14:paraId="26BE1AD0">
            <w:pPr>
              <w:jc w:val="center"/>
              <w:rPr>
                <w:rFonts w:ascii="Times New Roman" w:hAnsi="Times New Roman" w:cs="Times New Roman"/>
                <w:b/>
                <w:kern w:val="0"/>
                <w:sz w:val="15"/>
                <w:szCs w:val="15"/>
              </w:rPr>
            </w:pPr>
            <w:r>
              <w:rPr>
                <w:rFonts w:ascii="Times New Roman" w:hAnsi="Times New Roman" w:cs="Times New Roman"/>
                <w:kern w:val="0"/>
                <w:sz w:val="15"/>
                <w:szCs w:val="15"/>
              </w:rPr>
              <w:t>＞10</w:t>
            </w:r>
          </w:p>
        </w:tc>
        <w:tc>
          <w:tcPr>
            <w:tcW w:w="2000" w:type="pct"/>
            <w:vAlign w:val="center"/>
          </w:tcPr>
          <w:p w14:paraId="2DD9FFA3">
            <w:pPr>
              <w:jc w:val="center"/>
              <w:rPr>
                <w:rFonts w:ascii="Times New Roman" w:hAnsi="Times New Roman" w:cs="Times New Roman"/>
                <w:b/>
                <w:kern w:val="0"/>
                <w:sz w:val="15"/>
                <w:szCs w:val="15"/>
              </w:rPr>
            </w:pPr>
            <w:r>
              <w:rPr>
                <w:rFonts w:ascii="Times New Roman" w:hAnsi="Times New Roman" w:cs="Times New Roman"/>
                <w:sz w:val="15"/>
                <w:szCs w:val="15"/>
              </w:rPr>
              <w:t>集约经营的耕地、园地、设施农用地</w:t>
            </w:r>
          </w:p>
        </w:tc>
      </w:tr>
      <w:tr w14:paraId="1D415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00" w:type="pct"/>
            <w:vAlign w:val="center"/>
          </w:tcPr>
          <w:p w14:paraId="734C3E7A">
            <w:pPr>
              <w:jc w:val="center"/>
              <w:rPr>
                <w:rFonts w:ascii="Times New Roman" w:hAnsi="Times New Roman" w:cs="Times New Roman"/>
                <w:b/>
                <w:kern w:val="0"/>
                <w:sz w:val="15"/>
                <w:szCs w:val="15"/>
              </w:rPr>
            </w:pPr>
            <w:r>
              <w:rPr>
                <w:rFonts w:ascii="Times New Roman" w:hAnsi="Times New Roman" w:cs="Times New Roman"/>
                <w:kern w:val="0"/>
                <w:sz w:val="15"/>
                <w:szCs w:val="15"/>
              </w:rPr>
              <w:t>2</w:t>
            </w:r>
          </w:p>
        </w:tc>
        <w:tc>
          <w:tcPr>
            <w:tcW w:w="1500" w:type="pct"/>
            <w:vMerge w:val="continue"/>
            <w:vAlign w:val="center"/>
          </w:tcPr>
          <w:p w14:paraId="410B3340">
            <w:pPr>
              <w:jc w:val="center"/>
              <w:rPr>
                <w:rFonts w:ascii="Times New Roman" w:hAnsi="Times New Roman" w:cs="Times New Roman"/>
                <w:b/>
                <w:kern w:val="0"/>
                <w:sz w:val="15"/>
                <w:szCs w:val="15"/>
              </w:rPr>
            </w:pPr>
          </w:p>
        </w:tc>
        <w:tc>
          <w:tcPr>
            <w:tcW w:w="2000" w:type="pct"/>
            <w:vAlign w:val="center"/>
          </w:tcPr>
          <w:p w14:paraId="05C8B53F">
            <w:pPr>
              <w:jc w:val="center"/>
              <w:rPr>
                <w:rFonts w:ascii="Times New Roman" w:hAnsi="Times New Roman" w:cs="Times New Roman"/>
                <w:b/>
                <w:kern w:val="0"/>
                <w:sz w:val="15"/>
                <w:szCs w:val="15"/>
              </w:rPr>
            </w:pPr>
            <w:r>
              <w:rPr>
                <w:rFonts w:ascii="Times New Roman" w:hAnsi="Times New Roman" w:cs="Times New Roman"/>
                <w:sz w:val="15"/>
                <w:szCs w:val="15"/>
              </w:rPr>
              <w:t>耕地、园地</w:t>
            </w:r>
          </w:p>
        </w:tc>
      </w:tr>
      <w:tr w14:paraId="109BCE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00" w:type="pct"/>
            <w:vAlign w:val="center"/>
          </w:tcPr>
          <w:p w14:paraId="45822D21">
            <w:pPr>
              <w:jc w:val="center"/>
              <w:rPr>
                <w:rFonts w:ascii="Times New Roman" w:hAnsi="Times New Roman" w:cs="Times New Roman"/>
                <w:b/>
                <w:kern w:val="0"/>
                <w:sz w:val="15"/>
                <w:szCs w:val="15"/>
              </w:rPr>
            </w:pPr>
            <w:r>
              <w:rPr>
                <w:rFonts w:ascii="Times New Roman" w:hAnsi="Times New Roman" w:cs="Times New Roman"/>
                <w:kern w:val="0"/>
                <w:sz w:val="15"/>
                <w:szCs w:val="15"/>
              </w:rPr>
              <w:t>2</w:t>
            </w:r>
          </w:p>
        </w:tc>
        <w:tc>
          <w:tcPr>
            <w:tcW w:w="1500" w:type="pct"/>
            <w:vMerge w:val="restart"/>
            <w:vAlign w:val="center"/>
          </w:tcPr>
          <w:p w14:paraId="0E387819">
            <w:pPr>
              <w:jc w:val="center"/>
              <w:rPr>
                <w:rFonts w:ascii="Times New Roman" w:hAnsi="Times New Roman" w:cs="Times New Roman"/>
                <w:b/>
                <w:kern w:val="0"/>
                <w:sz w:val="15"/>
                <w:szCs w:val="15"/>
              </w:rPr>
            </w:pPr>
            <w:r>
              <w:rPr>
                <w:rFonts w:ascii="Times New Roman" w:hAnsi="Times New Roman" w:cs="Times New Roman"/>
                <w:kern w:val="0"/>
                <w:sz w:val="15"/>
                <w:szCs w:val="15"/>
              </w:rPr>
              <w:t>3</w:t>
            </w:r>
            <w:r>
              <w:rPr>
                <w:rFonts w:ascii="Times New Roman" w:hAnsi="Times New Roman" w:cs="Times New Roman"/>
                <w:sz w:val="15"/>
                <w:szCs w:val="15"/>
              </w:rPr>
              <w:t>～</w:t>
            </w:r>
            <w:r>
              <w:rPr>
                <w:rFonts w:ascii="Times New Roman" w:hAnsi="Times New Roman" w:cs="Times New Roman"/>
                <w:kern w:val="0"/>
                <w:sz w:val="15"/>
                <w:szCs w:val="15"/>
              </w:rPr>
              <w:t>10</w:t>
            </w:r>
          </w:p>
        </w:tc>
        <w:tc>
          <w:tcPr>
            <w:tcW w:w="2000" w:type="pct"/>
            <w:vAlign w:val="center"/>
          </w:tcPr>
          <w:p w14:paraId="1ABC1EAE">
            <w:pPr>
              <w:jc w:val="center"/>
              <w:rPr>
                <w:rFonts w:ascii="Times New Roman" w:hAnsi="Times New Roman" w:cs="Times New Roman"/>
                <w:b/>
                <w:kern w:val="0"/>
                <w:sz w:val="15"/>
                <w:szCs w:val="15"/>
              </w:rPr>
            </w:pPr>
            <w:r>
              <w:rPr>
                <w:rFonts w:ascii="Times New Roman" w:hAnsi="Times New Roman" w:cs="Times New Roman"/>
                <w:sz w:val="15"/>
                <w:szCs w:val="15"/>
              </w:rPr>
              <w:t>集约经营的耕地、园地、设施农用地</w:t>
            </w:r>
          </w:p>
        </w:tc>
      </w:tr>
      <w:tr w14:paraId="10A7F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500" w:type="pct"/>
            <w:vAlign w:val="center"/>
          </w:tcPr>
          <w:p w14:paraId="34FE0EA0">
            <w:pPr>
              <w:jc w:val="center"/>
              <w:rPr>
                <w:rFonts w:ascii="Times New Roman" w:hAnsi="Times New Roman" w:cs="Times New Roman"/>
                <w:b/>
                <w:kern w:val="0"/>
                <w:sz w:val="15"/>
                <w:szCs w:val="15"/>
              </w:rPr>
            </w:pPr>
            <w:r>
              <w:rPr>
                <w:rFonts w:ascii="Times New Roman" w:hAnsi="Times New Roman" w:cs="Times New Roman"/>
                <w:kern w:val="0"/>
                <w:sz w:val="15"/>
                <w:szCs w:val="15"/>
              </w:rPr>
              <w:t>3</w:t>
            </w:r>
          </w:p>
        </w:tc>
        <w:tc>
          <w:tcPr>
            <w:tcW w:w="1500" w:type="pct"/>
            <w:vMerge w:val="continue"/>
            <w:vAlign w:val="center"/>
          </w:tcPr>
          <w:p w14:paraId="72A25751">
            <w:pPr>
              <w:jc w:val="center"/>
              <w:rPr>
                <w:rFonts w:ascii="Times New Roman" w:hAnsi="Times New Roman" w:cs="Times New Roman"/>
                <w:b/>
                <w:kern w:val="0"/>
                <w:sz w:val="15"/>
                <w:szCs w:val="15"/>
              </w:rPr>
            </w:pPr>
          </w:p>
        </w:tc>
        <w:tc>
          <w:tcPr>
            <w:tcW w:w="2000" w:type="pct"/>
            <w:vAlign w:val="center"/>
          </w:tcPr>
          <w:p w14:paraId="26E2A414">
            <w:pPr>
              <w:jc w:val="center"/>
              <w:rPr>
                <w:rFonts w:ascii="Times New Roman" w:hAnsi="Times New Roman" w:cs="Times New Roman"/>
                <w:b/>
                <w:kern w:val="0"/>
                <w:sz w:val="15"/>
                <w:szCs w:val="15"/>
              </w:rPr>
            </w:pPr>
            <w:r>
              <w:rPr>
                <w:rFonts w:ascii="Times New Roman" w:hAnsi="Times New Roman" w:cs="Times New Roman"/>
                <w:sz w:val="15"/>
                <w:szCs w:val="15"/>
              </w:rPr>
              <w:t>耕地、园地</w:t>
            </w:r>
          </w:p>
        </w:tc>
      </w:tr>
      <w:tr w14:paraId="1E9C73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1500" w:type="pct"/>
            <w:vAlign w:val="center"/>
          </w:tcPr>
          <w:p w14:paraId="0B0D290D">
            <w:pPr>
              <w:jc w:val="center"/>
              <w:rPr>
                <w:rFonts w:ascii="Times New Roman" w:hAnsi="Times New Roman" w:cs="Times New Roman"/>
                <w:b/>
                <w:kern w:val="0"/>
                <w:sz w:val="15"/>
                <w:szCs w:val="15"/>
              </w:rPr>
            </w:pPr>
            <w:r>
              <w:rPr>
                <w:rFonts w:ascii="Times New Roman" w:hAnsi="Times New Roman" w:cs="Times New Roman"/>
                <w:kern w:val="0"/>
                <w:sz w:val="15"/>
                <w:szCs w:val="15"/>
              </w:rPr>
              <w:t>3</w:t>
            </w:r>
          </w:p>
        </w:tc>
        <w:tc>
          <w:tcPr>
            <w:tcW w:w="1500" w:type="pct"/>
            <w:vAlign w:val="center"/>
          </w:tcPr>
          <w:p w14:paraId="25A5A7CA">
            <w:pPr>
              <w:jc w:val="center"/>
              <w:rPr>
                <w:rFonts w:ascii="Times New Roman" w:hAnsi="Times New Roman" w:cs="Times New Roman"/>
                <w:b/>
                <w:kern w:val="0"/>
                <w:sz w:val="15"/>
                <w:szCs w:val="15"/>
              </w:rPr>
            </w:pPr>
            <w:r>
              <w:rPr>
                <w:rFonts w:ascii="Times New Roman" w:hAnsi="Times New Roman" w:cs="Times New Roman"/>
                <w:kern w:val="0"/>
                <w:sz w:val="15"/>
                <w:szCs w:val="15"/>
              </w:rPr>
              <w:t>≤3</w:t>
            </w:r>
          </w:p>
        </w:tc>
        <w:tc>
          <w:tcPr>
            <w:tcW w:w="2000" w:type="pct"/>
            <w:vAlign w:val="center"/>
          </w:tcPr>
          <w:p w14:paraId="7F6F4970">
            <w:pPr>
              <w:jc w:val="center"/>
              <w:rPr>
                <w:rFonts w:ascii="Times New Roman" w:hAnsi="Times New Roman" w:cs="Times New Roman"/>
                <w:b/>
                <w:kern w:val="0"/>
                <w:sz w:val="15"/>
                <w:szCs w:val="15"/>
              </w:rPr>
            </w:pPr>
            <w:r>
              <w:rPr>
                <w:rFonts w:ascii="Times New Roman" w:hAnsi="Times New Roman" w:cs="Times New Roman"/>
                <w:sz w:val="15"/>
                <w:szCs w:val="15"/>
              </w:rPr>
              <w:t>—</w:t>
            </w:r>
          </w:p>
        </w:tc>
      </w:tr>
    </w:tbl>
    <w:p w14:paraId="2041EE84">
      <w:pPr>
        <w:ind w:firstLine="447" w:firstLineChars="298"/>
        <w:rPr>
          <w:rFonts w:ascii="Times New Roman" w:hAnsi="Times New Roman" w:cs="Times New Roman"/>
          <w:bCs/>
          <w:sz w:val="15"/>
          <w:szCs w:val="15"/>
        </w:rPr>
      </w:pPr>
      <w:r>
        <w:rPr>
          <w:rFonts w:ascii="Times New Roman" w:hAnsi="Times New Roman" w:cs="Times New Roman"/>
          <w:bCs/>
          <w:sz w:val="15"/>
          <w:szCs w:val="15"/>
        </w:rPr>
        <w:t>注：1  级别划定以土地面积为首要条件。面积指一个设计单元面积；</w:t>
      </w:r>
    </w:p>
    <w:p w14:paraId="72B0756C">
      <w:pPr>
        <w:ind w:firstLine="750" w:firstLineChars="500"/>
        <w:rPr>
          <w:rFonts w:ascii="Times New Roman" w:hAnsi="Times New Roman" w:cs="Times New Roman"/>
          <w:sz w:val="15"/>
          <w:szCs w:val="15"/>
        </w:rPr>
      </w:pPr>
      <w:r>
        <w:rPr>
          <w:rFonts w:ascii="Times New Roman" w:hAnsi="Times New Roman" w:cs="Times New Roman"/>
          <w:sz w:val="15"/>
          <w:szCs w:val="15"/>
        </w:rPr>
        <w:t xml:space="preserve">2 </w:t>
      </w:r>
      <w:r>
        <w:rPr>
          <w:rFonts w:hint="eastAsia" w:ascii="Times New Roman" w:hAnsi="Times New Roman" w:cs="Times New Roman"/>
          <w:sz w:val="15"/>
          <w:szCs w:val="15"/>
        </w:rPr>
        <w:t xml:space="preserve"> </w:t>
      </w:r>
      <w:r>
        <w:rPr>
          <w:rFonts w:ascii="Times New Roman" w:hAnsi="Times New Roman" w:cs="Times New Roman"/>
          <w:sz w:val="15"/>
          <w:szCs w:val="15"/>
        </w:rPr>
        <w:t>当交通和水源条件较好时，提高一级；当无水源条件或交通条件较差时，降低一级。</w:t>
      </w:r>
    </w:p>
    <w:p w14:paraId="5154DF7C">
      <w:pPr>
        <w:spacing w:line="360" w:lineRule="auto"/>
        <w:ind w:firstLine="442" w:firstLineChars="200"/>
        <w:rPr>
          <w:rFonts w:ascii="Times New Roman" w:hAnsi="Times New Roman" w:cs="Times New Roman"/>
          <w:b/>
          <w:sz w:val="22"/>
          <w:szCs w:val="24"/>
        </w:rPr>
      </w:pPr>
      <w:r>
        <w:rPr>
          <w:rFonts w:ascii="Times New Roman" w:hAnsi="Times New Roman" w:eastAsia="黑体" w:cs="Times New Roman"/>
          <w:b/>
          <w:sz w:val="22"/>
          <w:szCs w:val="24"/>
        </w:rPr>
        <w:t>2</w:t>
      </w:r>
      <w:r>
        <w:rPr>
          <w:rFonts w:ascii="Times New Roman" w:hAnsi="Times New Roman" w:eastAsia="黑体" w:cs="Times New Roman"/>
          <w:sz w:val="22"/>
          <w:szCs w:val="24"/>
        </w:rPr>
        <w:t xml:space="preserve"> </w:t>
      </w:r>
      <w:r>
        <w:rPr>
          <w:rFonts w:ascii="Times New Roman" w:hAnsi="Times New Roman" w:cs="Times New Roman"/>
          <w:sz w:val="22"/>
          <w:szCs w:val="24"/>
        </w:rPr>
        <w:t xml:space="preserve"> </w:t>
      </w:r>
      <w:r>
        <w:rPr>
          <w:rFonts w:ascii="Times New Roman" w:hAnsi="Times New Roman" w:cs="Times New Roman"/>
          <w:sz w:val="22"/>
          <w:szCs w:val="21"/>
        </w:rPr>
        <w:t>Ⅱ</w:t>
      </w:r>
      <w:r>
        <w:rPr>
          <w:rFonts w:ascii="Times New Roman" w:hAnsi="Times New Roman" w:cs="Times New Roman"/>
          <w:sz w:val="21"/>
          <w:szCs w:val="21"/>
        </w:rPr>
        <w:t xml:space="preserve"> 区主要包括北方土石山区、南方红壤区和紫色土区（四川盆地周边丘陵区及其类似区域），梯田工程级别应按表4.2.1-2确定。</w:t>
      </w:r>
    </w:p>
    <w:p w14:paraId="1819360B">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1-2  Ⅱ 区梯田工程级别</w:t>
      </w:r>
    </w:p>
    <w:tbl>
      <w:tblPr>
        <w:tblStyle w:val="10"/>
        <w:tblW w:w="5000" w:type="pct"/>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6"/>
        <w:gridCol w:w="2465"/>
        <w:gridCol w:w="3345"/>
      </w:tblGrid>
      <w:tr w14:paraId="14095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90" w:type="pct"/>
          </w:tcPr>
          <w:p w14:paraId="4EFF2612">
            <w:pPr>
              <w:jc w:val="center"/>
              <w:rPr>
                <w:rFonts w:ascii="Times New Roman" w:hAnsi="Times New Roman" w:cs="Times New Roman"/>
                <w:b/>
                <w:kern w:val="0"/>
                <w:sz w:val="15"/>
                <w:szCs w:val="15"/>
              </w:rPr>
            </w:pPr>
            <w:r>
              <w:rPr>
                <w:rFonts w:ascii="Times New Roman" w:hAnsi="Times New Roman" w:cs="Times New Roman"/>
                <w:kern w:val="0"/>
                <w:sz w:val="15"/>
                <w:szCs w:val="15"/>
              </w:rPr>
              <w:t>级别</w:t>
            </w:r>
          </w:p>
        </w:tc>
        <w:tc>
          <w:tcPr>
            <w:tcW w:w="1489" w:type="pct"/>
            <w:vAlign w:val="center"/>
          </w:tcPr>
          <w:p w14:paraId="5224449E">
            <w:pPr>
              <w:jc w:val="center"/>
              <w:rPr>
                <w:rFonts w:ascii="Times New Roman" w:hAnsi="Times New Roman" w:cs="Times New Roman"/>
                <w:b/>
                <w:kern w:val="0"/>
                <w:sz w:val="15"/>
                <w:szCs w:val="15"/>
              </w:rPr>
            </w:pPr>
            <w:r>
              <w:rPr>
                <w:rFonts w:ascii="Times New Roman" w:hAnsi="Times New Roman" w:cs="Times New Roman"/>
                <w:kern w:val="0"/>
                <w:sz w:val="15"/>
                <w:szCs w:val="15"/>
              </w:rPr>
              <w:t>面积（hm</w:t>
            </w:r>
            <w:r>
              <w:rPr>
                <w:rFonts w:ascii="Times New Roman" w:hAnsi="Times New Roman" w:cs="Times New Roman"/>
                <w:kern w:val="0"/>
                <w:sz w:val="15"/>
                <w:szCs w:val="15"/>
                <w:vertAlign w:val="superscript"/>
              </w:rPr>
              <w:t>2</w:t>
            </w:r>
            <w:r>
              <w:rPr>
                <w:rFonts w:ascii="Times New Roman" w:hAnsi="Times New Roman" w:cs="Times New Roman"/>
                <w:kern w:val="0"/>
                <w:sz w:val="15"/>
                <w:szCs w:val="15"/>
              </w:rPr>
              <w:t>）</w:t>
            </w:r>
          </w:p>
        </w:tc>
        <w:tc>
          <w:tcPr>
            <w:tcW w:w="2021" w:type="pct"/>
          </w:tcPr>
          <w:p w14:paraId="2DF377F5">
            <w:pPr>
              <w:jc w:val="center"/>
              <w:rPr>
                <w:rFonts w:ascii="Times New Roman" w:hAnsi="Times New Roman" w:cs="Times New Roman"/>
                <w:b/>
                <w:kern w:val="0"/>
                <w:sz w:val="15"/>
                <w:szCs w:val="15"/>
              </w:rPr>
            </w:pPr>
            <w:r>
              <w:rPr>
                <w:rFonts w:ascii="Times New Roman" w:hAnsi="Times New Roman" w:cs="Times New Roman"/>
                <w:kern w:val="0"/>
                <w:sz w:val="15"/>
                <w:szCs w:val="15"/>
              </w:rPr>
              <w:t>土地利用与经营方向</w:t>
            </w:r>
          </w:p>
        </w:tc>
      </w:tr>
      <w:tr w14:paraId="799123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90" w:type="pct"/>
          </w:tcPr>
          <w:p w14:paraId="28914B5B">
            <w:pPr>
              <w:jc w:val="center"/>
              <w:rPr>
                <w:rFonts w:ascii="Times New Roman" w:hAnsi="Times New Roman" w:cs="Times New Roman"/>
                <w:b/>
                <w:kern w:val="0"/>
                <w:sz w:val="15"/>
                <w:szCs w:val="15"/>
              </w:rPr>
            </w:pPr>
            <w:r>
              <w:rPr>
                <w:rFonts w:ascii="Times New Roman" w:hAnsi="Times New Roman" w:cs="Times New Roman"/>
                <w:kern w:val="0"/>
                <w:sz w:val="15"/>
                <w:szCs w:val="15"/>
              </w:rPr>
              <w:t>1</w:t>
            </w:r>
          </w:p>
        </w:tc>
        <w:tc>
          <w:tcPr>
            <w:tcW w:w="1489" w:type="pct"/>
            <w:vMerge w:val="restart"/>
            <w:vAlign w:val="center"/>
          </w:tcPr>
          <w:p w14:paraId="57F8F1D0">
            <w:pPr>
              <w:jc w:val="center"/>
              <w:rPr>
                <w:rFonts w:ascii="Times New Roman" w:hAnsi="Times New Roman" w:cs="Times New Roman"/>
                <w:b/>
                <w:kern w:val="0"/>
                <w:sz w:val="15"/>
                <w:szCs w:val="15"/>
              </w:rPr>
            </w:pPr>
            <w:r>
              <w:rPr>
                <w:rFonts w:ascii="Times New Roman" w:hAnsi="Times New Roman" w:cs="Times New Roman"/>
                <w:kern w:val="0"/>
                <w:sz w:val="15"/>
                <w:szCs w:val="15"/>
              </w:rPr>
              <w:t>＞30</w:t>
            </w:r>
          </w:p>
        </w:tc>
        <w:tc>
          <w:tcPr>
            <w:tcW w:w="3345" w:type="dxa"/>
            <w:vAlign w:val="center"/>
          </w:tcPr>
          <w:p w14:paraId="0453DF06">
            <w:pPr>
              <w:jc w:val="center"/>
              <w:rPr>
                <w:rFonts w:ascii="Times New Roman" w:hAnsi="Times New Roman" w:cs="Times New Roman"/>
                <w:b/>
                <w:kern w:val="0"/>
                <w:sz w:val="15"/>
                <w:szCs w:val="15"/>
              </w:rPr>
            </w:pPr>
            <w:r>
              <w:rPr>
                <w:rFonts w:ascii="Times New Roman" w:hAnsi="Times New Roman" w:cs="Times New Roman"/>
                <w:sz w:val="15"/>
                <w:szCs w:val="15"/>
              </w:rPr>
              <w:t>集约经营的耕地、园地、设施农用地</w:t>
            </w:r>
          </w:p>
        </w:tc>
      </w:tr>
      <w:tr w14:paraId="17C13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90" w:type="pct"/>
          </w:tcPr>
          <w:p w14:paraId="132DD747">
            <w:pPr>
              <w:jc w:val="center"/>
              <w:rPr>
                <w:rFonts w:ascii="Times New Roman" w:hAnsi="Times New Roman" w:cs="Times New Roman"/>
                <w:b/>
                <w:kern w:val="0"/>
                <w:sz w:val="15"/>
                <w:szCs w:val="15"/>
              </w:rPr>
            </w:pPr>
            <w:r>
              <w:rPr>
                <w:rFonts w:ascii="Times New Roman" w:hAnsi="Times New Roman" w:cs="Times New Roman"/>
                <w:kern w:val="0"/>
                <w:sz w:val="15"/>
                <w:szCs w:val="15"/>
              </w:rPr>
              <w:t>2</w:t>
            </w:r>
          </w:p>
        </w:tc>
        <w:tc>
          <w:tcPr>
            <w:tcW w:w="1489" w:type="pct"/>
            <w:vMerge w:val="continue"/>
            <w:vAlign w:val="center"/>
          </w:tcPr>
          <w:p w14:paraId="343B9019">
            <w:pPr>
              <w:jc w:val="center"/>
              <w:rPr>
                <w:rFonts w:ascii="Times New Roman" w:hAnsi="Times New Roman" w:cs="Times New Roman"/>
                <w:b/>
                <w:kern w:val="0"/>
                <w:sz w:val="15"/>
                <w:szCs w:val="15"/>
              </w:rPr>
            </w:pPr>
          </w:p>
        </w:tc>
        <w:tc>
          <w:tcPr>
            <w:tcW w:w="3345" w:type="dxa"/>
            <w:vAlign w:val="center"/>
          </w:tcPr>
          <w:p w14:paraId="5E1F8735">
            <w:pPr>
              <w:jc w:val="center"/>
              <w:rPr>
                <w:rFonts w:ascii="Times New Roman" w:hAnsi="Times New Roman" w:cs="Times New Roman"/>
                <w:b/>
                <w:kern w:val="0"/>
                <w:sz w:val="15"/>
                <w:szCs w:val="15"/>
              </w:rPr>
            </w:pPr>
            <w:r>
              <w:rPr>
                <w:rFonts w:ascii="Times New Roman" w:hAnsi="Times New Roman" w:cs="Times New Roman"/>
                <w:sz w:val="15"/>
                <w:szCs w:val="15"/>
              </w:rPr>
              <w:t>耕地、园地</w:t>
            </w:r>
          </w:p>
        </w:tc>
      </w:tr>
      <w:tr w14:paraId="7F30F3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90" w:type="pct"/>
          </w:tcPr>
          <w:p w14:paraId="7B139B43">
            <w:pPr>
              <w:jc w:val="center"/>
              <w:rPr>
                <w:rFonts w:ascii="Times New Roman" w:hAnsi="Times New Roman" w:cs="Times New Roman"/>
                <w:b/>
                <w:sz w:val="15"/>
                <w:szCs w:val="15"/>
              </w:rPr>
            </w:pPr>
            <w:r>
              <w:rPr>
                <w:rFonts w:ascii="Times New Roman" w:hAnsi="Times New Roman" w:cs="Times New Roman"/>
                <w:sz w:val="15"/>
                <w:szCs w:val="15"/>
              </w:rPr>
              <w:t>2</w:t>
            </w:r>
          </w:p>
        </w:tc>
        <w:tc>
          <w:tcPr>
            <w:tcW w:w="1489" w:type="pct"/>
            <w:vMerge w:val="restart"/>
            <w:vAlign w:val="center"/>
          </w:tcPr>
          <w:p w14:paraId="10042C71">
            <w:pPr>
              <w:jc w:val="center"/>
              <w:rPr>
                <w:rFonts w:ascii="Times New Roman" w:hAnsi="Times New Roman" w:cs="Times New Roman"/>
                <w:b/>
                <w:kern w:val="0"/>
                <w:sz w:val="15"/>
                <w:szCs w:val="15"/>
              </w:rPr>
            </w:pPr>
            <w:r>
              <w:rPr>
                <w:rFonts w:ascii="Times New Roman" w:hAnsi="Times New Roman" w:cs="Times New Roman"/>
                <w:kern w:val="0"/>
                <w:sz w:val="15"/>
                <w:szCs w:val="15"/>
              </w:rPr>
              <w:t>10</w:t>
            </w:r>
            <w:r>
              <w:rPr>
                <w:rFonts w:ascii="Times New Roman" w:hAnsi="Times New Roman" w:cs="Times New Roman"/>
                <w:sz w:val="15"/>
                <w:szCs w:val="15"/>
              </w:rPr>
              <w:t>～</w:t>
            </w:r>
            <w:r>
              <w:rPr>
                <w:rFonts w:ascii="Times New Roman" w:hAnsi="Times New Roman" w:cs="Times New Roman"/>
                <w:kern w:val="0"/>
                <w:sz w:val="15"/>
                <w:szCs w:val="15"/>
              </w:rPr>
              <w:t>30</w:t>
            </w:r>
          </w:p>
        </w:tc>
        <w:tc>
          <w:tcPr>
            <w:tcW w:w="3345" w:type="dxa"/>
            <w:vAlign w:val="center"/>
          </w:tcPr>
          <w:p w14:paraId="3EAB1EC1">
            <w:pPr>
              <w:jc w:val="center"/>
              <w:rPr>
                <w:rFonts w:ascii="Times New Roman" w:hAnsi="Times New Roman" w:cs="Times New Roman"/>
                <w:b/>
                <w:kern w:val="0"/>
                <w:sz w:val="15"/>
                <w:szCs w:val="15"/>
              </w:rPr>
            </w:pPr>
            <w:r>
              <w:rPr>
                <w:rFonts w:ascii="Times New Roman" w:hAnsi="Times New Roman" w:cs="Times New Roman"/>
                <w:sz w:val="15"/>
                <w:szCs w:val="15"/>
              </w:rPr>
              <w:t>集约经营的耕地、园地、设施农用地</w:t>
            </w:r>
          </w:p>
        </w:tc>
      </w:tr>
      <w:tr w14:paraId="07BB17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90" w:type="pct"/>
          </w:tcPr>
          <w:p w14:paraId="51D9D7D7">
            <w:pPr>
              <w:jc w:val="center"/>
              <w:rPr>
                <w:rFonts w:ascii="Times New Roman" w:hAnsi="Times New Roman" w:cs="Times New Roman"/>
                <w:b/>
                <w:sz w:val="15"/>
                <w:szCs w:val="15"/>
              </w:rPr>
            </w:pPr>
            <w:r>
              <w:rPr>
                <w:rFonts w:ascii="Times New Roman" w:hAnsi="Times New Roman" w:cs="Times New Roman"/>
                <w:sz w:val="15"/>
                <w:szCs w:val="15"/>
              </w:rPr>
              <w:t>3</w:t>
            </w:r>
          </w:p>
        </w:tc>
        <w:tc>
          <w:tcPr>
            <w:tcW w:w="1489" w:type="pct"/>
            <w:vMerge w:val="continue"/>
            <w:vAlign w:val="center"/>
          </w:tcPr>
          <w:p w14:paraId="13FEC8A2">
            <w:pPr>
              <w:jc w:val="center"/>
              <w:rPr>
                <w:rFonts w:ascii="Times New Roman" w:hAnsi="Times New Roman" w:cs="Times New Roman"/>
                <w:b/>
                <w:kern w:val="0"/>
                <w:sz w:val="15"/>
                <w:szCs w:val="15"/>
              </w:rPr>
            </w:pPr>
          </w:p>
        </w:tc>
        <w:tc>
          <w:tcPr>
            <w:tcW w:w="3345" w:type="dxa"/>
            <w:vAlign w:val="center"/>
          </w:tcPr>
          <w:p w14:paraId="5188CA20">
            <w:pPr>
              <w:jc w:val="center"/>
              <w:rPr>
                <w:rFonts w:ascii="Times New Roman" w:hAnsi="Times New Roman" w:cs="Times New Roman"/>
                <w:b/>
                <w:kern w:val="0"/>
                <w:sz w:val="15"/>
                <w:szCs w:val="15"/>
              </w:rPr>
            </w:pPr>
            <w:r>
              <w:rPr>
                <w:rFonts w:ascii="Times New Roman" w:hAnsi="Times New Roman" w:cs="Times New Roman"/>
                <w:sz w:val="15"/>
                <w:szCs w:val="15"/>
              </w:rPr>
              <w:t>耕地、园地</w:t>
            </w:r>
          </w:p>
        </w:tc>
      </w:tr>
      <w:tr w14:paraId="6162E5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1490" w:type="pct"/>
          </w:tcPr>
          <w:p w14:paraId="6C9A2ED5">
            <w:pPr>
              <w:jc w:val="center"/>
              <w:rPr>
                <w:rFonts w:ascii="Times New Roman" w:hAnsi="Times New Roman" w:cs="Times New Roman"/>
                <w:b/>
                <w:kern w:val="0"/>
                <w:sz w:val="15"/>
                <w:szCs w:val="15"/>
              </w:rPr>
            </w:pPr>
            <w:r>
              <w:rPr>
                <w:rFonts w:ascii="Times New Roman" w:hAnsi="Times New Roman" w:cs="Times New Roman"/>
                <w:kern w:val="0"/>
                <w:sz w:val="15"/>
                <w:szCs w:val="15"/>
              </w:rPr>
              <w:t>3</w:t>
            </w:r>
          </w:p>
        </w:tc>
        <w:tc>
          <w:tcPr>
            <w:tcW w:w="1489" w:type="pct"/>
            <w:vAlign w:val="center"/>
          </w:tcPr>
          <w:p w14:paraId="41D1FD55">
            <w:pPr>
              <w:jc w:val="center"/>
              <w:rPr>
                <w:rFonts w:ascii="Times New Roman" w:hAnsi="Times New Roman" w:cs="Times New Roman"/>
                <w:b/>
                <w:kern w:val="0"/>
                <w:sz w:val="15"/>
                <w:szCs w:val="15"/>
              </w:rPr>
            </w:pPr>
            <w:r>
              <w:rPr>
                <w:rFonts w:ascii="Times New Roman" w:hAnsi="Times New Roman" w:cs="Times New Roman"/>
                <w:kern w:val="0"/>
                <w:sz w:val="15"/>
                <w:szCs w:val="15"/>
              </w:rPr>
              <w:t>≤10</w:t>
            </w:r>
          </w:p>
        </w:tc>
        <w:tc>
          <w:tcPr>
            <w:tcW w:w="2021" w:type="pct"/>
          </w:tcPr>
          <w:p w14:paraId="573F3A4C">
            <w:pPr>
              <w:jc w:val="center"/>
              <w:rPr>
                <w:rFonts w:ascii="Times New Roman" w:hAnsi="Times New Roman" w:cs="Times New Roman"/>
                <w:b/>
                <w:kern w:val="0"/>
                <w:sz w:val="15"/>
                <w:szCs w:val="15"/>
              </w:rPr>
            </w:pPr>
            <w:r>
              <w:rPr>
                <w:rFonts w:ascii="Times New Roman" w:hAnsi="Times New Roman" w:cs="Times New Roman"/>
                <w:sz w:val="15"/>
                <w:szCs w:val="15"/>
              </w:rPr>
              <w:t>—</w:t>
            </w:r>
          </w:p>
        </w:tc>
      </w:tr>
    </w:tbl>
    <w:p w14:paraId="45960462">
      <w:pPr>
        <w:ind w:firstLine="447" w:firstLineChars="298"/>
        <w:rPr>
          <w:rFonts w:ascii="Times New Roman" w:hAnsi="Times New Roman" w:cs="Times New Roman"/>
          <w:b/>
          <w:sz w:val="15"/>
          <w:szCs w:val="15"/>
        </w:rPr>
      </w:pPr>
      <w:r>
        <w:rPr>
          <w:rFonts w:ascii="Times New Roman" w:hAnsi="Times New Roman" w:cs="Times New Roman"/>
          <w:sz w:val="15"/>
          <w:szCs w:val="15"/>
        </w:rPr>
        <w:t xml:space="preserve">注：1 </w:t>
      </w:r>
      <w:r>
        <w:rPr>
          <w:rFonts w:hint="eastAsia" w:ascii="Times New Roman" w:hAnsi="Times New Roman" w:cs="Times New Roman"/>
          <w:sz w:val="15"/>
          <w:szCs w:val="15"/>
        </w:rPr>
        <w:t xml:space="preserve"> </w:t>
      </w:r>
      <w:r>
        <w:rPr>
          <w:rFonts w:ascii="Times New Roman" w:hAnsi="Times New Roman" w:cs="Times New Roman"/>
          <w:sz w:val="15"/>
          <w:szCs w:val="15"/>
        </w:rPr>
        <w:t>级别划定以面积为首要条件。面积指一个设计单元面积；</w:t>
      </w:r>
    </w:p>
    <w:p w14:paraId="28CC9E60">
      <w:pPr>
        <w:ind w:firstLine="750" w:firstLineChars="500"/>
        <w:rPr>
          <w:rFonts w:ascii="Times New Roman" w:hAnsi="Times New Roman" w:eastAsia="黑体" w:cs="Times New Roman"/>
          <w:b/>
          <w:sz w:val="24"/>
          <w:szCs w:val="21"/>
        </w:rPr>
      </w:pPr>
      <w:r>
        <w:rPr>
          <w:rFonts w:ascii="Times New Roman" w:hAnsi="Times New Roman" w:cs="Times New Roman"/>
          <w:sz w:val="15"/>
          <w:szCs w:val="15"/>
        </w:rPr>
        <w:t xml:space="preserve">2 </w:t>
      </w:r>
      <w:r>
        <w:rPr>
          <w:rFonts w:hint="eastAsia" w:ascii="Times New Roman" w:hAnsi="Times New Roman" w:cs="Times New Roman"/>
          <w:sz w:val="15"/>
          <w:szCs w:val="15"/>
        </w:rPr>
        <w:t xml:space="preserve"> </w:t>
      </w:r>
      <w:r>
        <w:rPr>
          <w:rFonts w:ascii="Times New Roman" w:hAnsi="Times New Roman" w:cs="Times New Roman"/>
          <w:sz w:val="15"/>
          <w:szCs w:val="15"/>
        </w:rPr>
        <w:t>当交通和水源条件较好时，提高一级；当无水源条件或交通条件较差时，降低一级。</w:t>
      </w:r>
    </w:p>
    <w:p w14:paraId="156C05FD">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3</w:t>
      </w:r>
      <w:r>
        <w:rPr>
          <w:rFonts w:ascii="Times New Roman" w:hAnsi="Times New Roman" w:cs="Times New Roman"/>
          <w:b/>
          <w:sz w:val="21"/>
          <w:szCs w:val="21"/>
        </w:rPr>
        <w:t xml:space="preserve"> </w:t>
      </w:r>
      <w:r>
        <w:rPr>
          <w:rFonts w:ascii="Times New Roman" w:hAnsi="Times New Roman" w:cs="Times New Roman"/>
          <w:sz w:val="22"/>
          <w:szCs w:val="21"/>
        </w:rPr>
        <w:t xml:space="preserve"> Ⅲ</w:t>
      </w:r>
      <w:r>
        <w:rPr>
          <w:rFonts w:ascii="Times New Roman" w:hAnsi="Times New Roman" w:cs="Times New Roman"/>
          <w:sz w:val="21"/>
          <w:szCs w:val="21"/>
        </w:rPr>
        <w:t xml:space="preserve"> 区主要包括黄土覆盖区，土层覆盖相对较厚及其类似区域，梯田工程级别应按表4.2.1-3确定。</w:t>
      </w:r>
    </w:p>
    <w:p w14:paraId="4F1AFF99">
      <w:pPr>
        <w:jc w:val="center"/>
        <w:rPr>
          <w:rFonts w:ascii="Times New Roman" w:hAnsi="Times New Roman" w:eastAsia="黑体" w:cs="Times New Roman"/>
          <w:b/>
          <w:sz w:val="24"/>
          <w:szCs w:val="21"/>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 xml:space="preserve">1-3  </w:t>
      </w:r>
      <w:r>
        <w:rPr>
          <w:rFonts w:ascii="Times New Roman" w:hAnsi="Times New Roman" w:eastAsia="黑体" w:cs="Times New Roman"/>
          <w:bCs/>
          <w:sz w:val="18"/>
          <w:szCs w:val="18"/>
        </w:rPr>
        <w:t xml:space="preserve">Ⅲ </w:t>
      </w:r>
      <w:r>
        <w:rPr>
          <w:rFonts w:ascii="Times New Roman" w:hAnsi="Times New Roman" w:eastAsia="黑体" w:cs="Times New Roman"/>
          <w:sz w:val="18"/>
          <w:szCs w:val="18"/>
        </w:rPr>
        <w:t>区梯田工程级别</w:t>
      </w:r>
    </w:p>
    <w:tbl>
      <w:tblPr>
        <w:tblStyle w:val="10"/>
        <w:tblW w:w="5000" w:type="pct"/>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81"/>
        <w:gridCol w:w="2481"/>
        <w:gridCol w:w="3314"/>
      </w:tblGrid>
      <w:tr w14:paraId="7B7BBB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99" w:type="pct"/>
          </w:tcPr>
          <w:p w14:paraId="69AFD29D">
            <w:pPr>
              <w:jc w:val="center"/>
              <w:rPr>
                <w:rFonts w:ascii="Times New Roman" w:hAnsi="Times New Roman" w:cs="Times New Roman"/>
                <w:b/>
                <w:kern w:val="0"/>
                <w:sz w:val="15"/>
                <w:szCs w:val="15"/>
              </w:rPr>
            </w:pPr>
            <w:r>
              <w:rPr>
                <w:rFonts w:ascii="Times New Roman" w:hAnsi="Times New Roman" w:cs="Times New Roman"/>
                <w:kern w:val="0"/>
                <w:sz w:val="15"/>
                <w:szCs w:val="15"/>
              </w:rPr>
              <w:t>级别</w:t>
            </w:r>
          </w:p>
        </w:tc>
        <w:tc>
          <w:tcPr>
            <w:tcW w:w="1499" w:type="pct"/>
            <w:vAlign w:val="center"/>
          </w:tcPr>
          <w:p w14:paraId="6105F1D2">
            <w:pPr>
              <w:jc w:val="center"/>
              <w:rPr>
                <w:rFonts w:ascii="Times New Roman" w:hAnsi="Times New Roman" w:cs="Times New Roman"/>
                <w:b/>
                <w:kern w:val="0"/>
                <w:sz w:val="15"/>
                <w:szCs w:val="15"/>
              </w:rPr>
            </w:pPr>
            <w:r>
              <w:rPr>
                <w:rFonts w:ascii="Times New Roman" w:hAnsi="Times New Roman" w:cs="Times New Roman"/>
                <w:kern w:val="0"/>
                <w:sz w:val="15"/>
                <w:szCs w:val="15"/>
              </w:rPr>
              <w:t>面积（hm</w:t>
            </w:r>
            <w:r>
              <w:rPr>
                <w:rFonts w:ascii="Times New Roman" w:hAnsi="Times New Roman" w:cs="Times New Roman"/>
                <w:kern w:val="0"/>
                <w:sz w:val="15"/>
                <w:szCs w:val="15"/>
                <w:vertAlign w:val="superscript"/>
              </w:rPr>
              <w:t>2</w:t>
            </w:r>
            <w:r>
              <w:rPr>
                <w:rFonts w:ascii="Times New Roman" w:hAnsi="Times New Roman" w:cs="Times New Roman"/>
                <w:kern w:val="0"/>
                <w:sz w:val="15"/>
                <w:szCs w:val="15"/>
              </w:rPr>
              <w:t>）</w:t>
            </w:r>
          </w:p>
        </w:tc>
        <w:tc>
          <w:tcPr>
            <w:tcW w:w="2002" w:type="pct"/>
          </w:tcPr>
          <w:p w14:paraId="13F2DAC4">
            <w:pPr>
              <w:jc w:val="center"/>
              <w:rPr>
                <w:rFonts w:ascii="Times New Roman" w:hAnsi="Times New Roman" w:cs="Times New Roman"/>
                <w:b/>
                <w:kern w:val="0"/>
                <w:sz w:val="15"/>
                <w:szCs w:val="15"/>
              </w:rPr>
            </w:pPr>
            <w:r>
              <w:rPr>
                <w:rFonts w:ascii="Times New Roman" w:hAnsi="Times New Roman" w:cs="Times New Roman"/>
                <w:kern w:val="0"/>
                <w:sz w:val="15"/>
                <w:szCs w:val="15"/>
              </w:rPr>
              <w:t>土地利用与经营方向</w:t>
            </w:r>
          </w:p>
        </w:tc>
      </w:tr>
      <w:tr w14:paraId="3AEB01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99" w:type="pct"/>
          </w:tcPr>
          <w:p w14:paraId="02FF60B3">
            <w:pPr>
              <w:jc w:val="center"/>
              <w:rPr>
                <w:rFonts w:ascii="Times New Roman" w:hAnsi="Times New Roman" w:cs="Times New Roman"/>
                <w:b/>
                <w:sz w:val="15"/>
                <w:szCs w:val="15"/>
              </w:rPr>
            </w:pPr>
            <w:r>
              <w:rPr>
                <w:rFonts w:ascii="Times New Roman" w:hAnsi="Times New Roman" w:cs="Times New Roman"/>
                <w:sz w:val="15"/>
                <w:szCs w:val="15"/>
              </w:rPr>
              <w:t>1</w:t>
            </w:r>
          </w:p>
        </w:tc>
        <w:tc>
          <w:tcPr>
            <w:tcW w:w="1499" w:type="pct"/>
            <w:vMerge w:val="restart"/>
            <w:vAlign w:val="center"/>
          </w:tcPr>
          <w:p w14:paraId="154E1AA6">
            <w:pPr>
              <w:jc w:val="center"/>
              <w:rPr>
                <w:rFonts w:ascii="Times New Roman" w:hAnsi="Times New Roman" w:cs="Times New Roman"/>
                <w:b/>
                <w:kern w:val="0"/>
                <w:sz w:val="15"/>
                <w:szCs w:val="15"/>
              </w:rPr>
            </w:pPr>
            <w:r>
              <w:rPr>
                <w:rFonts w:ascii="Times New Roman" w:hAnsi="Times New Roman" w:cs="Times New Roman"/>
                <w:kern w:val="0"/>
                <w:sz w:val="15"/>
                <w:szCs w:val="15"/>
              </w:rPr>
              <w:t>＞60</w:t>
            </w:r>
          </w:p>
        </w:tc>
        <w:tc>
          <w:tcPr>
            <w:tcW w:w="3314" w:type="dxa"/>
            <w:vAlign w:val="center"/>
          </w:tcPr>
          <w:p w14:paraId="75E2A759">
            <w:pPr>
              <w:jc w:val="center"/>
              <w:rPr>
                <w:rFonts w:ascii="Times New Roman" w:hAnsi="Times New Roman" w:cs="Times New Roman"/>
                <w:b/>
                <w:kern w:val="0"/>
                <w:sz w:val="15"/>
                <w:szCs w:val="15"/>
              </w:rPr>
            </w:pPr>
            <w:r>
              <w:rPr>
                <w:rFonts w:ascii="Times New Roman" w:hAnsi="Times New Roman" w:cs="Times New Roman"/>
                <w:sz w:val="15"/>
                <w:szCs w:val="15"/>
              </w:rPr>
              <w:t>集约经营的耕地、园地、设施农用地</w:t>
            </w:r>
          </w:p>
        </w:tc>
      </w:tr>
      <w:tr w14:paraId="6CE692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99" w:type="pct"/>
          </w:tcPr>
          <w:p w14:paraId="142CA3B3">
            <w:pPr>
              <w:jc w:val="center"/>
              <w:rPr>
                <w:rFonts w:ascii="Times New Roman" w:hAnsi="Times New Roman" w:cs="Times New Roman"/>
                <w:b/>
                <w:sz w:val="15"/>
                <w:szCs w:val="15"/>
              </w:rPr>
            </w:pPr>
            <w:r>
              <w:rPr>
                <w:rFonts w:ascii="Times New Roman" w:hAnsi="Times New Roman" w:cs="Times New Roman"/>
                <w:sz w:val="15"/>
                <w:szCs w:val="15"/>
              </w:rPr>
              <w:t>2</w:t>
            </w:r>
          </w:p>
        </w:tc>
        <w:tc>
          <w:tcPr>
            <w:tcW w:w="1499" w:type="pct"/>
            <w:vMerge w:val="continue"/>
            <w:vAlign w:val="center"/>
          </w:tcPr>
          <w:p w14:paraId="2E26C96C">
            <w:pPr>
              <w:jc w:val="center"/>
              <w:rPr>
                <w:rFonts w:ascii="Times New Roman" w:hAnsi="Times New Roman" w:cs="Times New Roman"/>
                <w:b/>
                <w:kern w:val="0"/>
                <w:sz w:val="15"/>
                <w:szCs w:val="15"/>
              </w:rPr>
            </w:pPr>
          </w:p>
        </w:tc>
        <w:tc>
          <w:tcPr>
            <w:tcW w:w="3314" w:type="dxa"/>
            <w:vAlign w:val="center"/>
          </w:tcPr>
          <w:p w14:paraId="6F7EF5EB">
            <w:pPr>
              <w:jc w:val="center"/>
              <w:rPr>
                <w:rFonts w:ascii="Times New Roman" w:hAnsi="Times New Roman" w:cs="Times New Roman"/>
                <w:b/>
                <w:kern w:val="0"/>
                <w:sz w:val="15"/>
                <w:szCs w:val="15"/>
              </w:rPr>
            </w:pPr>
            <w:r>
              <w:rPr>
                <w:rFonts w:ascii="Times New Roman" w:hAnsi="Times New Roman" w:cs="Times New Roman"/>
                <w:sz w:val="15"/>
                <w:szCs w:val="15"/>
              </w:rPr>
              <w:t>耕地、园地</w:t>
            </w:r>
          </w:p>
        </w:tc>
      </w:tr>
      <w:tr w14:paraId="5083CF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99" w:type="pct"/>
          </w:tcPr>
          <w:p w14:paraId="2AD183A5">
            <w:pPr>
              <w:jc w:val="center"/>
              <w:rPr>
                <w:rFonts w:ascii="Times New Roman" w:hAnsi="Times New Roman" w:cs="Times New Roman"/>
                <w:b/>
                <w:sz w:val="15"/>
                <w:szCs w:val="15"/>
              </w:rPr>
            </w:pPr>
            <w:r>
              <w:rPr>
                <w:rFonts w:ascii="Times New Roman" w:hAnsi="Times New Roman" w:cs="Times New Roman"/>
                <w:sz w:val="15"/>
                <w:szCs w:val="15"/>
              </w:rPr>
              <w:t>2</w:t>
            </w:r>
          </w:p>
        </w:tc>
        <w:tc>
          <w:tcPr>
            <w:tcW w:w="1499" w:type="pct"/>
            <w:vMerge w:val="restart"/>
            <w:vAlign w:val="center"/>
          </w:tcPr>
          <w:p w14:paraId="56D43C13">
            <w:pPr>
              <w:jc w:val="center"/>
              <w:rPr>
                <w:rFonts w:ascii="Times New Roman" w:hAnsi="Times New Roman" w:cs="Times New Roman"/>
                <w:b/>
                <w:kern w:val="0"/>
                <w:sz w:val="15"/>
                <w:szCs w:val="15"/>
              </w:rPr>
            </w:pPr>
            <w:r>
              <w:rPr>
                <w:rFonts w:ascii="Times New Roman" w:hAnsi="Times New Roman" w:cs="Times New Roman"/>
                <w:kern w:val="0"/>
                <w:sz w:val="15"/>
                <w:szCs w:val="15"/>
              </w:rPr>
              <w:t>30</w:t>
            </w:r>
            <w:r>
              <w:rPr>
                <w:rFonts w:ascii="Times New Roman" w:hAnsi="Times New Roman" w:cs="Times New Roman"/>
                <w:sz w:val="15"/>
                <w:szCs w:val="15"/>
              </w:rPr>
              <w:t>～</w:t>
            </w:r>
            <w:r>
              <w:rPr>
                <w:rFonts w:ascii="Times New Roman" w:hAnsi="Times New Roman" w:cs="Times New Roman"/>
                <w:kern w:val="0"/>
                <w:sz w:val="15"/>
                <w:szCs w:val="15"/>
              </w:rPr>
              <w:t>60</w:t>
            </w:r>
          </w:p>
        </w:tc>
        <w:tc>
          <w:tcPr>
            <w:tcW w:w="3314" w:type="dxa"/>
            <w:vAlign w:val="center"/>
          </w:tcPr>
          <w:p w14:paraId="0221D030">
            <w:pPr>
              <w:jc w:val="center"/>
              <w:rPr>
                <w:rFonts w:ascii="Times New Roman" w:hAnsi="Times New Roman" w:cs="Times New Roman"/>
                <w:b/>
                <w:kern w:val="0"/>
                <w:sz w:val="15"/>
                <w:szCs w:val="15"/>
              </w:rPr>
            </w:pPr>
            <w:r>
              <w:rPr>
                <w:rFonts w:ascii="Times New Roman" w:hAnsi="Times New Roman" w:cs="Times New Roman"/>
                <w:sz w:val="15"/>
                <w:szCs w:val="15"/>
              </w:rPr>
              <w:t>集约经营的耕地、园地、设施农用地</w:t>
            </w:r>
          </w:p>
        </w:tc>
      </w:tr>
      <w:tr w14:paraId="21046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99" w:type="pct"/>
          </w:tcPr>
          <w:p w14:paraId="5AB5236D">
            <w:pPr>
              <w:jc w:val="center"/>
              <w:rPr>
                <w:rFonts w:ascii="Times New Roman" w:hAnsi="Times New Roman" w:cs="Times New Roman"/>
                <w:b/>
                <w:sz w:val="15"/>
                <w:szCs w:val="15"/>
              </w:rPr>
            </w:pPr>
            <w:r>
              <w:rPr>
                <w:rFonts w:ascii="Times New Roman" w:hAnsi="Times New Roman" w:cs="Times New Roman"/>
                <w:sz w:val="15"/>
                <w:szCs w:val="15"/>
              </w:rPr>
              <w:t>3</w:t>
            </w:r>
          </w:p>
        </w:tc>
        <w:tc>
          <w:tcPr>
            <w:tcW w:w="1499" w:type="pct"/>
            <w:vMerge w:val="continue"/>
            <w:vAlign w:val="center"/>
          </w:tcPr>
          <w:p w14:paraId="0CC84AA5">
            <w:pPr>
              <w:jc w:val="center"/>
              <w:rPr>
                <w:rFonts w:ascii="Times New Roman" w:hAnsi="Times New Roman" w:cs="Times New Roman"/>
                <w:b/>
                <w:kern w:val="0"/>
                <w:sz w:val="15"/>
                <w:szCs w:val="15"/>
              </w:rPr>
            </w:pPr>
          </w:p>
        </w:tc>
        <w:tc>
          <w:tcPr>
            <w:tcW w:w="3314" w:type="dxa"/>
            <w:vAlign w:val="center"/>
          </w:tcPr>
          <w:p w14:paraId="454FF2C4">
            <w:pPr>
              <w:jc w:val="center"/>
              <w:rPr>
                <w:rFonts w:ascii="Times New Roman" w:hAnsi="Times New Roman" w:cs="Times New Roman"/>
                <w:b/>
                <w:kern w:val="0"/>
                <w:sz w:val="15"/>
                <w:szCs w:val="15"/>
              </w:rPr>
            </w:pPr>
            <w:r>
              <w:rPr>
                <w:rFonts w:ascii="Times New Roman" w:hAnsi="Times New Roman" w:cs="Times New Roman"/>
                <w:sz w:val="15"/>
                <w:szCs w:val="15"/>
              </w:rPr>
              <w:t>耕地、园地</w:t>
            </w:r>
          </w:p>
        </w:tc>
      </w:tr>
      <w:tr w14:paraId="4118E1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99" w:type="pct"/>
          </w:tcPr>
          <w:p w14:paraId="2F16B601">
            <w:pPr>
              <w:jc w:val="center"/>
              <w:rPr>
                <w:rFonts w:ascii="Times New Roman" w:hAnsi="Times New Roman" w:cs="Times New Roman"/>
                <w:b/>
                <w:sz w:val="15"/>
                <w:szCs w:val="15"/>
              </w:rPr>
            </w:pPr>
            <w:r>
              <w:rPr>
                <w:rFonts w:ascii="Times New Roman" w:hAnsi="Times New Roman" w:cs="Times New Roman"/>
                <w:sz w:val="15"/>
                <w:szCs w:val="15"/>
              </w:rPr>
              <w:t>3</w:t>
            </w:r>
          </w:p>
        </w:tc>
        <w:tc>
          <w:tcPr>
            <w:tcW w:w="1499" w:type="pct"/>
            <w:vAlign w:val="center"/>
          </w:tcPr>
          <w:p w14:paraId="439DE401">
            <w:pPr>
              <w:jc w:val="center"/>
              <w:rPr>
                <w:rFonts w:ascii="Times New Roman" w:hAnsi="Times New Roman" w:cs="Times New Roman"/>
                <w:b/>
                <w:kern w:val="0"/>
                <w:sz w:val="15"/>
                <w:szCs w:val="15"/>
              </w:rPr>
            </w:pPr>
            <w:r>
              <w:rPr>
                <w:rFonts w:ascii="Times New Roman" w:hAnsi="Times New Roman" w:cs="Times New Roman"/>
                <w:kern w:val="0"/>
                <w:sz w:val="15"/>
                <w:szCs w:val="15"/>
              </w:rPr>
              <w:t>≤30</w:t>
            </w:r>
          </w:p>
        </w:tc>
        <w:tc>
          <w:tcPr>
            <w:tcW w:w="2002" w:type="pct"/>
          </w:tcPr>
          <w:p w14:paraId="4864AE03">
            <w:pPr>
              <w:jc w:val="center"/>
              <w:rPr>
                <w:rFonts w:ascii="Times New Roman" w:hAnsi="Times New Roman" w:cs="Times New Roman"/>
                <w:b/>
                <w:kern w:val="0"/>
                <w:sz w:val="15"/>
                <w:szCs w:val="15"/>
              </w:rPr>
            </w:pPr>
            <w:r>
              <w:rPr>
                <w:rFonts w:ascii="Times New Roman" w:hAnsi="Times New Roman" w:cs="Times New Roman"/>
                <w:sz w:val="15"/>
                <w:szCs w:val="15"/>
              </w:rPr>
              <w:t>—</w:t>
            </w:r>
          </w:p>
        </w:tc>
      </w:tr>
    </w:tbl>
    <w:p w14:paraId="203041C5">
      <w:pPr>
        <w:ind w:firstLine="447" w:firstLineChars="298"/>
        <w:rPr>
          <w:rFonts w:ascii="Times New Roman" w:hAnsi="Times New Roman" w:cs="Times New Roman"/>
          <w:b/>
          <w:sz w:val="15"/>
          <w:szCs w:val="15"/>
        </w:rPr>
      </w:pPr>
      <w:r>
        <w:rPr>
          <w:rFonts w:ascii="Times New Roman" w:hAnsi="Times New Roman" w:cs="Times New Roman"/>
          <w:sz w:val="15"/>
          <w:szCs w:val="15"/>
        </w:rPr>
        <w:t xml:space="preserve">注：1 </w:t>
      </w:r>
      <w:r>
        <w:rPr>
          <w:rFonts w:hint="eastAsia" w:ascii="Times New Roman" w:hAnsi="Times New Roman" w:cs="Times New Roman"/>
          <w:sz w:val="15"/>
          <w:szCs w:val="15"/>
        </w:rPr>
        <w:t xml:space="preserve"> </w:t>
      </w:r>
      <w:r>
        <w:rPr>
          <w:rFonts w:ascii="Times New Roman" w:hAnsi="Times New Roman" w:cs="Times New Roman"/>
          <w:sz w:val="15"/>
          <w:szCs w:val="15"/>
        </w:rPr>
        <w:t>级别划定以面积为首要条件。面积指一个设计单元面积；</w:t>
      </w:r>
    </w:p>
    <w:p w14:paraId="2885F699">
      <w:pPr>
        <w:ind w:firstLine="750" w:firstLineChars="500"/>
        <w:rPr>
          <w:rFonts w:ascii="Times New Roman" w:hAnsi="Times New Roman" w:eastAsia="黑体" w:cs="Times New Roman"/>
          <w:b/>
          <w:sz w:val="24"/>
          <w:szCs w:val="21"/>
        </w:rPr>
      </w:pPr>
      <w:r>
        <w:rPr>
          <w:rFonts w:ascii="Times New Roman" w:hAnsi="Times New Roman" w:cs="Times New Roman"/>
          <w:sz w:val="15"/>
          <w:szCs w:val="15"/>
        </w:rPr>
        <w:t xml:space="preserve">2 </w:t>
      </w:r>
      <w:r>
        <w:rPr>
          <w:rFonts w:hint="eastAsia" w:ascii="Times New Roman" w:hAnsi="Times New Roman" w:cs="Times New Roman"/>
          <w:sz w:val="15"/>
          <w:szCs w:val="15"/>
        </w:rPr>
        <w:t xml:space="preserve"> </w:t>
      </w:r>
      <w:r>
        <w:rPr>
          <w:rFonts w:ascii="Times New Roman" w:hAnsi="Times New Roman" w:cs="Times New Roman"/>
          <w:sz w:val="15"/>
          <w:szCs w:val="15"/>
        </w:rPr>
        <w:t>当交通和水源条件较好时，提高一级；当无水源条件或交通条件较差时，降低一级。</w:t>
      </w:r>
    </w:p>
    <w:p w14:paraId="7B5BCD35">
      <w:pPr>
        <w:spacing w:line="360" w:lineRule="auto"/>
        <w:ind w:firstLine="422" w:firstLineChars="200"/>
        <w:rPr>
          <w:rFonts w:ascii="Times New Roman" w:hAnsi="Times New Roman" w:cs="Times New Roman"/>
          <w:b/>
          <w:sz w:val="24"/>
          <w:szCs w:val="21"/>
        </w:rPr>
      </w:pPr>
      <w:r>
        <w:rPr>
          <w:rFonts w:ascii="Times New Roman" w:hAnsi="Times New Roman" w:eastAsia="黑体" w:cs="Times New Roman"/>
          <w:b/>
          <w:sz w:val="21"/>
          <w:szCs w:val="21"/>
        </w:rPr>
        <w:t>4</w:t>
      </w:r>
      <w:r>
        <w:rPr>
          <w:rFonts w:ascii="Times New Roman" w:hAnsi="Times New Roman" w:cs="Times New Roman"/>
          <w:sz w:val="21"/>
          <w:szCs w:val="21"/>
        </w:rPr>
        <w:t xml:space="preserve">  </w:t>
      </w:r>
      <w:r>
        <w:rPr>
          <w:rFonts w:ascii="Times New Roman" w:hAnsi="Times New Roman" w:cs="Times New Roman"/>
          <w:sz w:val="22"/>
          <w:szCs w:val="21"/>
        </w:rPr>
        <w:t>Ⅳ</w:t>
      </w:r>
      <w:r>
        <w:rPr>
          <w:rFonts w:ascii="Times New Roman" w:hAnsi="Times New Roman" w:cs="Times New Roman"/>
          <w:sz w:val="21"/>
          <w:szCs w:val="21"/>
        </w:rPr>
        <w:t xml:space="preserve"> 区主要为黑土区，梯田工程级别应按表4.2.1-4确定。</w:t>
      </w:r>
    </w:p>
    <w:p w14:paraId="552F6AD4">
      <w:pPr>
        <w:jc w:val="center"/>
        <w:rPr>
          <w:rFonts w:ascii="Times New Roman" w:hAnsi="Times New Roman" w:eastAsia="黑体" w:cs="Times New Roman"/>
          <w:b/>
          <w:sz w:val="24"/>
          <w:szCs w:val="21"/>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 xml:space="preserve">1-4  </w:t>
      </w:r>
      <w:r>
        <w:rPr>
          <w:rFonts w:ascii="Times New Roman" w:hAnsi="Times New Roman" w:eastAsia="黑体" w:cs="Times New Roman"/>
          <w:b/>
          <w:sz w:val="18"/>
          <w:szCs w:val="18"/>
        </w:rPr>
        <w:t xml:space="preserve">Ⅳ </w:t>
      </w:r>
      <w:r>
        <w:rPr>
          <w:rFonts w:ascii="Times New Roman" w:hAnsi="Times New Roman" w:eastAsia="黑体" w:cs="Times New Roman"/>
          <w:sz w:val="18"/>
          <w:szCs w:val="18"/>
        </w:rPr>
        <w:t>区梯田工程级别</w:t>
      </w:r>
    </w:p>
    <w:tbl>
      <w:tblPr>
        <w:tblStyle w:val="10"/>
        <w:tblW w:w="5000" w:type="pct"/>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524"/>
        <w:gridCol w:w="2521"/>
        <w:gridCol w:w="3231"/>
      </w:tblGrid>
      <w:tr w14:paraId="3B50DF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25" w:type="pct"/>
          </w:tcPr>
          <w:p w14:paraId="518E7225">
            <w:pPr>
              <w:jc w:val="center"/>
              <w:rPr>
                <w:rFonts w:ascii="Times New Roman" w:hAnsi="Times New Roman" w:cs="Times New Roman"/>
                <w:b/>
                <w:kern w:val="0"/>
                <w:sz w:val="15"/>
                <w:szCs w:val="15"/>
              </w:rPr>
            </w:pPr>
            <w:r>
              <w:rPr>
                <w:rFonts w:ascii="Times New Roman" w:hAnsi="Times New Roman" w:cs="Times New Roman"/>
                <w:kern w:val="0"/>
                <w:sz w:val="15"/>
                <w:szCs w:val="15"/>
              </w:rPr>
              <w:t>级别</w:t>
            </w:r>
          </w:p>
        </w:tc>
        <w:tc>
          <w:tcPr>
            <w:tcW w:w="1523" w:type="pct"/>
          </w:tcPr>
          <w:p w14:paraId="7421C973">
            <w:pPr>
              <w:jc w:val="center"/>
              <w:rPr>
                <w:rFonts w:ascii="Times New Roman" w:hAnsi="Times New Roman" w:cs="Times New Roman"/>
                <w:b/>
                <w:kern w:val="0"/>
                <w:sz w:val="15"/>
                <w:szCs w:val="15"/>
              </w:rPr>
            </w:pPr>
            <w:r>
              <w:rPr>
                <w:rFonts w:ascii="Times New Roman" w:hAnsi="Times New Roman" w:cs="Times New Roman"/>
                <w:kern w:val="0"/>
                <w:sz w:val="15"/>
                <w:szCs w:val="15"/>
              </w:rPr>
              <w:t>水源条件</w:t>
            </w:r>
          </w:p>
        </w:tc>
        <w:tc>
          <w:tcPr>
            <w:tcW w:w="1952" w:type="pct"/>
          </w:tcPr>
          <w:p w14:paraId="73EC7264">
            <w:pPr>
              <w:jc w:val="center"/>
              <w:rPr>
                <w:rFonts w:ascii="Times New Roman" w:hAnsi="Times New Roman" w:cs="Times New Roman"/>
                <w:b/>
                <w:kern w:val="0"/>
                <w:sz w:val="15"/>
                <w:szCs w:val="15"/>
              </w:rPr>
            </w:pPr>
            <w:r>
              <w:rPr>
                <w:rFonts w:ascii="Times New Roman" w:hAnsi="Times New Roman" w:cs="Times New Roman"/>
                <w:kern w:val="0"/>
                <w:sz w:val="15"/>
                <w:szCs w:val="15"/>
              </w:rPr>
              <w:t>面积（hm</w:t>
            </w:r>
            <w:r>
              <w:rPr>
                <w:rFonts w:ascii="Times New Roman" w:hAnsi="Times New Roman" w:cs="Times New Roman"/>
                <w:kern w:val="0"/>
                <w:sz w:val="15"/>
                <w:szCs w:val="15"/>
                <w:vertAlign w:val="superscript"/>
              </w:rPr>
              <w:t>2</w:t>
            </w:r>
            <w:r>
              <w:rPr>
                <w:rFonts w:ascii="Times New Roman" w:hAnsi="Times New Roman" w:cs="Times New Roman"/>
                <w:kern w:val="0"/>
                <w:sz w:val="15"/>
                <w:szCs w:val="15"/>
              </w:rPr>
              <w:t>）</w:t>
            </w:r>
          </w:p>
        </w:tc>
      </w:tr>
      <w:tr w14:paraId="591F24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25" w:type="pct"/>
          </w:tcPr>
          <w:p w14:paraId="042F29FC">
            <w:pPr>
              <w:jc w:val="center"/>
              <w:rPr>
                <w:rFonts w:ascii="Times New Roman" w:hAnsi="Times New Roman" w:cs="Times New Roman"/>
                <w:b/>
                <w:sz w:val="15"/>
                <w:szCs w:val="15"/>
              </w:rPr>
            </w:pPr>
            <w:r>
              <w:rPr>
                <w:rFonts w:ascii="Times New Roman" w:hAnsi="Times New Roman" w:cs="Times New Roman"/>
                <w:sz w:val="15"/>
                <w:szCs w:val="15"/>
              </w:rPr>
              <w:t>1</w:t>
            </w:r>
          </w:p>
        </w:tc>
        <w:tc>
          <w:tcPr>
            <w:tcW w:w="1523" w:type="pct"/>
          </w:tcPr>
          <w:p w14:paraId="2F389880">
            <w:pPr>
              <w:jc w:val="center"/>
              <w:rPr>
                <w:rFonts w:ascii="Times New Roman" w:hAnsi="Times New Roman" w:cs="Times New Roman"/>
                <w:b/>
                <w:kern w:val="0"/>
                <w:sz w:val="15"/>
                <w:szCs w:val="15"/>
              </w:rPr>
            </w:pPr>
            <w:r>
              <w:rPr>
                <w:rFonts w:ascii="Times New Roman" w:hAnsi="Times New Roman" w:cs="Times New Roman"/>
                <w:kern w:val="0"/>
                <w:sz w:val="15"/>
                <w:szCs w:val="15"/>
              </w:rPr>
              <w:t>好</w:t>
            </w:r>
          </w:p>
        </w:tc>
        <w:tc>
          <w:tcPr>
            <w:tcW w:w="1952" w:type="pct"/>
          </w:tcPr>
          <w:p w14:paraId="4D069625">
            <w:pPr>
              <w:jc w:val="center"/>
              <w:rPr>
                <w:rFonts w:ascii="Times New Roman" w:hAnsi="Times New Roman" w:cs="Times New Roman"/>
                <w:b/>
                <w:kern w:val="0"/>
                <w:sz w:val="15"/>
                <w:szCs w:val="15"/>
              </w:rPr>
            </w:pPr>
            <w:r>
              <w:rPr>
                <w:rFonts w:ascii="Times New Roman" w:hAnsi="Times New Roman" w:cs="Times New Roman"/>
                <w:kern w:val="0"/>
                <w:sz w:val="15"/>
                <w:szCs w:val="15"/>
              </w:rPr>
              <w:t>＞50</w:t>
            </w:r>
          </w:p>
        </w:tc>
      </w:tr>
      <w:tr w14:paraId="372C68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25" w:type="pct"/>
          </w:tcPr>
          <w:p w14:paraId="4D3ECBF7">
            <w:pPr>
              <w:jc w:val="center"/>
              <w:rPr>
                <w:rFonts w:ascii="Times New Roman" w:hAnsi="Times New Roman" w:cs="Times New Roman"/>
                <w:b/>
                <w:sz w:val="15"/>
                <w:szCs w:val="15"/>
              </w:rPr>
            </w:pPr>
            <w:r>
              <w:rPr>
                <w:rFonts w:ascii="Times New Roman" w:hAnsi="Times New Roman" w:cs="Times New Roman"/>
                <w:sz w:val="15"/>
                <w:szCs w:val="15"/>
              </w:rPr>
              <w:t>2</w:t>
            </w:r>
          </w:p>
        </w:tc>
        <w:tc>
          <w:tcPr>
            <w:tcW w:w="1523" w:type="pct"/>
          </w:tcPr>
          <w:p w14:paraId="3CBD727E">
            <w:pPr>
              <w:jc w:val="center"/>
              <w:rPr>
                <w:rFonts w:ascii="Times New Roman" w:hAnsi="Times New Roman" w:cs="Times New Roman"/>
                <w:b/>
                <w:kern w:val="0"/>
                <w:sz w:val="15"/>
                <w:szCs w:val="15"/>
              </w:rPr>
            </w:pPr>
            <w:r>
              <w:rPr>
                <w:rFonts w:ascii="Times New Roman" w:hAnsi="Times New Roman" w:cs="Times New Roman"/>
                <w:kern w:val="0"/>
                <w:sz w:val="15"/>
                <w:szCs w:val="15"/>
              </w:rPr>
              <w:t>一般</w:t>
            </w:r>
          </w:p>
        </w:tc>
        <w:tc>
          <w:tcPr>
            <w:tcW w:w="1952" w:type="pct"/>
          </w:tcPr>
          <w:p w14:paraId="430BCCED">
            <w:pPr>
              <w:jc w:val="center"/>
              <w:rPr>
                <w:rFonts w:ascii="Times New Roman" w:hAnsi="Times New Roman" w:cs="Times New Roman"/>
                <w:b/>
                <w:kern w:val="0"/>
                <w:sz w:val="15"/>
                <w:szCs w:val="15"/>
              </w:rPr>
            </w:pPr>
            <w:r>
              <w:rPr>
                <w:rFonts w:ascii="Times New Roman" w:hAnsi="Times New Roman" w:cs="Times New Roman"/>
                <w:kern w:val="0"/>
                <w:sz w:val="15"/>
                <w:szCs w:val="15"/>
              </w:rPr>
              <w:t>20</w:t>
            </w:r>
            <w:r>
              <w:rPr>
                <w:rFonts w:ascii="Times New Roman" w:hAnsi="Times New Roman" w:cs="Times New Roman"/>
                <w:sz w:val="15"/>
                <w:szCs w:val="15"/>
              </w:rPr>
              <w:t>～</w:t>
            </w:r>
            <w:r>
              <w:rPr>
                <w:rFonts w:ascii="Times New Roman" w:hAnsi="Times New Roman" w:cs="Times New Roman"/>
                <w:kern w:val="0"/>
                <w:sz w:val="15"/>
                <w:szCs w:val="15"/>
              </w:rPr>
              <w:t>50</w:t>
            </w:r>
          </w:p>
        </w:tc>
      </w:tr>
      <w:tr w14:paraId="077E47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25" w:type="pct"/>
          </w:tcPr>
          <w:p w14:paraId="2D0E3F97">
            <w:pPr>
              <w:jc w:val="center"/>
              <w:rPr>
                <w:rFonts w:ascii="Times New Roman" w:hAnsi="Times New Roman" w:cs="Times New Roman"/>
                <w:b/>
                <w:sz w:val="15"/>
                <w:szCs w:val="15"/>
              </w:rPr>
            </w:pPr>
            <w:r>
              <w:rPr>
                <w:rFonts w:ascii="Times New Roman" w:hAnsi="Times New Roman" w:cs="Times New Roman"/>
                <w:sz w:val="15"/>
                <w:szCs w:val="15"/>
              </w:rPr>
              <w:t>3</w:t>
            </w:r>
          </w:p>
        </w:tc>
        <w:tc>
          <w:tcPr>
            <w:tcW w:w="1523" w:type="pct"/>
          </w:tcPr>
          <w:p w14:paraId="2208B552">
            <w:pPr>
              <w:jc w:val="center"/>
              <w:rPr>
                <w:rFonts w:ascii="Times New Roman" w:hAnsi="Times New Roman" w:cs="Times New Roman"/>
                <w:b/>
                <w:kern w:val="0"/>
                <w:sz w:val="15"/>
                <w:szCs w:val="15"/>
              </w:rPr>
            </w:pPr>
            <w:r>
              <w:rPr>
                <w:rFonts w:ascii="Times New Roman" w:hAnsi="Times New Roman" w:cs="Times New Roman"/>
                <w:kern w:val="0"/>
                <w:sz w:val="15"/>
                <w:szCs w:val="15"/>
              </w:rPr>
              <w:t>差</w:t>
            </w:r>
          </w:p>
        </w:tc>
        <w:tc>
          <w:tcPr>
            <w:tcW w:w="1952" w:type="pct"/>
          </w:tcPr>
          <w:p w14:paraId="5FCE9141">
            <w:pPr>
              <w:jc w:val="center"/>
              <w:rPr>
                <w:rFonts w:ascii="Times New Roman" w:hAnsi="Times New Roman" w:cs="Times New Roman"/>
                <w:b/>
                <w:kern w:val="0"/>
                <w:sz w:val="15"/>
                <w:szCs w:val="15"/>
              </w:rPr>
            </w:pPr>
            <w:r>
              <w:rPr>
                <w:rFonts w:ascii="Times New Roman" w:hAnsi="Times New Roman" w:cs="Times New Roman"/>
                <w:kern w:val="0"/>
                <w:sz w:val="15"/>
                <w:szCs w:val="15"/>
              </w:rPr>
              <w:t>≤20</w:t>
            </w:r>
          </w:p>
        </w:tc>
      </w:tr>
    </w:tbl>
    <w:p w14:paraId="75D31EFF">
      <w:pPr>
        <w:ind w:firstLine="450" w:firstLineChars="300"/>
        <w:rPr>
          <w:rFonts w:ascii="Times New Roman" w:hAnsi="Times New Roman" w:cs="Times New Roman"/>
          <w:b/>
          <w:sz w:val="15"/>
          <w:szCs w:val="15"/>
        </w:rPr>
      </w:pPr>
      <w:r>
        <w:rPr>
          <w:rFonts w:ascii="Times New Roman" w:hAnsi="Times New Roman" w:cs="Times New Roman"/>
          <w:sz w:val="15"/>
          <w:szCs w:val="15"/>
        </w:rPr>
        <w:t xml:space="preserve">注：1 </w:t>
      </w:r>
      <w:r>
        <w:rPr>
          <w:rFonts w:hint="eastAsia" w:ascii="Times New Roman" w:hAnsi="Times New Roman" w:cs="Times New Roman"/>
          <w:sz w:val="15"/>
          <w:szCs w:val="15"/>
        </w:rPr>
        <w:t xml:space="preserve"> </w:t>
      </w:r>
      <w:r>
        <w:rPr>
          <w:rFonts w:ascii="Times New Roman" w:hAnsi="Times New Roman" w:cs="Times New Roman"/>
          <w:sz w:val="15"/>
          <w:szCs w:val="15"/>
        </w:rPr>
        <w:t>级别划定以水源条件为首要条件；</w:t>
      </w:r>
    </w:p>
    <w:p w14:paraId="41FE1AFB">
      <w:pPr>
        <w:ind w:firstLine="750" w:firstLineChars="500"/>
        <w:rPr>
          <w:rFonts w:ascii="Times New Roman" w:hAnsi="Times New Roman" w:cs="Times New Roman"/>
          <w:b/>
          <w:sz w:val="15"/>
          <w:szCs w:val="15"/>
        </w:rPr>
      </w:pPr>
      <w:r>
        <w:rPr>
          <w:rFonts w:ascii="Times New Roman" w:hAnsi="Times New Roman" w:cs="Times New Roman"/>
          <w:sz w:val="15"/>
          <w:szCs w:val="15"/>
        </w:rPr>
        <w:t xml:space="preserve">2 </w:t>
      </w:r>
      <w:r>
        <w:rPr>
          <w:rFonts w:hint="eastAsia" w:ascii="Times New Roman" w:hAnsi="Times New Roman" w:cs="Times New Roman"/>
          <w:sz w:val="15"/>
          <w:szCs w:val="15"/>
        </w:rPr>
        <w:t xml:space="preserve"> </w:t>
      </w:r>
      <w:r>
        <w:rPr>
          <w:rFonts w:ascii="Times New Roman" w:hAnsi="Times New Roman" w:cs="Times New Roman"/>
          <w:sz w:val="15"/>
          <w:szCs w:val="15"/>
        </w:rPr>
        <w:t>水源条件好指引水条件好或地下水量充沛可实施井灌。</w:t>
      </w:r>
    </w:p>
    <w:p w14:paraId="46C36863">
      <w:pPr>
        <w:spacing w:line="360" w:lineRule="auto"/>
        <w:rPr>
          <w:rFonts w:ascii="Times New Roman" w:hAnsi="Times New Roman" w:cs="Times New Roman"/>
          <w:b/>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梯田工程设计标准应符合下列规定：</w:t>
      </w:r>
    </w:p>
    <w:p w14:paraId="2FA6AF5D">
      <w:pPr>
        <w:spacing w:line="360" w:lineRule="auto"/>
        <w:ind w:firstLine="422" w:firstLineChars="200"/>
        <w:rPr>
          <w:rFonts w:ascii="Times New Roman" w:hAnsi="Times New Roman" w:eastAsia="黑体" w:cs="Times New Roman"/>
          <w:b/>
          <w:sz w:val="18"/>
          <w:szCs w:val="18"/>
        </w:rPr>
      </w:pPr>
      <w:r>
        <w:rPr>
          <w:rFonts w:ascii="Times New Roman" w:hAnsi="Times New Roman" w:eastAsia="黑体" w:cs="Times New Roman"/>
          <w:b/>
          <w:sz w:val="21"/>
          <w:szCs w:val="21"/>
        </w:rPr>
        <w:t xml:space="preserve">1 </w:t>
      </w:r>
      <w:r>
        <w:rPr>
          <w:rFonts w:ascii="Times New Roman" w:hAnsi="Times New Roman" w:cs="Times New Roman"/>
          <w:sz w:val="21"/>
          <w:szCs w:val="21"/>
        </w:rPr>
        <w:t xml:space="preserve"> </w:t>
      </w:r>
      <w:r>
        <w:rPr>
          <w:rFonts w:ascii="Times New Roman" w:hAnsi="Times New Roman" w:cs="Times New Roman"/>
          <w:bCs/>
          <w:spacing w:val="4"/>
          <w:sz w:val="22"/>
          <w:szCs w:val="21"/>
        </w:rPr>
        <w:t>Ⅰ</w:t>
      </w:r>
      <w:r>
        <w:rPr>
          <w:rFonts w:ascii="Times New Roman" w:hAnsi="Times New Roman" w:cs="Times New Roman"/>
          <w:bCs/>
          <w:spacing w:val="4"/>
          <w:sz w:val="21"/>
          <w:szCs w:val="21"/>
        </w:rPr>
        <w:t xml:space="preserve"> 区梯田工程设计标准应按表4.2.2-1确定。</w:t>
      </w:r>
    </w:p>
    <w:p w14:paraId="4FDC381D">
      <w:pPr>
        <w:jc w:val="center"/>
        <w:rPr>
          <w:rFonts w:ascii="Times New Roman" w:hAnsi="Times New Roman" w:eastAsia="黑体" w:cs="Times New Roman"/>
          <w:b/>
          <w:sz w:val="24"/>
          <w:szCs w:val="21"/>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 xml:space="preserve">2-1  </w:t>
      </w:r>
      <w:r>
        <w:rPr>
          <w:rFonts w:ascii="Times New Roman" w:hAnsi="Times New Roman" w:cs="Times New Roman"/>
          <w:sz w:val="18"/>
          <w:szCs w:val="18"/>
        </w:rPr>
        <w:t>Ⅰ</w:t>
      </w:r>
      <w:r>
        <w:rPr>
          <w:rFonts w:ascii="Times New Roman" w:hAnsi="Times New Roman" w:cs="Times New Roman"/>
          <w:b/>
          <w:sz w:val="18"/>
          <w:szCs w:val="18"/>
        </w:rPr>
        <w:t xml:space="preserve"> </w:t>
      </w:r>
      <w:r>
        <w:rPr>
          <w:rFonts w:ascii="Times New Roman" w:hAnsi="Times New Roman" w:eastAsia="黑体" w:cs="Times New Roman"/>
          <w:sz w:val="18"/>
          <w:szCs w:val="18"/>
        </w:rPr>
        <w:t>区梯田工程设计标准</w:t>
      </w:r>
    </w:p>
    <w:tbl>
      <w:tblPr>
        <w:tblStyle w:val="10"/>
        <w:tblW w:w="4996" w:type="pct"/>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06"/>
        <w:gridCol w:w="1852"/>
        <w:gridCol w:w="2406"/>
        <w:gridCol w:w="2405"/>
      </w:tblGrid>
      <w:tr w14:paraId="3CC430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971" w:type="pct"/>
            <w:vAlign w:val="center"/>
          </w:tcPr>
          <w:p w14:paraId="664CA29A">
            <w:pPr>
              <w:jc w:val="center"/>
              <w:rPr>
                <w:rFonts w:ascii="Times New Roman" w:hAnsi="Times New Roman" w:cs="Times New Roman"/>
                <w:b/>
                <w:sz w:val="15"/>
                <w:szCs w:val="15"/>
              </w:rPr>
            </w:pPr>
            <w:r>
              <w:rPr>
                <w:rFonts w:ascii="Times New Roman" w:hAnsi="Times New Roman" w:cs="Times New Roman"/>
                <w:sz w:val="15"/>
                <w:szCs w:val="15"/>
              </w:rPr>
              <w:t>级别</w:t>
            </w:r>
          </w:p>
        </w:tc>
        <w:tc>
          <w:tcPr>
            <w:tcW w:w="1120" w:type="pct"/>
            <w:vAlign w:val="center"/>
          </w:tcPr>
          <w:p w14:paraId="0AFDE278">
            <w:pPr>
              <w:jc w:val="center"/>
              <w:rPr>
                <w:rFonts w:ascii="Times New Roman" w:hAnsi="Times New Roman" w:cs="Times New Roman"/>
                <w:b/>
                <w:sz w:val="15"/>
                <w:szCs w:val="15"/>
              </w:rPr>
            </w:pPr>
            <w:r>
              <w:rPr>
                <w:rFonts w:ascii="Times New Roman" w:hAnsi="Times New Roman" w:cs="Times New Roman"/>
                <w:sz w:val="15"/>
                <w:szCs w:val="15"/>
              </w:rPr>
              <w:t>田面净宽（m）</w:t>
            </w:r>
          </w:p>
        </w:tc>
        <w:tc>
          <w:tcPr>
            <w:tcW w:w="1455" w:type="pct"/>
            <w:vAlign w:val="center"/>
          </w:tcPr>
          <w:p w14:paraId="14622A2F">
            <w:pPr>
              <w:jc w:val="center"/>
              <w:rPr>
                <w:rFonts w:ascii="Times New Roman" w:hAnsi="Times New Roman" w:cs="Times New Roman"/>
                <w:b/>
                <w:sz w:val="15"/>
                <w:szCs w:val="15"/>
              </w:rPr>
            </w:pPr>
            <w:r>
              <w:rPr>
                <w:rFonts w:ascii="Times New Roman" w:hAnsi="Times New Roman" w:cs="Times New Roman"/>
                <w:sz w:val="15"/>
                <w:szCs w:val="15"/>
              </w:rPr>
              <w:t>排水设计标准</w:t>
            </w:r>
          </w:p>
        </w:tc>
        <w:tc>
          <w:tcPr>
            <w:tcW w:w="1454" w:type="pct"/>
            <w:vAlign w:val="center"/>
          </w:tcPr>
          <w:p w14:paraId="554B72E6">
            <w:pPr>
              <w:jc w:val="center"/>
              <w:rPr>
                <w:rFonts w:ascii="Times New Roman" w:hAnsi="Times New Roman" w:cs="Times New Roman"/>
                <w:b/>
                <w:sz w:val="15"/>
                <w:szCs w:val="15"/>
              </w:rPr>
            </w:pPr>
            <w:r>
              <w:rPr>
                <w:rFonts w:ascii="Times New Roman" w:hAnsi="Times New Roman" w:cs="Times New Roman"/>
                <w:sz w:val="15"/>
                <w:szCs w:val="15"/>
              </w:rPr>
              <w:t>灌溉设施</w:t>
            </w:r>
          </w:p>
        </w:tc>
      </w:tr>
      <w:tr w14:paraId="772DE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971" w:type="pct"/>
            <w:vAlign w:val="center"/>
          </w:tcPr>
          <w:p w14:paraId="5FA2BE73">
            <w:pPr>
              <w:jc w:val="center"/>
              <w:rPr>
                <w:rFonts w:ascii="Times New Roman" w:hAnsi="Times New Roman" w:cs="Times New Roman"/>
                <w:b/>
                <w:sz w:val="15"/>
                <w:szCs w:val="15"/>
              </w:rPr>
            </w:pPr>
            <w:r>
              <w:rPr>
                <w:rFonts w:ascii="Times New Roman" w:hAnsi="Times New Roman" w:cs="Times New Roman"/>
                <w:sz w:val="15"/>
                <w:szCs w:val="15"/>
              </w:rPr>
              <w:t>1</w:t>
            </w:r>
          </w:p>
        </w:tc>
        <w:tc>
          <w:tcPr>
            <w:tcW w:w="1120" w:type="pct"/>
            <w:vAlign w:val="center"/>
          </w:tcPr>
          <w:p w14:paraId="24B9FC70">
            <w:pPr>
              <w:jc w:val="center"/>
              <w:rPr>
                <w:rFonts w:ascii="Times New Roman" w:hAnsi="Times New Roman" w:cs="Times New Roman"/>
                <w:b/>
                <w:sz w:val="15"/>
                <w:szCs w:val="15"/>
              </w:rPr>
            </w:pPr>
            <w:r>
              <w:rPr>
                <w:rFonts w:ascii="Times New Roman" w:hAnsi="Times New Roman" w:cs="Times New Roman"/>
                <w:sz w:val="15"/>
                <w:szCs w:val="15"/>
              </w:rPr>
              <w:t>&gt;（6-10）</w:t>
            </w:r>
          </w:p>
        </w:tc>
        <w:tc>
          <w:tcPr>
            <w:tcW w:w="1455" w:type="pct"/>
            <w:vAlign w:val="center"/>
          </w:tcPr>
          <w:p w14:paraId="755FD4B0">
            <w:pPr>
              <w:jc w:val="center"/>
              <w:rPr>
                <w:rFonts w:ascii="Times New Roman" w:hAnsi="Times New Roman" w:cs="Times New Roman"/>
                <w:b/>
                <w:sz w:val="15"/>
                <w:szCs w:val="15"/>
              </w:rPr>
            </w:pPr>
            <w:r>
              <w:rPr>
                <w:rFonts w:ascii="Times New Roman" w:hAnsi="Times New Roman" w:cs="Times New Roman"/>
                <w:sz w:val="15"/>
                <w:szCs w:val="15"/>
              </w:rPr>
              <w:t>10年一遇~5年一遇短历时暴雨</w:t>
            </w:r>
          </w:p>
        </w:tc>
        <w:tc>
          <w:tcPr>
            <w:tcW w:w="1454" w:type="pct"/>
            <w:vAlign w:val="center"/>
          </w:tcPr>
          <w:p w14:paraId="1E75BC61">
            <w:pPr>
              <w:jc w:val="center"/>
              <w:rPr>
                <w:rFonts w:ascii="Times New Roman" w:hAnsi="Times New Roman" w:cs="Times New Roman"/>
                <w:b/>
                <w:sz w:val="15"/>
                <w:szCs w:val="15"/>
              </w:rPr>
            </w:pPr>
            <w:r>
              <w:rPr>
                <w:rFonts w:ascii="Times New Roman" w:hAnsi="Times New Roman" w:cs="Times New Roman"/>
                <w:sz w:val="15"/>
                <w:szCs w:val="15"/>
              </w:rPr>
              <w:t>灌溉保证率P≥50%</w:t>
            </w:r>
          </w:p>
        </w:tc>
      </w:tr>
      <w:tr w14:paraId="7DF88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971" w:type="pct"/>
            <w:vAlign w:val="center"/>
          </w:tcPr>
          <w:p w14:paraId="10B3E827">
            <w:pPr>
              <w:snapToGrid w:val="0"/>
              <w:jc w:val="center"/>
              <w:rPr>
                <w:rFonts w:ascii="Times New Roman" w:hAnsi="Times New Roman" w:cs="Times New Roman"/>
                <w:b/>
                <w:sz w:val="15"/>
                <w:szCs w:val="15"/>
              </w:rPr>
            </w:pPr>
            <w:r>
              <w:rPr>
                <w:rFonts w:ascii="Times New Roman" w:hAnsi="Times New Roman" w:cs="Times New Roman"/>
                <w:sz w:val="15"/>
                <w:szCs w:val="15"/>
              </w:rPr>
              <w:t>2</w:t>
            </w:r>
          </w:p>
        </w:tc>
        <w:tc>
          <w:tcPr>
            <w:tcW w:w="1120" w:type="pct"/>
            <w:vAlign w:val="center"/>
          </w:tcPr>
          <w:p w14:paraId="65DCA0BA">
            <w:pPr>
              <w:snapToGrid w:val="0"/>
              <w:jc w:val="center"/>
              <w:rPr>
                <w:rFonts w:ascii="Times New Roman" w:hAnsi="Times New Roman" w:cs="Times New Roman"/>
                <w:b/>
                <w:sz w:val="15"/>
                <w:szCs w:val="15"/>
              </w:rPr>
            </w:pPr>
            <w:r>
              <w:rPr>
                <w:rFonts w:ascii="Times New Roman" w:hAnsi="Times New Roman" w:cs="Times New Roman"/>
                <w:sz w:val="15"/>
                <w:szCs w:val="15"/>
              </w:rPr>
              <w:t>（3-5）～（6-10）</w:t>
            </w:r>
          </w:p>
        </w:tc>
        <w:tc>
          <w:tcPr>
            <w:tcW w:w="1455" w:type="pct"/>
            <w:vAlign w:val="center"/>
          </w:tcPr>
          <w:p w14:paraId="3D2EBC99">
            <w:pPr>
              <w:snapToGrid w:val="0"/>
              <w:jc w:val="center"/>
              <w:rPr>
                <w:rFonts w:ascii="Times New Roman" w:hAnsi="Times New Roman" w:cs="Times New Roman"/>
                <w:b/>
                <w:sz w:val="15"/>
                <w:szCs w:val="15"/>
              </w:rPr>
            </w:pPr>
            <w:r>
              <w:rPr>
                <w:rFonts w:ascii="Times New Roman" w:hAnsi="Times New Roman" w:cs="Times New Roman"/>
                <w:sz w:val="15"/>
                <w:szCs w:val="15"/>
              </w:rPr>
              <w:t>5年一遇~3年一遇短历时暴雨</w:t>
            </w:r>
          </w:p>
        </w:tc>
        <w:tc>
          <w:tcPr>
            <w:tcW w:w="1454" w:type="pct"/>
            <w:vAlign w:val="center"/>
          </w:tcPr>
          <w:p w14:paraId="49D02509">
            <w:pPr>
              <w:snapToGrid w:val="0"/>
              <w:jc w:val="center"/>
              <w:rPr>
                <w:rFonts w:ascii="Times New Roman" w:hAnsi="Times New Roman" w:cs="Times New Roman"/>
                <w:b/>
                <w:sz w:val="15"/>
                <w:szCs w:val="15"/>
              </w:rPr>
            </w:pPr>
            <w:r>
              <w:rPr>
                <w:rFonts w:ascii="Times New Roman" w:hAnsi="Times New Roman" w:cs="Times New Roman"/>
                <w:sz w:val="15"/>
                <w:szCs w:val="15"/>
              </w:rPr>
              <w:t>具有较好的补灌设施</w:t>
            </w:r>
          </w:p>
        </w:tc>
      </w:tr>
      <w:tr w14:paraId="7A3C1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971" w:type="pct"/>
            <w:vAlign w:val="center"/>
          </w:tcPr>
          <w:p w14:paraId="4727659F">
            <w:pPr>
              <w:snapToGrid w:val="0"/>
              <w:jc w:val="center"/>
              <w:rPr>
                <w:rFonts w:ascii="Times New Roman" w:hAnsi="Times New Roman" w:cs="Times New Roman"/>
                <w:b/>
                <w:sz w:val="15"/>
                <w:szCs w:val="15"/>
              </w:rPr>
            </w:pPr>
            <w:r>
              <w:rPr>
                <w:rFonts w:ascii="Times New Roman" w:hAnsi="Times New Roman" w:cs="Times New Roman"/>
                <w:sz w:val="15"/>
                <w:szCs w:val="15"/>
              </w:rPr>
              <w:t>3</w:t>
            </w:r>
          </w:p>
        </w:tc>
        <w:tc>
          <w:tcPr>
            <w:tcW w:w="1120" w:type="pct"/>
            <w:vAlign w:val="center"/>
          </w:tcPr>
          <w:p w14:paraId="277F4D95">
            <w:pPr>
              <w:snapToGrid w:val="0"/>
              <w:jc w:val="center"/>
              <w:rPr>
                <w:rFonts w:ascii="Times New Roman" w:hAnsi="Times New Roman" w:cs="Times New Roman"/>
                <w:b/>
                <w:sz w:val="15"/>
                <w:szCs w:val="15"/>
              </w:rPr>
            </w:pPr>
            <w:r>
              <w:rPr>
                <w:rFonts w:ascii="Times New Roman" w:hAnsi="Times New Roman" w:cs="Times New Roman"/>
                <w:sz w:val="15"/>
                <w:szCs w:val="15"/>
              </w:rPr>
              <w:t>&lt;（3-5）</w:t>
            </w:r>
          </w:p>
        </w:tc>
        <w:tc>
          <w:tcPr>
            <w:tcW w:w="1455" w:type="pct"/>
            <w:vAlign w:val="center"/>
          </w:tcPr>
          <w:p w14:paraId="4247736C">
            <w:pPr>
              <w:snapToGrid w:val="0"/>
              <w:jc w:val="center"/>
              <w:rPr>
                <w:rFonts w:ascii="Times New Roman" w:hAnsi="Times New Roman" w:cs="Times New Roman"/>
                <w:b/>
                <w:sz w:val="15"/>
                <w:szCs w:val="15"/>
              </w:rPr>
            </w:pPr>
            <w:r>
              <w:rPr>
                <w:rFonts w:ascii="Times New Roman" w:hAnsi="Times New Roman" w:cs="Times New Roman"/>
                <w:sz w:val="15"/>
                <w:szCs w:val="15"/>
              </w:rPr>
              <w:t>3年一遇短历时暴雨</w:t>
            </w:r>
          </w:p>
        </w:tc>
        <w:tc>
          <w:tcPr>
            <w:tcW w:w="1454" w:type="pct"/>
            <w:vAlign w:val="center"/>
          </w:tcPr>
          <w:p w14:paraId="20014712">
            <w:pPr>
              <w:snapToGrid w:val="0"/>
              <w:jc w:val="center"/>
              <w:rPr>
                <w:rFonts w:ascii="Times New Roman" w:hAnsi="Times New Roman" w:cs="Times New Roman"/>
                <w:b/>
                <w:sz w:val="15"/>
                <w:szCs w:val="15"/>
              </w:rPr>
            </w:pPr>
            <w:r>
              <w:rPr>
                <w:rFonts w:ascii="Times New Roman" w:hAnsi="Times New Roman" w:cs="Times New Roman"/>
                <w:sz w:val="15"/>
                <w:szCs w:val="15"/>
              </w:rPr>
              <w:t>—</w:t>
            </w:r>
          </w:p>
        </w:tc>
      </w:tr>
    </w:tbl>
    <w:p w14:paraId="73EB56F4">
      <w:pPr>
        <w:ind w:firstLine="450" w:firstLineChars="300"/>
        <w:rPr>
          <w:rFonts w:ascii="Times New Roman" w:hAnsi="Times New Roman" w:cs="Times New Roman"/>
          <w:b/>
          <w:sz w:val="15"/>
          <w:szCs w:val="15"/>
        </w:rPr>
      </w:pPr>
      <w:r>
        <w:rPr>
          <w:rFonts w:ascii="Times New Roman" w:hAnsi="Times New Roman" w:cs="Times New Roman"/>
          <w:sz w:val="15"/>
          <w:szCs w:val="15"/>
        </w:rPr>
        <w:t>注：云贵高原、秦巴山区田面净宽取低限或中限；其它地方视具体情况取高限或中限。</w:t>
      </w:r>
    </w:p>
    <w:p w14:paraId="1768B055">
      <w:pPr>
        <w:snapToGrid w:val="0"/>
        <w:spacing w:before="156" w:beforeLines="50" w:line="360" w:lineRule="auto"/>
        <w:ind w:firstLine="422" w:firstLineChars="200"/>
        <w:rPr>
          <w:rFonts w:ascii="Times New Roman" w:hAnsi="Times New Roman" w:cs="Times New Roman"/>
          <w:b/>
          <w:sz w:val="24"/>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w:t>
      </w:r>
      <w:r>
        <w:rPr>
          <w:rFonts w:ascii="Times New Roman" w:hAnsi="Times New Roman" w:cs="Times New Roman"/>
          <w:bCs/>
          <w:spacing w:val="4"/>
          <w:sz w:val="22"/>
          <w:szCs w:val="21"/>
        </w:rPr>
        <w:t>Ⅱ</w:t>
      </w:r>
      <w:r>
        <w:rPr>
          <w:rFonts w:ascii="Times New Roman" w:hAnsi="Times New Roman" w:cs="Times New Roman"/>
          <w:bCs/>
          <w:spacing w:val="4"/>
          <w:sz w:val="21"/>
          <w:szCs w:val="21"/>
        </w:rPr>
        <w:t xml:space="preserve"> 区梯田工程设计标准应按表4.2.2-2确定。</w:t>
      </w:r>
    </w:p>
    <w:p w14:paraId="622C0757">
      <w:pPr>
        <w:jc w:val="center"/>
        <w:rPr>
          <w:rFonts w:ascii="Times New Roman" w:hAnsi="Times New Roman" w:eastAsia="黑体" w:cs="Times New Roman"/>
          <w:b/>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 xml:space="preserve">2-2  </w:t>
      </w:r>
      <w:r>
        <w:rPr>
          <w:rFonts w:ascii="Times New Roman" w:hAnsi="Times New Roman" w:cs="Times New Roman"/>
          <w:sz w:val="18"/>
          <w:szCs w:val="18"/>
        </w:rPr>
        <w:t xml:space="preserve">Ⅱ </w:t>
      </w:r>
      <w:r>
        <w:rPr>
          <w:rFonts w:ascii="Times New Roman" w:hAnsi="Times New Roman" w:eastAsia="黑体" w:cs="Times New Roman"/>
          <w:sz w:val="18"/>
          <w:szCs w:val="18"/>
        </w:rPr>
        <w:t>区梯田工程设计标准</w:t>
      </w:r>
    </w:p>
    <w:tbl>
      <w:tblPr>
        <w:tblStyle w:val="10"/>
        <w:tblW w:w="5013" w:type="pct"/>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11"/>
        <w:gridCol w:w="1859"/>
        <w:gridCol w:w="2415"/>
        <w:gridCol w:w="2413"/>
      </w:tblGrid>
      <w:tr w14:paraId="2AF967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971" w:type="pct"/>
            <w:vAlign w:val="center"/>
          </w:tcPr>
          <w:p w14:paraId="2B628E7C">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级别</w:t>
            </w:r>
          </w:p>
        </w:tc>
        <w:tc>
          <w:tcPr>
            <w:tcW w:w="1120" w:type="pct"/>
            <w:vAlign w:val="center"/>
          </w:tcPr>
          <w:p w14:paraId="2564C8EB">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田面净宽（m）</w:t>
            </w:r>
          </w:p>
        </w:tc>
        <w:tc>
          <w:tcPr>
            <w:tcW w:w="1455" w:type="pct"/>
            <w:vAlign w:val="center"/>
          </w:tcPr>
          <w:p w14:paraId="5A6B12B4">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排水设计标准</w:t>
            </w:r>
          </w:p>
        </w:tc>
        <w:tc>
          <w:tcPr>
            <w:tcW w:w="1454" w:type="pct"/>
            <w:vAlign w:val="center"/>
          </w:tcPr>
          <w:p w14:paraId="5F030D4E">
            <w:pPr>
              <w:snapToGrid w:val="0"/>
              <w:jc w:val="center"/>
              <w:rPr>
                <w:rFonts w:ascii="Times New Roman" w:hAnsi="Times New Roman" w:cs="Times New Roman"/>
                <w:b/>
                <w:sz w:val="15"/>
                <w:szCs w:val="15"/>
              </w:rPr>
            </w:pPr>
            <w:r>
              <w:rPr>
                <w:rFonts w:ascii="Times New Roman" w:hAnsi="Times New Roman" w:cs="Times New Roman"/>
                <w:sz w:val="15"/>
                <w:szCs w:val="15"/>
              </w:rPr>
              <w:t>灌溉设施</w:t>
            </w:r>
          </w:p>
        </w:tc>
      </w:tr>
      <w:tr w14:paraId="267D6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971" w:type="pct"/>
            <w:vAlign w:val="center"/>
          </w:tcPr>
          <w:p w14:paraId="65069A5E">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1</w:t>
            </w:r>
          </w:p>
        </w:tc>
        <w:tc>
          <w:tcPr>
            <w:tcW w:w="1120" w:type="pct"/>
            <w:vAlign w:val="center"/>
          </w:tcPr>
          <w:p w14:paraId="19183630">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&gt;10</w:t>
            </w:r>
          </w:p>
        </w:tc>
        <w:tc>
          <w:tcPr>
            <w:tcW w:w="1455" w:type="pct"/>
            <w:vAlign w:val="center"/>
          </w:tcPr>
          <w:p w14:paraId="3B3C3404">
            <w:pPr>
              <w:snapToGrid w:val="0"/>
              <w:jc w:val="center"/>
              <w:rPr>
                <w:rFonts w:ascii="Times New Roman" w:hAnsi="Times New Roman" w:cs="Times New Roman"/>
                <w:b/>
                <w:sz w:val="15"/>
                <w:szCs w:val="15"/>
              </w:rPr>
            </w:pPr>
            <w:r>
              <w:rPr>
                <w:rFonts w:ascii="Times New Roman" w:hAnsi="Times New Roman" w:cs="Times New Roman"/>
                <w:sz w:val="15"/>
                <w:szCs w:val="15"/>
              </w:rPr>
              <w:t>10年一遇~5年一遇短历时暴雨</w:t>
            </w:r>
          </w:p>
        </w:tc>
        <w:tc>
          <w:tcPr>
            <w:tcW w:w="1454" w:type="pct"/>
            <w:vAlign w:val="center"/>
          </w:tcPr>
          <w:p w14:paraId="6FCDCB50">
            <w:pPr>
              <w:snapToGrid w:val="0"/>
              <w:jc w:val="center"/>
              <w:rPr>
                <w:rFonts w:ascii="Times New Roman" w:hAnsi="Times New Roman" w:cs="Times New Roman"/>
                <w:b/>
                <w:sz w:val="15"/>
                <w:szCs w:val="15"/>
              </w:rPr>
            </w:pPr>
            <w:r>
              <w:rPr>
                <w:rFonts w:ascii="Times New Roman" w:hAnsi="Times New Roman" w:cs="Times New Roman"/>
                <w:sz w:val="15"/>
                <w:szCs w:val="15"/>
              </w:rPr>
              <w:t>灌溉保证率P≥50%</w:t>
            </w:r>
          </w:p>
        </w:tc>
      </w:tr>
      <w:tr w14:paraId="4A441C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71" w:type="pct"/>
            <w:vAlign w:val="center"/>
          </w:tcPr>
          <w:p w14:paraId="7027B971">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2</w:t>
            </w:r>
          </w:p>
        </w:tc>
        <w:tc>
          <w:tcPr>
            <w:tcW w:w="1120" w:type="pct"/>
            <w:vAlign w:val="center"/>
          </w:tcPr>
          <w:p w14:paraId="30D6C35B">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5～10</w:t>
            </w:r>
          </w:p>
        </w:tc>
        <w:tc>
          <w:tcPr>
            <w:tcW w:w="1455" w:type="pct"/>
            <w:vAlign w:val="center"/>
          </w:tcPr>
          <w:p w14:paraId="53EA6F03">
            <w:pPr>
              <w:snapToGrid w:val="0"/>
              <w:jc w:val="center"/>
              <w:rPr>
                <w:rFonts w:ascii="Times New Roman" w:hAnsi="Times New Roman" w:cs="Times New Roman"/>
                <w:b/>
                <w:sz w:val="15"/>
                <w:szCs w:val="15"/>
              </w:rPr>
            </w:pPr>
            <w:r>
              <w:rPr>
                <w:rFonts w:ascii="Times New Roman" w:hAnsi="Times New Roman" w:cs="Times New Roman"/>
                <w:sz w:val="15"/>
                <w:szCs w:val="15"/>
              </w:rPr>
              <w:t>5年一遇~3年一遇短历时暴雨</w:t>
            </w:r>
          </w:p>
        </w:tc>
        <w:tc>
          <w:tcPr>
            <w:tcW w:w="1454" w:type="pct"/>
            <w:vAlign w:val="center"/>
          </w:tcPr>
          <w:p w14:paraId="4C5A8F50">
            <w:pPr>
              <w:snapToGrid w:val="0"/>
              <w:jc w:val="center"/>
              <w:rPr>
                <w:rFonts w:ascii="Times New Roman" w:hAnsi="Times New Roman" w:cs="Times New Roman"/>
                <w:b/>
                <w:sz w:val="15"/>
                <w:szCs w:val="15"/>
              </w:rPr>
            </w:pPr>
            <w:r>
              <w:rPr>
                <w:rFonts w:ascii="Times New Roman" w:hAnsi="Times New Roman" w:cs="Times New Roman"/>
                <w:sz w:val="15"/>
                <w:szCs w:val="15"/>
              </w:rPr>
              <w:t>具有较好的补灌设施</w:t>
            </w:r>
          </w:p>
        </w:tc>
      </w:tr>
      <w:tr w14:paraId="3D0FB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971" w:type="pct"/>
            <w:vAlign w:val="center"/>
          </w:tcPr>
          <w:p w14:paraId="0BE2B8A0">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3</w:t>
            </w:r>
          </w:p>
        </w:tc>
        <w:tc>
          <w:tcPr>
            <w:tcW w:w="1120" w:type="pct"/>
            <w:vAlign w:val="center"/>
          </w:tcPr>
          <w:p w14:paraId="2B89490D">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&lt;5</w:t>
            </w:r>
          </w:p>
        </w:tc>
        <w:tc>
          <w:tcPr>
            <w:tcW w:w="1455" w:type="pct"/>
            <w:vAlign w:val="center"/>
          </w:tcPr>
          <w:p w14:paraId="44D58FF0">
            <w:pPr>
              <w:snapToGrid w:val="0"/>
              <w:jc w:val="center"/>
              <w:rPr>
                <w:rFonts w:ascii="Times New Roman" w:hAnsi="Times New Roman" w:cs="Times New Roman"/>
                <w:b/>
                <w:sz w:val="15"/>
                <w:szCs w:val="15"/>
              </w:rPr>
            </w:pPr>
            <w:r>
              <w:rPr>
                <w:rFonts w:ascii="Times New Roman" w:hAnsi="Times New Roman" w:cs="Times New Roman"/>
                <w:sz w:val="15"/>
                <w:szCs w:val="15"/>
              </w:rPr>
              <w:t>3年一遇短历时暴雨</w:t>
            </w:r>
          </w:p>
        </w:tc>
        <w:tc>
          <w:tcPr>
            <w:tcW w:w="1454" w:type="pct"/>
            <w:vAlign w:val="center"/>
          </w:tcPr>
          <w:p w14:paraId="76043B7C">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w:t>
            </w:r>
          </w:p>
        </w:tc>
      </w:tr>
    </w:tbl>
    <w:p w14:paraId="36B85107">
      <w:pPr>
        <w:snapToGrid w:val="0"/>
        <w:spacing w:before="156" w:beforeLines="50" w:line="360" w:lineRule="auto"/>
        <w:ind w:firstLine="422" w:firstLineChars="200"/>
        <w:rPr>
          <w:rFonts w:ascii="Times New Roman" w:hAnsi="Times New Roman" w:cs="Times New Roman"/>
          <w:b/>
          <w:sz w:val="24"/>
          <w:szCs w:val="21"/>
        </w:rPr>
      </w:pPr>
      <w:r>
        <w:rPr>
          <w:rFonts w:ascii="Times New Roman" w:hAnsi="Times New Roman" w:eastAsia="黑体" w:cs="Times New Roman"/>
          <w:b/>
          <w:sz w:val="21"/>
          <w:szCs w:val="21"/>
        </w:rPr>
        <w:t>3</w:t>
      </w:r>
      <w:r>
        <w:rPr>
          <w:rFonts w:ascii="Times New Roman" w:hAnsi="Times New Roman" w:cs="Times New Roman"/>
          <w:sz w:val="21"/>
          <w:szCs w:val="21"/>
        </w:rPr>
        <w:t xml:space="preserve">  </w:t>
      </w:r>
      <w:r>
        <w:rPr>
          <w:rFonts w:ascii="Times New Roman" w:hAnsi="Times New Roman" w:cs="Times New Roman"/>
          <w:bCs/>
          <w:spacing w:val="4"/>
          <w:sz w:val="22"/>
          <w:szCs w:val="21"/>
        </w:rPr>
        <w:t>Ⅲ</w:t>
      </w:r>
      <w:r>
        <w:rPr>
          <w:rFonts w:ascii="Times New Roman" w:hAnsi="Times New Roman" w:cs="Times New Roman"/>
          <w:bCs/>
          <w:spacing w:val="4"/>
          <w:sz w:val="21"/>
          <w:szCs w:val="21"/>
        </w:rPr>
        <w:t xml:space="preserve"> 区梯田工程设计标准应按表4.2.2-3确定。</w:t>
      </w:r>
    </w:p>
    <w:p w14:paraId="0D6928DF">
      <w:pPr>
        <w:jc w:val="center"/>
        <w:rPr>
          <w:rFonts w:ascii="Times New Roman" w:hAnsi="Times New Roman" w:eastAsia="黑体" w:cs="Times New Roman"/>
          <w:b/>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 xml:space="preserve">2-3  </w:t>
      </w:r>
      <w:r>
        <w:rPr>
          <w:rFonts w:ascii="Times New Roman" w:hAnsi="Times New Roman" w:cs="Times New Roman"/>
          <w:sz w:val="18"/>
          <w:szCs w:val="18"/>
        </w:rPr>
        <w:t xml:space="preserve">Ⅲ </w:t>
      </w:r>
      <w:r>
        <w:rPr>
          <w:rFonts w:ascii="Times New Roman" w:hAnsi="Times New Roman" w:eastAsia="黑体" w:cs="Times New Roman"/>
          <w:sz w:val="18"/>
          <w:szCs w:val="18"/>
        </w:rPr>
        <w:t>区梯田工程设计标准</w:t>
      </w:r>
    </w:p>
    <w:tbl>
      <w:tblPr>
        <w:tblStyle w:val="10"/>
        <w:tblW w:w="5000" w:type="pct"/>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43"/>
        <w:gridCol w:w="1851"/>
        <w:gridCol w:w="2491"/>
        <w:gridCol w:w="2491"/>
      </w:tblGrid>
      <w:tr w14:paraId="497F59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872" w:type="pct"/>
            <w:vAlign w:val="center"/>
          </w:tcPr>
          <w:p w14:paraId="659DEA67">
            <w:pPr>
              <w:snapToGrid w:val="0"/>
              <w:jc w:val="center"/>
              <w:rPr>
                <w:rFonts w:ascii="Times New Roman" w:hAnsi="Times New Roman" w:cs="Times New Roman"/>
                <w:b/>
                <w:sz w:val="15"/>
                <w:szCs w:val="15"/>
              </w:rPr>
            </w:pPr>
            <w:r>
              <w:rPr>
                <w:rFonts w:ascii="Times New Roman" w:hAnsi="Times New Roman" w:cs="Times New Roman"/>
                <w:sz w:val="15"/>
                <w:szCs w:val="15"/>
              </w:rPr>
              <w:t>级别</w:t>
            </w:r>
          </w:p>
        </w:tc>
        <w:tc>
          <w:tcPr>
            <w:tcW w:w="1118" w:type="pct"/>
            <w:vAlign w:val="center"/>
          </w:tcPr>
          <w:p w14:paraId="5FCB2D12">
            <w:pPr>
              <w:snapToGrid w:val="0"/>
              <w:jc w:val="center"/>
              <w:rPr>
                <w:rFonts w:ascii="Times New Roman" w:hAnsi="Times New Roman" w:cs="Times New Roman"/>
                <w:b/>
                <w:sz w:val="15"/>
                <w:szCs w:val="15"/>
              </w:rPr>
            </w:pPr>
            <w:r>
              <w:rPr>
                <w:rFonts w:ascii="Times New Roman" w:hAnsi="Times New Roman" w:cs="Times New Roman"/>
                <w:sz w:val="15"/>
                <w:szCs w:val="15"/>
              </w:rPr>
              <w:t>田面净宽（m）</w:t>
            </w:r>
          </w:p>
        </w:tc>
        <w:tc>
          <w:tcPr>
            <w:tcW w:w="1505" w:type="pct"/>
            <w:vAlign w:val="center"/>
          </w:tcPr>
          <w:p w14:paraId="5FD1321D">
            <w:pPr>
              <w:snapToGrid w:val="0"/>
              <w:jc w:val="center"/>
              <w:rPr>
                <w:rFonts w:ascii="Times New Roman" w:hAnsi="Times New Roman" w:cs="Times New Roman"/>
                <w:b/>
                <w:sz w:val="15"/>
                <w:szCs w:val="15"/>
              </w:rPr>
            </w:pPr>
            <w:r>
              <w:rPr>
                <w:rFonts w:ascii="Times New Roman" w:hAnsi="Times New Roman" w:cs="Times New Roman"/>
                <w:sz w:val="15"/>
                <w:szCs w:val="15"/>
              </w:rPr>
              <w:t>排水设计标准</w:t>
            </w:r>
          </w:p>
        </w:tc>
        <w:tc>
          <w:tcPr>
            <w:tcW w:w="1505" w:type="pct"/>
            <w:vAlign w:val="center"/>
          </w:tcPr>
          <w:p w14:paraId="52AC7748">
            <w:pPr>
              <w:snapToGrid w:val="0"/>
              <w:jc w:val="center"/>
              <w:rPr>
                <w:rFonts w:ascii="Times New Roman" w:hAnsi="Times New Roman" w:cs="Times New Roman"/>
                <w:b/>
                <w:sz w:val="15"/>
                <w:szCs w:val="15"/>
              </w:rPr>
            </w:pPr>
            <w:r>
              <w:rPr>
                <w:rFonts w:ascii="Times New Roman" w:hAnsi="Times New Roman" w:cs="Times New Roman"/>
                <w:sz w:val="15"/>
                <w:szCs w:val="15"/>
              </w:rPr>
              <w:t>补灌设施</w:t>
            </w:r>
          </w:p>
        </w:tc>
      </w:tr>
      <w:tr w14:paraId="2C9660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872" w:type="pct"/>
            <w:vAlign w:val="center"/>
          </w:tcPr>
          <w:p w14:paraId="34E080B5">
            <w:pPr>
              <w:snapToGrid w:val="0"/>
              <w:jc w:val="center"/>
              <w:rPr>
                <w:rFonts w:ascii="Times New Roman" w:hAnsi="Times New Roman" w:cs="Times New Roman"/>
                <w:b/>
                <w:sz w:val="15"/>
                <w:szCs w:val="15"/>
              </w:rPr>
            </w:pPr>
            <w:r>
              <w:rPr>
                <w:rFonts w:ascii="Times New Roman" w:hAnsi="Times New Roman" w:cs="Times New Roman"/>
                <w:sz w:val="15"/>
                <w:szCs w:val="15"/>
              </w:rPr>
              <w:t>1</w:t>
            </w:r>
          </w:p>
        </w:tc>
        <w:tc>
          <w:tcPr>
            <w:tcW w:w="1118" w:type="pct"/>
            <w:vAlign w:val="center"/>
          </w:tcPr>
          <w:p w14:paraId="47DB8251">
            <w:pPr>
              <w:snapToGrid w:val="0"/>
              <w:jc w:val="center"/>
              <w:rPr>
                <w:rFonts w:ascii="Times New Roman" w:hAnsi="Times New Roman" w:cs="Times New Roman"/>
                <w:b/>
                <w:sz w:val="15"/>
                <w:szCs w:val="15"/>
              </w:rPr>
            </w:pPr>
            <w:r>
              <w:rPr>
                <w:rFonts w:ascii="Times New Roman" w:hAnsi="Times New Roman" w:cs="Times New Roman"/>
                <w:sz w:val="15"/>
                <w:szCs w:val="15"/>
              </w:rPr>
              <w:t>&gt;20</w:t>
            </w:r>
          </w:p>
        </w:tc>
        <w:tc>
          <w:tcPr>
            <w:tcW w:w="1505" w:type="pct"/>
            <w:vAlign w:val="center"/>
          </w:tcPr>
          <w:p w14:paraId="2D8BBE7E">
            <w:pPr>
              <w:snapToGrid w:val="0"/>
              <w:jc w:val="center"/>
              <w:rPr>
                <w:rFonts w:ascii="Times New Roman" w:hAnsi="Times New Roman" w:cs="Times New Roman"/>
                <w:b/>
                <w:sz w:val="15"/>
                <w:szCs w:val="15"/>
              </w:rPr>
            </w:pPr>
            <w:r>
              <w:rPr>
                <w:rFonts w:ascii="Times New Roman" w:hAnsi="Times New Roman" w:cs="Times New Roman"/>
                <w:sz w:val="15"/>
                <w:szCs w:val="15"/>
              </w:rPr>
              <w:t>10年一遇~5年一遇短历时暴雨</w:t>
            </w:r>
          </w:p>
        </w:tc>
        <w:tc>
          <w:tcPr>
            <w:tcW w:w="1505" w:type="pct"/>
            <w:vAlign w:val="center"/>
          </w:tcPr>
          <w:p w14:paraId="263F4E5E">
            <w:pPr>
              <w:snapToGrid w:val="0"/>
              <w:jc w:val="center"/>
              <w:rPr>
                <w:rFonts w:ascii="Times New Roman" w:hAnsi="Times New Roman" w:cs="Times New Roman"/>
                <w:b/>
                <w:sz w:val="15"/>
                <w:szCs w:val="15"/>
              </w:rPr>
            </w:pPr>
            <w:r>
              <w:rPr>
                <w:rFonts w:ascii="Times New Roman" w:hAnsi="Times New Roman" w:cs="Times New Roman"/>
                <w:sz w:val="15"/>
                <w:szCs w:val="15"/>
              </w:rPr>
              <w:t>有</w:t>
            </w:r>
          </w:p>
        </w:tc>
      </w:tr>
      <w:tr w14:paraId="5D4047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872" w:type="pct"/>
            <w:vAlign w:val="center"/>
          </w:tcPr>
          <w:p w14:paraId="3A631053">
            <w:pPr>
              <w:snapToGrid w:val="0"/>
              <w:jc w:val="center"/>
              <w:rPr>
                <w:rFonts w:ascii="Times New Roman" w:hAnsi="Times New Roman" w:cs="Times New Roman"/>
                <w:b/>
                <w:sz w:val="15"/>
                <w:szCs w:val="15"/>
              </w:rPr>
            </w:pPr>
            <w:r>
              <w:rPr>
                <w:rFonts w:ascii="Times New Roman" w:hAnsi="Times New Roman" w:cs="Times New Roman"/>
                <w:sz w:val="15"/>
                <w:szCs w:val="15"/>
              </w:rPr>
              <w:t>2</w:t>
            </w:r>
          </w:p>
        </w:tc>
        <w:tc>
          <w:tcPr>
            <w:tcW w:w="1118" w:type="pct"/>
            <w:vAlign w:val="center"/>
          </w:tcPr>
          <w:p w14:paraId="28B92299">
            <w:pPr>
              <w:snapToGrid w:val="0"/>
              <w:jc w:val="center"/>
              <w:rPr>
                <w:rFonts w:ascii="Times New Roman" w:hAnsi="Times New Roman" w:cs="Times New Roman"/>
                <w:b/>
                <w:sz w:val="15"/>
                <w:szCs w:val="15"/>
              </w:rPr>
            </w:pPr>
            <w:r>
              <w:rPr>
                <w:rFonts w:ascii="Times New Roman" w:hAnsi="Times New Roman" w:cs="Times New Roman"/>
                <w:sz w:val="15"/>
                <w:szCs w:val="15"/>
              </w:rPr>
              <w:t>15～20</w:t>
            </w:r>
          </w:p>
        </w:tc>
        <w:tc>
          <w:tcPr>
            <w:tcW w:w="1505" w:type="pct"/>
            <w:vAlign w:val="center"/>
          </w:tcPr>
          <w:p w14:paraId="1C8D9E8C">
            <w:pPr>
              <w:snapToGrid w:val="0"/>
              <w:jc w:val="center"/>
              <w:rPr>
                <w:rFonts w:ascii="Times New Roman" w:hAnsi="Times New Roman" w:cs="Times New Roman"/>
                <w:b/>
                <w:sz w:val="15"/>
                <w:szCs w:val="15"/>
              </w:rPr>
            </w:pPr>
            <w:r>
              <w:rPr>
                <w:rFonts w:ascii="Times New Roman" w:hAnsi="Times New Roman" w:cs="Times New Roman"/>
                <w:sz w:val="15"/>
                <w:szCs w:val="15"/>
              </w:rPr>
              <w:t>5年一遇~3年一遇短历时暴雨</w:t>
            </w:r>
          </w:p>
        </w:tc>
        <w:tc>
          <w:tcPr>
            <w:tcW w:w="1505" w:type="pct"/>
            <w:vAlign w:val="center"/>
          </w:tcPr>
          <w:p w14:paraId="72C26EF3">
            <w:pPr>
              <w:snapToGrid w:val="0"/>
              <w:jc w:val="center"/>
              <w:rPr>
                <w:rFonts w:ascii="Times New Roman" w:hAnsi="Times New Roman" w:cs="Times New Roman"/>
                <w:b/>
                <w:sz w:val="15"/>
                <w:szCs w:val="15"/>
              </w:rPr>
            </w:pPr>
            <w:r>
              <w:rPr>
                <w:rFonts w:ascii="Times New Roman" w:hAnsi="Times New Roman" w:cs="Times New Roman"/>
                <w:sz w:val="15"/>
                <w:szCs w:val="15"/>
              </w:rPr>
              <w:t>—</w:t>
            </w:r>
          </w:p>
        </w:tc>
      </w:tr>
      <w:tr w14:paraId="34E908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872" w:type="pct"/>
            <w:vAlign w:val="center"/>
          </w:tcPr>
          <w:p w14:paraId="4581E197">
            <w:pPr>
              <w:snapToGrid w:val="0"/>
              <w:jc w:val="center"/>
              <w:rPr>
                <w:rFonts w:ascii="Times New Roman" w:hAnsi="Times New Roman" w:cs="Times New Roman"/>
                <w:b/>
                <w:sz w:val="15"/>
                <w:szCs w:val="15"/>
              </w:rPr>
            </w:pPr>
            <w:r>
              <w:rPr>
                <w:rFonts w:ascii="Times New Roman" w:hAnsi="Times New Roman" w:cs="Times New Roman"/>
                <w:sz w:val="15"/>
                <w:szCs w:val="15"/>
              </w:rPr>
              <w:t>3</w:t>
            </w:r>
          </w:p>
        </w:tc>
        <w:tc>
          <w:tcPr>
            <w:tcW w:w="1118" w:type="pct"/>
            <w:vAlign w:val="center"/>
          </w:tcPr>
          <w:p w14:paraId="4CFD2280">
            <w:pPr>
              <w:snapToGrid w:val="0"/>
              <w:jc w:val="center"/>
              <w:rPr>
                <w:rFonts w:ascii="Times New Roman" w:hAnsi="Times New Roman" w:cs="Times New Roman"/>
                <w:b/>
                <w:sz w:val="15"/>
                <w:szCs w:val="15"/>
              </w:rPr>
            </w:pPr>
            <w:r>
              <w:rPr>
                <w:rFonts w:ascii="Times New Roman" w:hAnsi="Times New Roman" w:cs="Times New Roman"/>
                <w:sz w:val="15"/>
                <w:szCs w:val="15"/>
              </w:rPr>
              <w:t>&lt;15</w:t>
            </w:r>
          </w:p>
        </w:tc>
        <w:tc>
          <w:tcPr>
            <w:tcW w:w="1505" w:type="pct"/>
            <w:vAlign w:val="center"/>
          </w:tcPr>
          <w:p w14:paraId="6E7F7A4D">
            <w:pPr>
              <w:snapToGrid w:val="0"/>
              <w:jc w:val="center"/>
              <w:rPr>
                <w:rFonts w:ascii="Times New Roman" w:hAnsi="Times New Roman" w:cs="Times New Roman"/>
                <w:b/>
                <w:sz w:val="15"/>
                <w:szCs w:val="15"/>
              </w:rPr>
            </w:pPr>
            <w:r>
              <w:rPr>
                <w:rFonts w:ascii="Times New Roman" w:hAnsi="Times New Roman" w:cs="Times New Roman"/>
                <w:sz w:val="15"/>
                <w:szCs w:val="15"/>
              </w:rPr>
              <w:t>3年一遇短历时暴雨</w:t>
            </w:r>
          </w:p>
        </w:tc>
        <w:tc>
          <w:tcPr>
            <w:tcW w:w="1505" w:type="pct"/>
            <w:vAlign w:val="center"/>
          </w:tcPr>
          <w:p w14:paraId="39067385">
            <w:pPr>
              <w:snapToGrid w:val="0"/>
              <w:jc w:val="center"/>
              <w:rPr>
                <w:rFonts w:ascii="Times New Roman" w:hAnsi="Times New Roman" w:cs="Times New Roman"/>
                <w:b/>
                <w:sz w:val="15"/>
                <w:szCs w:val="15"/>
              </w:rPr>
            </w:pPr>
            <w:r>
              <w:rPr>
                <w:rFonts w:ascii="Times New Roman" w:hAnsi="Times New Roman" w:cs="Times New Roman"/>
                <w:sz w:val="15"/>
                <w:szCs w:val="15"/>
              </w:rPr>
              <w:t>—</w:t>
            </w:r>
          </w:p>
        </w:tc>
      </w:tr>
    </w:tbl>
    <w:p w14:paraId="22F051C5">
      <w:pPr>
        <w:snapToGrid w:val="0"/>
        <w:spacing w:before="156" w:beforeLines="50" w:line="360" w:lineRule="auto"/>
        <w:ind w:firstLine="422" w:firstLineChars="200"/>
        <w:rPr>
          <w:rFonts w:ascii="Times New Roman" w:hAnsi="Times New Roman" w:cs="Times New Roman"/>
          <w:bCs/>
          <w:spacing w:val="4"/>
          <w:sz w:val="21"/>
          <w:szCs w:val="21"/>
        </w:rPr>
      </w:pPr>
      <w:r>
        <w:rPr>
          <w:rFonts w:ascii="Times New Roman" w:hAnsi="Times New Roman" w:eastAsia="黑体" w:cs="Times New Roman"/>
          <w:b/>
          <w:sz w:val="21"/>
          <w:szCs w:val="21"/>
        </w:rPr>
        <w:t>4</w:t>
      </w:r>
      <w:r>
        <w:rPr>
          <w:rFonts w:ascii="Times New Roman" w:hAnsi="Times New Roman" w:cs="Times New Roman"/>
          <w:sz w:val="21"/>
          <w:szCs w:val="21"/>
        </w:rPr>
        <w:t xml:space="preserve">  Ⅳ区梯田工程设计标准应</w:t>
      </w:r>
      <w:r>
        <w:rPr>
          <w:rFonts w:ascii="Times New Roman" w:hAnsi="Times New Roman" w:cs="Times New Roman"/>
          <w:bCs/>
          <w:spacing w:val="4"/>
          <w:sz w:val="21"/>
          <w:szCs w:val="21"/>
        </w:rPr>
        <w:t>按表4.2.2-4确定。</w:t>
      </w:r>
    </w:p>
    <w:p w14:paraId="60C45849">
      <w:pPr>
        <w:snapToGrid w:val="0"/>
        <w:jc w:val="center"/>
        <w:rPr>
          <w:rFonts w:ascii="Times New Roman" w:hAnsi="Times New Roman" w:eastAsia="黑体" w:cs="Times New Roman"/>
          <w:b/>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 xml:space="preserve">2-4  </w:t>
      </w:r>
      <w:r>
        <w:rPr>
          <w:rFonts w:ascii="Times New Roman" w:hAnsi="Times New Roman" w:cs="Times New Roman"/>
          <w:sz w:val="18"/>
          <w:szCs w:val="18"/>
        </w:rPr>
        <w:t xml:space="preserve">Ⅳ </w:t>
      </w:r>
      <w:r>
        <w:rPr>
          <w:rFonts w:ascii="Times New Roman" w:hAnsi="Times New Roman" w:eastAsia="黑体" w:cs="Times New Roman"/>
          <w:sz w:val="18"/>
          <w:szCs w:val="18"/>
        </w:rPr>
        <w:t>区梯田工程设计标准</w:t>
      </w:r>
    </w:p>
    <w:tbl>
      <w:tblPr>
        <w:tblStyle w:val="10"/>
        <w:tblW w:w="4996" w:type="pct"/>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06"/>
        <w:gridCol w:w="1852"/>
        <w:gridCol w:w="2406"/>
        <w:gridCol w:w="2405"/>
      </w:tblGrid>
      <w:tr w14:paraId="22147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971" w:type="pct"/>
            <w:vAlign w:val="center"/>
          </w:tcPr>
          <w:p w14:paraId="630F791C">
            <w:pPr>
              <w:snapToGrid w:val="0"/>
              <w:jc w:val="center"/>
              <w:rPr>
                <w:rFonts w:ascii="Times New Roman" w:hAnsi="Times New Roman" w:cs="Times New Roman"/>
                <w:b/>
                <w:sz w:val="15"/>
                <w:szCs w:val="15"/>
              </w:rPr>
            </w:pPr>
            <w:r>
              <w:rPr>
                <w:rFonts w:ascii="Times New Roman" w:hAnsi="Times New Roman" w:cs="Times New Roman"/>
                <w:sz w:val="15"/>
                <w:szCs w:val="15"/>
              </w:rPr>
              <w:t>级别</w:t>
            </w:r>
          </w:p>
        </w:tc>
        <w:tc>
          <w:tcPr>
            <w:tcW w:w="1120" w:type="pct"/>
            <w:vAlign w:val="center"/>
          </w:tcPr>
          <w:p w14:paraId="32D63905">
            <w:pPr>
              <w:snapToGrid w:val="0"/>
              <w:jc w:val="center"/>
              <w:rPr>
                <w:rFonts w:ascii="Times New Roman" w:hAnsi="Times New Roman" w:cs="Times New Roman"/>
                <w:b/>
                <w:sz w:val="15"/>
                <w:szCs w:val="15"/>
              </w:rPr>
            </w:pPr>
            <w:r>
              <w:rPr>
                <w:rFonts w:ascii="Times New Roman" w:hAnsi="Times New Roman" w:cs="Times New Roman"/>
                <w:sz w:val="15"/>
                <w:szCs w:val="15"/>
              </w:rPr>
              <w:t>田面净宽（m）</w:t>
            </w:r>
          </w:p>
        </w:tc>
        <w:tc>
          <w:tcPr>
            <w:tcW w:w="1455" w:type="pct"/>
            <w:vAlign w:val="center"/>
          </w:tcPr>
          <w:p w14:paraId="38F5AF29">
            <w:pPr>
              <w:snapToGrid w:val="0"/>
              <w:jc w:val="center"/>
              <w:rPr>
                <w:rFonts w:ascii="Times New Roman" w:hAnsi="Times New Roman" w:cs="Times New Roman"/>
                <w:b/>
                <w:sz w:val="15"/>
                <w:szCs w:val="15"/>
              </w:rPr>
            </w:pPr>
            <w:r>
              <w:rPr>
                <w:rFonts w:ascii="Times New Roman" w:hAnsi="Times New Roman" w:cs="Times New Roman"/>
                <w:sz w:val="15"/>
                <w:szCs w:val="15"/>
              </w:rPr>
              <w:t>排水设计标准</w:t>
            </w:r>
          </w:p>
        </w:tc>
        <w:tc>
          <w:tcPr>
            <w:tcW w:w="1454" w:type="pct"/>
            <w:vAlign w:val="center"/>
          </w:tcPr>
          <w:p w14:paraId="7AC90A3E">
            <w:pPr>
              <w:snapToGrid w:val="0"/>
              <w:jc w:val="center"/>
              <w:rPr>
                <w:rFonts w:ascii="Times New Roman" w:hAnsi="Times New Roman" w:cs="Times New Roman"/>
                <w:b/>
                <w:sz w:val="15"/>
                <w:szCs w:val="15"/>
              </w:rPr>
            </w:pPr>
            <w:r>
              <w:rPr>
                <w:rFonts w:ascii="Times New Roman" w:hAnsi="Times New Roman" w:cs="Times New Roman"/>
                <w:sz w:val="15"/>
                <w:szCs w:val="15"/>
              </w:rPr>
              <w:t>灌溉设施</w:t>
            </w:r>
          </w:p>
        </w:tc>
      </w:tr>
      <w:tr w14:paraId="0AE711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971" w:type="pct"/>
            <w:vAlign w:val="center"/>
          </w:tcPr>
          <w:p w14:paraId="13DB8315">
            <w:pPr>
              <w:snapToGrid w:val="0"/>
              <w:jc w:val="center"/>
              <w:rPr>
                <w:rFonts w:ascii="Times New Roman" w:hAnsi="Times New Roman" w:cs="Times New Roman"/>
                <w:b/>
                <w:sz w:val="15"/>
                <w:szCs w:val="15"/>
              </w:rPr>
            </w:pPr>
            <w:r>
              <w:rPr>
                <w:rFonts w:ascii="Times New Roman" w:hAnsi="Times New Roman" w:cs="Times New Roman"/>
                <w:sz w:val="15"/>
                <w:szCs w:val="15"/>
              </w:rPr>
              <w:t>1</w:t>
            </w:r>
          </w:p>
        </w:tc>
        <w:tc>
          <w:tcPr>
            <w:tcW w:w="1120" w:type="pct"/>
            <w:vAlign w:val="center"/>
          </w:tcPr>
          <w:p w14:paraId="07EE99BF">
            <w:pPr>
              <w:snapToGrid w:val="0"/>
              <w:jc w:val="center"/>
              <w:rPr>
                <w:rFonts w:ascii="Times New Roman" w:hAnsi="Times New Roman" w:cs="Times New Roman"/>
                <w:b/>
                <w:sz w:val="15"/>
                <w:szCs w:val="15"/>
              </w:rPr>
            </w:pPr>
            <w:r>
              <w:rPr>
                <w:rFonts w:ascii="Times New Roman" w:hAnsi="Times New Roman" w:cs="Times New Roman"/>
                <w:sz w:val="15"/>
                <w:szCs w:val="15"/>
              </w:rPr>
              <w:t>&gt;30</w:t>
            </w:r>
          </w:p>
        </w:tc>
        <w:tc>
          <w:tcPr>
            <w:tcW w:w="1455" w:type="pct"/>
            <w:vAlign w:val="center"/>
          </w:tcPr>
          <w:p w14:paraId="78F8B167">
            <w:pPr>
              <w:snapToGrid w:val="0"/>
              <w:jc w:val="center"/>
              <w:rPr>
                <w:rFonts w:ascii="Times New Roman" w:hAnsi="Times New Roman" w:cs="Times New Roman"/>
                <w:b/>
                <w:sz w:val="15"/>
                <w:szCs w:val="15"/>
              </w:rPr>
            </w:pPr>
            <w:r>
              <w:rPr>
                <w:rFonts w:ascii="Times New Roman" w:hAnsi="Times New Roman" w:cs="Times New Roman"/>
                <w:sz w:val="15"/>
                <w:szCs w:val="15"/>
              </w:rPr>
              <w:t>10年一遇~5年一遇短历时暴雨</w:t>
            </w:r>
          </w:p>
        </w:tc>
        <w:tc>
          <w:tcPr>
            <w:tcW w:w="1454" w:type="pct"/>
            <w:vAlign w:val="center"/>
          </w:tcPr>
          <w:p w14:paraId="4D522436">
            <w:pPr>
              <w:snapToGrid w:val="0"/>
              <w:jc w:val="center"/>
              <w:rPr>
                <w:rFonts w:ascii="Times New Roman" w:hAnsi="Times New Roman" w:cs="Times New Roman"/>
                <w:b/>
                <w:sz w:val="15"/>
                <w:szCs w:val="15"/>
              </w:rPr>
            </w:pPr>
            <w:r>
              <w:rPr>
                <w:rFonts w:ascii="Times New Roman" w:hAnsi="Times New Roman" w:cs="Times New Roman"/>
                <w:sz w:val="15"/>
                <w:szCs w:val="15"/>
              </w:rPr>
              <w:t>灌溉保证率P ≥75%</w:t>
            </w:r>
          </w:p>
        </w:tc>
      </w:tr>
      <w:tr w14:paraId="3274C5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971" w:type="pct"/>
            <w:vAlign w:val="center"/>
          </w:tcPr>
          <w:p w14:paraId="14885AB9">
            <w:pPr>
              <w:snapToGrid w:val="0"/>
              <w:jc w:val="center"/>
              <w:rPr>
                <w:rFonts w:ascii="Times New Roman" w:hAnsi="Times New Roman" w:cs="Times New Roman"/>
                <w:b/>
                <w:sz w:val="15"/>
                <w:szCs w:val="15"/>
              </w:rPr>
            </w:pPr>
            <w:r>
              <w:rPr>
                <w:rFonts w:ascii="Times New Roman" w:hAnsi="Times New Roman" w:cs="Times New Roman"/>
                <w:sz w:val="15"/>
                <w:szCs w:val="15"/>
              </w:rPr>
              <w:t>2</w:t>
            </w:r>
          </w:p>
        </w:tc>
        <w:tc>
          <w:tcPr>
            <w:tcW w:w="1120" w:type="pct"/>
            <w:vAlign w:val="center"/>
          </w:tcPr>
          <w:p w14:paraId="01BC03C5">
            <w:pPr>
              <w:snapToGrid w:val="0"/>
              <w:jc w:val="center"/>
              <w:rPr>
                <w:rFonts w:ascii="Times New Roman" w:hAnsi="Times New Roman" w:cs="Times New Roman"/>
                <w:b/>
                <w:sz w:val="15"/>
                <w:szCs w:val="15"/>
              </w:rPr>
            </w:pPr>
            <w:r>
              <w:rPr>
                <w:rFonts w:ascii="Times New Roman" w:hAnsi="Times New Roman" w:cs="Times New Roman"/>
                <w:sz w:val="15"/>
                <w:szCs w:val="15"/>
              </w:rPr>
              <w:t>（5-10）～30</w:t>
            </w:r>
          </w:p>
        </w:tc>
        <w:tc>
          <w:tcPr>
            <w:tcW w:w="1455" w:type="pct"/>
            <w:vAlign w:val="center"/>
          </w:tcPr>
          <w:p w14:paraId="7219C7DD">
            <w:pPr>
              <w:snapToGrid w:val="0"/>
              <w:jc w:val="center"/>
              <w:rPr>
                <w:rFonts w:ascii="Times New Roman" w:hAnsi="Times New Roman" w:cs="Times New Roman"/>
                <w:b/>
                <w:sz w:val="15"/>
                <w:szCs w:val="15"/>
              </w:rPr>
            </w:pPr>
            <w:r>
              <w:rPr>
                <w:rFonts w:ascii="Times New Roman" w:hAnsi="Times New Roman" w:cs="Times New Roman"/>
                <w:sz w:val="15"/>
                <w:szCs w:val="15"/>
              </w:rPr>
              <w:t>5年一遇~3年一遇短历时暴雨</w:t>
            </w:r>
          </w:p>
        </w:tc>
        <w:tc>
          <w:tcPr>
            <w:tcW w:w="1454" w:type="pct"/>
            <w:vAlign w:val="center"/>
          </w:tcPr>
          <w:p w14:paraId="7DFE515A">
            <w:pPr>
              <w:snapToGrid w:val="0"/>
              <w:jc w:val="center"/>
              <w:rPr>
                <w:rFonts w:ascii="Times New Roman" w:hAnsi="Times New Roman" w:cs="Times New Roman"/>
                <w:b/>
                <w:sz w:val="15"/>
                <w:szCs w:val="15"/>
              </w:rPr>
            </w:pPr>
            <w:r>
              <w:rPr>
                <w:rFonts w:ascii="Times New Roman" w:hAnsi="Times New Roman" w:cs="Times New Roman"/>
                <w:sz w:val="15"/>
                <w:szCs w:val="15"/>
              </w:rPr>
              <w:t>灌溉保证率P为50%～75%</w:t>
            </w:r>
          </w:p>
        </w:tc>
      </w:tr>
      <w:tr w14:paraId="7F30F0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971" w:type="pct"/>
            <w:vAlign w:val="center"/>
          </w:tcPr>
          <w:p w14:paraId="2734F75A">
            <w:pPr>
              <w:snapToGrid w:val="0"/>
              <w:jc w:val="center"/>
              <w:rPr>
                <w:rFonts w:ascii="Times New Roman" w:hAnsi="Times New Roman" w:cs="Times New Roman"/>
                <w:b/>
                <w:sz w:val="15"/>
                <w:szCs w:val="15"/>
              </w:rPr>
            </w:pPr>
            <w:r>
              <w:rPr>
                <w:rFonts w:ascii="Times New Roman" w:hAnsi="Times New Roman" w:cs="Times New Roman"/>
                <w:sz w:val="15"/>
                <w:szCs w:val="15"/>
              </w:rPr>
              <w:t>3</w:t>
            </w:r>
          </w:p>
        </w:tc>
        <w:tc>
          <w:tcPr>
            <w:tcW w:w="1120" w:type="pct"/>
            <w:vAlign w:val="center"/>
          </w:tcPr>
          <w:p w14:paraId="6FA2AD04">
            <w:pPr>
              <w:snapToGrid w:val="0"/>
              <w:jc w:val="center"/>
              <w:rPr>
                <w:rFonts w:ascii="Times New Roman" w:hAnsi="Times New Roman" w:cs="Times New Roman"/>
                <w:b/>
                <w:sz w:val="15"/>
                <w:szCs w:val="15"/>
              </w:rPr>
            </w:pPr>
            <w:r>
              <w:rPr>
                <w:rFonts w:ascii="Times New Roman" w:hAnsi="Times New Roman" w:cs="Times New Roman"/>
                <w:sz w:val="15"/>
                <w:szCs w:val="15"/>
              </w:rPr>
              <w:t>&lt;（5-10）</w:t>
            </w:r>
          </w:p>
        </w:tc>
        <w:tc>
          <w:tcPr>
            <w:tcW w:w="1455" w:type="pct"/>
            <w:vAlign w:val="center"/>
          </w:tcPr>
          <w:p w14:paraId="065D9CDB">
            <w:pPr>
              <w:snapToGrid w:val="0"/>
              <w:jc w:val="center"/>
              <w:rPr>
                <w:rFonts w:ascii="Times New Roman" w:hAnsi="Times New Roman" w:cs="Times New Roman"/>
                <w:b/>
                <w:sz w:val="15"/>
                <w:szCs w:val="15"/>
              </w:rPr>
            </w:pPr>
            <w:r>
              <w:rPr>
                <w:rFonts w:ascii="Times New Roman" w:hAnsi="Times New Roman" w:cs="Times New Roman"/>
                <w:sz w:val="15"/>
                <w:szCs w:val="15"/>
              </w:rPr>
              <w:t>3年一遇短历时暴雨</w:t>
            </w:r>
          </w:p>
        </w:tc>
        <w:tc>
          <w:tcPr>
            <w:tcW w:w="1454" w:type="pct"/>
            <w:vAlign w:val="center"/>
          </w:tcPr>
          <w:p w14:paraId="2223623C">
            <w:pPr>
              <w:snapToGrid w:val="0"/>
              <w:jc w:val="center"/>
              <w:rPr>
                <w:rFonts w:ascii="Times New Roman" w:hAnsi="Times New Roman" w:cs="Times New Roman"/>
                <w:b/>
                <w:sz w:val="15"/>
                <w:szCs w:val="15"/>
              </w:rPr>
            </w:pPr>
            <w:r>
              <w:rPr>
                <w:rFonts w:ascii="Times New Roman" w:hAnsi="Times New Roman" w:cs="Times New Roman"/>
                <w:sz w:val="15"/>
                <w:szCs w:val="15"/>
              </w:rPr>
              <w:t>—</w:t>
            </w:r>
          </w:p>
        </w:tc>
      </w:tr>
    </w:tbl>
    <w:p w14:paraId="2E1911D7">
      <w:pPr>
        <w:ind w:firstLine="450" w:firstLineChars="300"/>
        <w:rPr>
          <w:rFonts w:ascii="Times New Roman" w:hAnsi="Times New Roman" w:cs="Times New Roman"/>
          <w:sz w:val="15"/>
          <w:szCs w:val="15"/>
        </w:rPr>
      </w:pPr>
      <w:r>
        <w:rPr>
          <w:rFonts w:ascii="Times New Roman" w:hAnsi="Times New Roman" w:cs="Times New Roman"/>
          <w:sz w:val="15"/>
          <w:szCs w:val="15"/>
        </w:rPr>
        <w:t>注：地形条件具备的，田面净宽取高限；地形条件不具备的取低限。</w:t>
      </w:r>
    </w:p>
    <w:p w14:paraId="61EE041B">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Ⅱ 淤地坝工程</w:t>
      </w:r>
    </w:p>
    <w:p w14:paraId="482518F3">
      <w:pPr>
        <w:snapToGrid w:val="0"/>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4"/>
        </w:rPr>
        <w:t>.</w:t>
      </w:r>
      <w:r>
        <w:rPr>
          <w:rFonts w:ascii="Times New Roman" w:hAnsi="Times New Roman" w:eastAsia="黑体" w:cs="Times New Roman"/>
          <w:b/>
          <w:sz w:val="21"/>
          <w:szCs w:val="21"/>
        </w:rPr>
        <w:t>2</w:t>
      </w:r>
      <w:r>
        <w:rPr>
          <w:rFonts w:ascii="Times New Roman" w:hAnsi="Times New Roman" w:cs="Times New Roman"/>
          <w:b/>
          <w:sz w:val="21"/>
          <w:szCs w:val="24"/>
        </w:rPr>
        <w:t>.</w:t>
      </w:r>
      <w:r>
        <w:rPr>
          <w:rFonts w:ascii="Times New Roman" w:hAnsi="Times New Roman" w:eastAsia="黑体" w:cs="Times New Roman"/>
          <w:b/>
          <w:sz w:val="21"/>
          <w:szCs w:val="21"/>
        </w:rPr>
        <w:t>3</w:t>
      </w:r>
      <w:r>
        <w:rPr>
          <w:rFonts w:ascii="Times New Roman" w:hAnsi="Times New Roman" w:cs="Times New Roman"/>
          <w:sz w:val="21"/>
          <w:szCs w:val="21"/>
        </w:rPr>
        <w:t xml:space="preserve">  </w:t>
      </w:r>
      <w:r>
        <w:rPr>
          <w:rFonts w:ascii="Times New Roman" w:hAnsi="Times New Roman" w:cs="Times New Roman"/>
          <w:bCs/>
          <w:spacing w:val="4"/>
          <w:sz w:val="21"/>
          <w:szCs w:val="21"/>
        </w:rPr>
        <w:t>淤地坝工程等别、建筑物级别，应根据淤地坝库容按表4.2.3确定。</w:t>
      </w:r>
    </w:p>
    <w:p w14:paraId="33ED7FB0">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3  淤地坝工程等别及建筑物级别划分</w:t>
      </w:r>
    </w:p>
    <w:tbl>
      <w:tblPr>
        <w:tblStyle w:val="10"/>
        <w:tblW w:w="5015"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07"/>
        <w:gridCol w:w="857"/>
        <w:gridCol w:w="906"/>
        <w:gridCol w:w="1371"/>
        <w:gridCol w:w="1278"/>
        <w:gridCol w:w="1280"/>
        <w:gridCol w:w="1302"/>
      </w:tblGrid>
      <w:tr w14:paraId="32565B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 w:hRule="atLeast"/>
        </w:trPr>
        <w:tc>
          <w:tcPr>
            <w:tcW w:w="787" w:type="pct"/>
            <w:vMerge w:val="restart"/>
            <w:vAlign w:val="center"/>
          </w:tcPr>
          <w:p w14:paraId="5A65C919">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工程等别</w:t>
            </w:r>
          </w:p>
        </w:tc>
        <w:tc>
          <w:tcPr>
            <w:tcW w:w="1062" w:type="pct"/>
            <w:gridSpan w:val="2"/>
            <w:vMerge w:val="restart"/>
            <w:vAlign w:val="center"/>
          </w:tcPr>
          <w:p w14:paraId="49A274F1">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工程规模</w:t>
            </w:r>
          </w:p>
        </w:tc>
        <w:tc>
          <w:tcPr>
            <w:tcW w:w="826" w:type="pct"/>
            <w:vMerge w:val="restart"/>
            <w:vAlign w:val="center"/>
          </w:tcPr>
          <w:p w14:paraId="20E15316">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总库容（10</w:t>
            </w:r>
            <w:r>
              <w:rPr>
                <w:rFonts w:ascii="Times New Roman" w:hAnsi="Times New Roman" w:cs="Times New Roman"/>
                <w:kern w:val="0"/>
                <w:sz w:val="15"/>
                <w:szCs w:val="15"/>
                <w:vertAlign w:val="superscript"/>
              </w:rPr>
              <w:t>4</w:t>
            </w:r>
            <w:r>
              <w:rPr>
                <w:rFonts w:ascii="Times New Roman" w:hAnsi="Times New Roman" w:cs="Times New Roman"/>
                <w:kern w:val="0"/>
                <w:sz w:val="15"/>
                <w:szCs w:val="15"/>
              </w:rPr>
              <w:t>m</w:t>
            </w:r>
            <w:r>
              <w:rPr>
                <w:rFonts w:ascii="Times New Roman" w:hAnsi="Times New Roman" w:cs="Times New Roman"/>
                <w:kern w:val="0"/>
                <w:sz w:val="15"/>
                <w:szCs w:val="15"/>
                <w:vertAlign w:val="superscript"/>
              </w:rPr>
              <w:t>3</w:t>
            </w:r>
            <w:r>
              <w:rPr>
                <w:rFonts w:ascii="Times New Roman" w:hAnsi="Times New Roman" w:cs="Times New Roman"/>
                <w:kern w:val="0"/>
                <w:sz w:val="15"/>
                <w:szCs w:val="15"/>
              </w:rPr>
              <w:t>）</w:t>
            </w:r>
          </w:p>
        </w:tc>
        <w:tc>
          <w:tcPr>
            <w:tcW w:w="1541" w:type="pct"/>
            <w:gridSpan w:val="2"/>
            <w:vAlign w:val="center"/>
          </w:tcPr>
          <w:p w14:paraId="0E16F568">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永久性建筑物级别</w:t>
            </w:r>
          </w:p>
        </w:tc>
        <w:tc>
          <w:tcPr>
            <w:tcW w:w="784" w:type="pct"/>
            <w:vMerge w:val="restart"/>
            <w:vAlign w:val="center"/>
          </w:tcPr>
          <w:p w14:paraId="4D052734">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临时性</w:t>
            </w:r>
          </w:p>
          <w:p w14:paraId="03343876">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建筑物级别</w:t>
            </w:r>
          </w:p>
        </w:tc>
      </w:tr>
      <w:tr w14:paraId="61D29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 w:hRule="atLeast"/>
        </w:trPr>
        <w:tc>
          <w:tcPr>
            <w:tcW w:w="787" w:type="pct"/>
            <w:vMerge w:val="continue"/>
            <w:vAlign w:val="center"/>
          </w:tcPr>
          <w:p w14:paraId="3781DC3F">
            <w:pPr>
              <w:widowControl/>
              <w:snapToGrid w:val="0"/>
              <w:jc w:val="left"/>
              <w:rPr>
                <w:rFonts w:ascii="Times New Roman" w:hAnsi="Times New Roman" w:cs="Times New Roman"/>
                <w:kern w:val="0"/>
                <w:sz w:val="15"/>
                <w:szCs w:val="15"/>
              </w:rPr>
            </w:pPr>
          </w:p>
        </w:tc>
        <w:tc>
          <w:tcPr>
            <w:tcW w:w="1062" w:type="pct"/>
            <w:gridSpan w:val="2"/>
            <w:vMerge w:val="continue"/>
            <w:vAlign w:val="center"/>
          </w:tcPr>
          <w:p w14:paraId="61290528">
            <w:pPr>
              <w:widowControl/>
              <w:snapToGrid w:val="0"/>
              <w:jc w:val="left"/>
              <w:rPr>
                <w:rFonts w:ascii="Times New Roman" w:hAnsi="Times New Roman" w:cs="Times New Roman"/>
                <w:kern w:val="0"/>
                <w:sz w:val="15"/>
                <w:szCs w:val="15"/>
              </w:rPr>
            </w:pPr>
          </w:p>
        </w:tc>
        <w:tc>
          <w:tcPr>
            <w:tcW w:w="826" w:type="pct"/>
            <w:vMerge w:val="continue"/>
            <w:vAlign w:val="center"/>
          </w:tcPr>
          <w:p w14:paraId="29E12439">
            <w:pPr>
              <w:widowControl/>
              <w:snapToGrid w:val="0"/>
              <w:jc w:val="left"/>
              <w:rPr>
                <w:rFonts w:ascii="Times New Roman" w:hAnsi="Times New Roman" w:cs="Times New Roman"/>
                <w:kern w:val="0"/>
                <w:sz w:val="15"/>
                <w:szCs w:val="15"/>
              </w:rPr>
            </w:pPr>
          </w:p>
        </w:tc>
        <w:tc>
          <w:tcPr>
            <w:tcW w:w="770" w:type="pct"/>
            <w:vAlign w:val="center"/>
          </w:tcPr>
          <w:p w14:paraId="5AB326B2">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主要建筑物</w:t>
            </w:r>
          </w:p>
        </w:tc>
        <w:tc>
          <w:tcPr>
            <w:tcW w:w="771" w:type="pct"/>
            <w:vAlign w:val="center"/>
          </w:tcPr>
          <w:p w14:paraId="7B408259">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次要建筑物</w:t>
            </w:r>
          </w:p>
        </w:tc>
        <w:tc>
          <w:tcPr>
            <w:tcW w:w="784" w:type="pct"/>
            <w:vMerge w:val="continue"/>
            <w:vAlign w:val="center"/>
          </w:tcPr>
          <w:p w14:paraId="79109837">
            <w:pPr>
              <w:widowControl/>
              <w:snapToGrid w:val="0"/>
              <w:jc w:val="left"/>
              <w:rPr>
                <w:rFonts w:ascii="Times New Roman" w:hAnsi="Times New Roman" w:cs="Times New Roman"/>
                <w:kern w:val="0"/>
                <w:sz w:val="15"/>
                <w:szCs w:val="15"/>
              </w:rPr>
            </w:pPr>
          </w:p>
        </w:tc>
      </w:tr>
      <w:tr w14:paraId="1120E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 w:hRule="atLeast"/>
        </w:trPr>
        <w:tc>
          <w:tcPr>
            <w:tcW w:w="787" w:type="pct"/>
            <w:vMerge w:val="restart"/>
            <w:vAlign w:val="center"/>
          </w:tcPr>
          <w:p w14:paraId="3181DFC8">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Ⅰ</w:t>
            </w:r>
          </w:p>
        </w:tc>
        <w:tc>
          <w:tcPr>
            <w:tcW w:w="516" w:type="pct"/>
            <w:vMerge w:val="restart"/>
            <w:vAlign w:val="center"/>
          </w:tcPr>
          <w:p w14:paraId="17AFAB24">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大型</w:t>
            </w:r>
          </w:p>
          <w:p w14:paraId="356B1282">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淤地坝</w:t>
            </w:r>
          </w:p>
        </w:tc>
        <w:tc>
          <w:tcPr>
            <w:tcW w:w="546" w:type="pct"/>
            <w:vAlign w:val="center"/>
          </w:tcPr>
          <w:p w14:paraId="58EAC05E">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1型</w:t>
            </w:r>
          </w:p>
        </w:tc>
        <w:tc>
          <w:tcPr>
            <w:tcW w:w="826" w:type="pct"/>
            <w:vAlign w:val="center"/>
          </w:tcPr>
          <w:p w14:paraId="496BDC42">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100～500</w:t>
            </w:r>
          </w:p>
        </w:tc>
        <w:tc>
          <w:tcPr>
            <w:tcW w:w="770" w:type="pct"/>
            <w:vAlign w:val="center"/>
          </w:tcPr>
          <w:p w14:paraId="726BF74F">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771" w:type="pct"/>
            <w:vAlign w:val="center"/>
          </w:tcPr>
          <w:p w14:paraId="52D38507">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784" w:type="pct"/>
            <w:noWrap/>
            <w:vAlign w:val="center"/>
          </w:tcPr>
          <w:p w14:paraId="4CAC1CDB">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4</w:t>
            </w:r>
          </w:p>
        </w:tc>
      </w:tr>
      <w:tr w14:paraId="6290E6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 w:hRule="atLeast"/>
        </w:trPr>
        <w:tc>
          <w:tcPr>
            <w:tcW w:w="787" w:type="pct"/>
            <w:vMerge w:val="continue"/>
            <w:vAlign w:val="center"/>
          </w:tcPr>
          <w:p w14:paraId="774A51BA">
            <w:pPr>
              <w:widowControl/>
              <w:snapToGrid w:val="0"/>
              <w:jc w:val="left"/>
              <w:rPr>
                <w:rFonts w:ascii="Times New Roman" w:hAnsi="Times New Roman" w:cs="Times New Roman"/>
                <w:kern w:val="0"/>
                <w:sz w:val="15"/>
                <w:szCs w:val="15"/>
              </w:rPr>
            </w:pPr>
          </w:p>
        </w:tc>
        <w:tc>
          <w:tcPr>
            <w:tcW w:w="516" w:type="pct"/>
            <w:vMerge w:val="continue"/>
            <w:vAlign w:val="center"/>
          </w:tcPr>
          <w:p w14:paraId="4C9E62FE">
            <w:pPr>
              <w:widowControl/>
              <w:snapToGrid w:val="0"/>
              <w:jc w:val="left"/>
              <w:rPr>
                <w:rFonts w:ascii="Times New Roman" w:hAnsi="Times New Roman" w:cs="Times New Roman"/>
                <w:kern w:val="0"/>
                <w:sz w:val="15"/>
                <w:szCs w:val="15"/>
              </w:rPr>
            </w:pPr>
          </w:p>
        </w:tc>
        <w:tc>
          <w:tcPr>
            <w:tcW w:w="546" w:type="pct"/>
            <w:vAlign w:val="center"/>
          </w:tcPr>
          <w:p w14:paraId="191172B8">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2型</w:t>
            </w:r>
          </w:p>
        </w:tc>
        <w:tc>
          <w:tcPr>
            <w:tcW w:w="826" w:type="pct"/>
            <w:vAlign w:val="center"/>
          </w:tcPr>
          <w:p w14:paraId="5F6B0D6D">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50～100</w:t>
            </w:r>
          </w:p>
        </w:tc>
        <w:tc>
          <w:tcPr>
            <w:tcW w:w="770" w:type="pct"/>
            <w:vAlign w:val="center"/>
          </w:tcPr>
          <w:p w14:paraId="4A2851F3">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771" w:type="pct"/>
            <w:vAlign w:val="center"/>
          </w:tcPr>
          <w:p w14:paraId="5E915F3A">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784" w:type="pct"/>
            <w:noWrap/>
            <w:vAlign w:val="center"/>
          </w:tcPr>
          <w:p w14:paraId="7CA31B1F">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4</w:t>
            </w:r>
          </w:p>
        </w:tc>
      </w:tr>
      <w:tr w14:paraId="7EA605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 w:hRule="atLeast"/>
        </w:trPr>
        <w:tc>
          <w:tcPr>
            <w:tcW w:w="787" w:type="pct"/>
            <w:vAlign w:val="center"/>
          </w:tcPr>
          <w:p w14:paraId="4F84206C">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Ⅱ</w:t>
            </w:r>
          </w:p>
        </w:tc>
        <w:tc>
          <w:tcPr>
            <w:tcW w:w="1062" w:type="pct"/>
            <w:gridSpan w:val="2"/>
            <w:vAlign w:val="center"/>
          </w:tcPr>
          <w:p w14:paraId="0522DE32">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中型淤地坝</w:t>
            </w:r>
          </w:p>
        </w:tc>
        <w:tc>
          <w:tcPr>
            <w:tcW w:w="826" w:type="pct"/>
            <w:vAlign w:val="center"/>
          </w:tcPr>
          <w:p w14:paraId="7999831F">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10～50</w:t>
            </w:r>
          </w:p>
        </w:tc>
        <w:tc>
          <w:tcPr>
            <w:tcW w:w="770" w:type="pct"/>
            <w:vAlign w:val="center"/>
          </w:tcPr>
          <w:p w14:paraId="19D697E1">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771" w:type="pct"/>
            <w:vAlign w:val="center"/>
          </w:tcPr>
          <w:p w14:paraId="37957613">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4</w:t>
            </w:r>
          </w:p>
        </w:tc>
        <w:tc>
          <w:tcPr>
            <w:tcW w:w="784" w:type="pct"/>
            <w:noWrap/>
            <w:vAlign w:val="center"/>
          </w:tcPr>
          <w:p w14:paraId="63C47F36">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4</w:t>
            </w:r>
          </w:p>
        </w:tc>
      </w:tr>
      <w:tr w14:paraId="46BB62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 w:hRule="atLeast"/>
        </w:trPr>
        <w:tc>
          <w:tcPr>
            <w:tcW w:w="787" w:type="pct"/>
            <w:noWrap/>
            <w:vAlign w:val="center"/>
          </w:tcPr>
          <w:p w14:paraId="7EBA4FD2">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Ⅲ</w:t>
            </w:r>
          </w:p>
        </w:tc>
        <w:tc>
          <w:tcPr>
            <w:tcW w:w="1062" w:type="pct"/>
            <w:gridSpan w:val="2"/>
            <w:vAlign w:val="center"/>
          </w:tcPr>
          <w:p w14:paraId="6D11512A">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小型淤地坝</w:t>
            </w:r>
          </w:p>
        </w:tc>
        <w:tc>
          <w:tcPr>
            <w:tcW w:w="826" w:type="pct"/>
            <w:vAlign w:val="center"/>
          </w:tcPr>
          <w:p w14:paraId="1CD41E54">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&lt;10</w:t>
            </w:r>
          </w:p>
        </w:tc>
        <w:tc>
          <w:tcPr>
            <w:tcW w:w="770" w:type="pct"/>
            <w:vAlign w:val="center"/>
          </w:tcPr>
          <w:p w14:paraId="6AA16855">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4</w:t>
            </w:r>
          </w:p>
        </w:tc>
        <w:tc>
          <w:tcPr>
            <w:tcW w:w="771" w:type="pct"/>
            <w:vAlign w:val="center"/>
          </w:tcPr>
          <w:p w14:paraId="6AC4CC41">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4</w:t>
            </w:r>
          </w:p>
        </w:tc>
        <w:tc>
          <w:tcPr>
            <w:tcW w:w="784" w:type="pct"/>
            <w:noWrap/>
            <w:vAlign w:val="center"/>
          </w:tcPr>
          <w:p w14:paraId="69C01668">
            <w:pPr>
              <w:widowControl/>
              <w:snapToGrid w:val="0"/>
              <w:jc w:val="center"/>
              <w:rPr>
                <w:rFonts w:ascii="Times New Roman" w:hAnsi="Times New Roman" w:cs="Times New Roman"/>
                <w:kern w:val="0"/>
                <w:sz w:val="15"/>
                <w:szCs w:val="15"/>
              </w:rPr>
            </w:pPr>
            <w:r>
              <w:rPr>
                <w:rFonts w:ascii="Times New Roman" w:hAnsi="Times New Roman" w:cs="Times New Roman"/>
                <w:sz w:val="15"/>
                <w:szCs w:val="15"/>
              </w:rPr>
              <w:t>—</w:t>
            </w:r>
          </w:p>
        </w:tc>
      </w:tr>
    </w:tbl>
    <w:p w14:paraId="6C46465E">
      <w:pPr>
        <w:snapToGrid w:val="0"/>
        <w:spacing w:before="156" w:beforeLines="50"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4"/>
        </w:rPr>
        <w:t>.</w:t>
      </w:r>
      <w:r>
        <w:rPr>
          <w:rFonts w:ascii="Times New Roman" w:hAnsi="Times New Roman" w:eastAsia="黑体" w:cs="Times New Roman"/>
          <w:b/>
          <w:sz w:val="21"/>
          <w:szCs w:val="21"/>
        </w:rPr>
        <w:t>2</w:t>
      </w:r>
      <w:r>
        <w:rPr>
          <w:rFonts w:ascii="Times New Roman" w:hAnsi="Times New Roman" w:cs="Times New Roman"/>
          <w:b/>
          <w:sz w:val="21"/>
          <w:szCs w:val="24"/>
        </w:rPr>
        <w:t>.</w:t>
      </w:r>
      <w:r>
        <w:rPr>
          <w:rFonts w:ascii="Times New Roman" w:hAnsi="Times New Roman" w:eastAsia="黑体" w:cs="Times New Roman"/>
          <w:b/>
          <w:sz w:val="21"/>
          <w:szCs w:val="21"/>
        </w:rPr>
        <w:t>4</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w:t>
      </w:r>
      <w:r>
        <w:rPr>
          <w:rFonts w:ascii="Times New Roman" w:hAnsi="Times New Roman" w:cs="Times New Roman"/>
          <w:bCs/>
          <w:spacing w:val="4"/>
          <w:sz w:val="21"/>
          <w:szCs w:val="21"/>
        </w:rPr>
        <w:t>失事后损失巨大或影响十分严重的淤地坝工程2级、3级主要永久性建筑物，经过论证，可提高一级。</w:t>
      </w:r>
    </w:p>
    <w:p w14:paraId="562AB614">
      <w:pPr>
        <w:snapToGrid w:val="0"/>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4"/>
        </w:rPr>
        <w:t>.</w:t>
      </w:r>
      <w:r>
        <w:rPr>
          <w:rFonts w:ascii="Times New Roman" w:hAnsi="Times New Roman" w:eastAsia="黑体" w:cs="Times New Roman"/>
          <w:b/>
          <w:sz w:val="21"/>
          <w:szCs w:val="21"/>
        </w:rPr>
        <w:t>2</w:t>
      </w:r>
      <w:r>
        <w:rPr>
          <w:rFonts w:ascii="Times New Roman" w:hAnsi="Times New Roman" w:cs="Times New Roman"/>
          <w:b/>
          <w:sz w:val="21"/>
          <w:szCs w:val="24"/>
        </w:rPr>
        <w:t>.</w:t>
      </w:r>
      <w:r>
        <w:rPr>
          <w:rFonts w:ascii="Times New Roman" w:hAnsi="Times New Roman" w:eastAsia="黑体" w:cs="Times New Roman"/>
          <w:b/>
          <w:sz w:val="21"/>
          <w:szCs w:val="21"/>
        </w:rPr>
        <w:t>5</w:t>
      </w:r>
      <w:r>
        <w:rPr>
          <w:rFonts w:ascii="Times New Roman" w:hAnsi="Times New Roman" w:cs="Times New Roman"/>
          <w:sz w:val="21"/>
          <w:szCs w:val="21"/>
        </w:rPr>
        <w:t xml:space="preserve">  </w:t>
      </w:r>
      <w:r>
        <w:rPr>
          <w:rFonts w:ascii="Times New Roman" w:hAnsi="Times New Roman" w:cs="Times New Roman"/>
          <w:bCs/>
          <w:spacing w:val="4"/>
          <w:sz w:val="21"/>
          <w:szCs w:val="21"/>
        </w:rPr>
        <w:t>当永久性建筑物基础的工程地质条件复杂或采用新型结构时，对2级、3级建筑物可提高一级。</w:t>
      </w:r>
    </w:p>
    <w:p w14:paraId="629A8D3A">
      <w:pPr>
        <w:snapToGrid w:val="0"/>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4"/>
        </w:rPr>
        <w:t>.</w:t>
      </w:r>
      <w:r>
        <w:rPr>
          <w:rFonts w:ascii="Times New Roman" w:hAnsi="Times New Roman" w:eastAsia="黑体" w:cs="Times New Roman"/>
          <w:b/>
          <w:sz w:val="21"/>
          <w:szCs w:val="21"/>
        </w:rPr>
        <w:t>2</w:t>
      </w:r>
      <w:r>
        <w:rPr>
          <w:rFonts w:ascii="Times New Roman" w:hAnsi="Times New Roman" w:cs="Times New Roman"/>
          <w:b/>
          <w:sz w:val="21"/>
          <w:szCs w:val="24"/>
        </w:rPr>
        <w:t>.</w:t>
      </w:r>
      <w:r>
        <w:rPr>
          <w:rFonts w:ascii="Times New Roman" w:hAnsi="Times New Roman" w:eastAsia="黑体" w:cs="Times New Roman"/>
          <w:b/>
          <w:sz w:val="21"/>
          <w:szCs w:val="21"/>
        </w:rPr>
        <w:t>6</w:t>
      </w:r>
      <w:r>
        <w:rPr>
          <w:rFonts w:ascii="Times New Roman" w:hAnsi="Times New Roman" w:cs="Times New Roman"/>
          <w:sz w:val="21"/>
          <w:szCs w:val="21"/>
        </w:rPr>
        <w:t xml:space="preserve">  </w:t>
      </w:r>
      <w:r>
        <w:rPr>
          <w:rFonts w:ascii="Times New Roman" w:hAnsi="Times New Roman" w:cs="Times New Roman"/>
          <w:bCs/>
          <w:spacing w:val="4"/>
          <w:sz w:val="21"/>
          <w:szCs w:val="21"/>
        </w:rPr>
        <w:t>淤地坝工程设计标准应根据建筑物级别按表4.2.6确定。</w:t>
      </w:r>
    </w:p>
    <w:p w14:paraId="426B1AF3">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6  淤地坝建筑物设计标准</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326"/>
        <w:gridCol w:w="2456"/>
        <w:gridCol w:w="3494"/>
      </w:tblGrid>
      <w:tr w14:paraId="1C212A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1405" w:type="pct"/>
            <w:vMerge w:val="restart"/>
            <w:vAlign w:val="center"/>
          </w:tcPr>
          <w:p w14:paraId="35368358">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建筑物级别</w:t>
            </w:r>
          </w:p>
        </w:tc>
        <w:tc>
          <w:tcPr>
            <w:tcW w:w="3595" w:type="pct"/>
            <w:gridSpan w:val="2"/>
            <w:vAlign w:val="center"/>
          </w:tcPr>
          <w:p w14:paraId="461C0976">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洪水重现期（年）</w:t>
            </w:r>
          </w:p>
        </w:tc>
      </w:tr>
      <w:tr w14:paraId="4F16F9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1405" w:type="pct"/>
            <w:vMerge w:val="continue"/>
            <w:vAlign w:val="center"/>
          </w:tcPr>
          <w:p w14:paraId="2A050490">
            <w:pPr>
              <w:widowControl/>
              <w:snapToGrid w:val="0"/>
              <w:jc w:val="left"/>
              <w:rPr>
                <w:rFonts w:ascii="Times New Roman" w:hAnsi="Times New Roman" w:cs="Times New Roman"/>
                <w:kern w:val="0"/>
                <w:sz w:val="15"/>
                <w:szCs w:val="15"/>
              </w:rPr>
            </w:pPr>
          </w:p>
        </w:tc>
        <w:tc>
          <w:tcPr>
            <w:tcW w:w="1484" w:type="pct"/>
            <w:vAlign w:val="center"/>
          </w:tcPr>
          <w:p w14:paraId="4F323408">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设计</w:t>
            </w:r>
          </w:p>
        </w:tc>
        <w:tc>
          <w:tcPr>
            <w:tcW w:w="2110" w:type="pct"/>
            <w:vAlign w:val="center"/>
          </w:tcPr>
          <w:p w14:paraId="77DDFBD1">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校核</w:t>
            </w:r>
          </w:p>
        </w:tc>
      </w:tr>
      <w:tr w14:paraId="4B9291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1405" w:type="pct"/>
            <w:vAlign w:val="center"/>
          </w:tcPr>
          <w:p w14:paraId="51F702ED">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484" w:type="pct"/>
            <w:vAlign w:val="center"/>
          </w:tcPr>
          <w:p w14:paraId="3F0A370F">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30～50</w:t>
            </w:r>
          </w:p>
        </w:tc>
        <w:tc>
          <w:tcPr>
            <w:tcW w:w="2110" w:type="pct"/>
            <w:vAlign w:val="center"/>
          </w:tcPr>
          <w:p w14:paraId="710DE10E">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300～500</w:t>
            </w:r>
          </w:p>
        </w:tc>
      </w:tr>
      <w:tr w14:paraId="533FF3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1405" w:type="pct"/>
            <w:vAlign w:val="center"/>
          </w:tcPr>
          <w:p w14:paraId="0064B631">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484" w:type="pct"/>
            <w:vAlign w:val="center"/>
          </w:tcPr>
          <w:p w14:paraId="44506264">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20～30</w:t>
            </w:r>
          </w:p>
        </w:tc>
        <w:tc>
          <w:tcPr>
            <w:tcW w:w="2110" w:type="pct"/>
            <w:vAlign w:val="center"/>
          </w:tcPr>
          <w:p w14:paraId="529F573A">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200～300</w:t>
            </w:r>
          </w:p>
        </w:tc>
      </w:tr>
      <w:tr w14:paraId="036A82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1405" w:type="pct"/>
            <w:vAlign w:val="center"/>
          </w:tcPr>
          <w:p w14:paraId="3AC40CB0">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484" w:type="pct"/>
            <w:vAlign w:val="center"/>
          </w:tcPr>
          <w:p w14:paraId="129930FC">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20～30</w:t>
            </w:r>
          </w:p>
        </w:tc>
        <w:tc>
          <w:tcPr>
            <w:tcW w:w="2110" w:type="pct"/>
            <w:vAlign w:val="center"/>
          </w:tcPr>
          <w:p w14:paraId="62D7F0EE">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50～200</w:t>
            </w:r>
          </w:p>
        </w:tc>
      </w:tr>
      <w:tr w14:paraId="4ACDC9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1405" w:type="pct"/>
            <w:vAlign w:val="center"/>
          </w:tcPr>
          <w:p w14:paraId="3799BDEB">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4</w:t>
            </w:r>
          </w:p>
        </w:tc>
        <w:tc>
          <w:tcPr>
            <w:tcW w:w="1484" w:type="pct"/>
            <w:vAlign w:val="center"/>
          </w:tcPr>
          <w:p w14:paraId="2E38C575">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10～20</w:t>
            </w:r>
          </w:p>
        </w:tc>
        <w:tc>
          <w:tcPr>
            <w:tcW w:w="2110" w:type="pct"/>
            <w:vAlign w:val="center"/>
          </w:tcPr>
          <w:p w14:paraId="692D135B">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30～50</w:t>
            </w:r>
          </w:p>
        </w:tc>
      </w:tr>
    </w:tbl>
    <w:p w14:paraId="7B46B3EA">
      <w:pPr>
        <w:snapToGrid w:val="0"/>
        <w:spacing w:before="156" w:beforeLines="50" w:line="360" w:lineRule="auto"/>
        <w:rPr>
          <w:rFonts w:ascii="Times New Roman" w:hAnsi="Times New Roman" w:eastAsia="黑体" w:cs="Times New Roman"/>
          <w:sz w:val="18"/>
          <w:szCs w:val="18"/>
        </w:rPr>
      </w:pPr>
      <w:r>
        <w:rPr>
          <w:rFonts w:ascii="Times New Roman" w:hAnsi="Times New Roman" w:eastAsia="黑体" w:cs="Times New Roman"/>
          <w:b/>
          <w:sz w:val="21"/>
          <w:szCs w:val="21"/>
        </w:rPr>
        <w:t>4</w:t>
      </w:r>
      <w:r>
        <w:rPr>
          <w:rFonts w:ascii="Times New Roman" w:hAnsi="Times New Roman" w:cs="Times New Roman"/>
          <w:b/>
          <w:sz w:val="21"/>
          <w:szCs w:val="24"/>
        </w:rPr>
        <w:t>.</w:t>
      </w:r>
      <w:r>
        <w:rPr>
          <w:rFonts w:ascii="Times New Roman" w:hAnsi="Times New Roman" w:eastAsia="黑体" w:cs="Times New Roman"/>
          <w:b/>
          <w:sz w:val="21"/>
          <w:szCs w:val="21"/>
        </w:rPr>
        <w:t>2</w:t>
      </w:r>
      <w:r>
        <w:rPr>
          <w:rFonts w:ascii="Times New Roman" w:hAnsi="Times New Roman" w:cs="Times New Roman"/>
          <w:b/>
          <w:sz w:val="21"/>
          <w:szCs w:val="24"/>
        </w:rPr>
        <w:t>.</w:t>
      </w:r>
      <w:r>
        <w:rPr>
          <w:rFonts w:ascii="Times New Roman" w:hAnsi="Times New Roman" w:eastAsia="黑体" w:cs="Times New Roman"/>
          <w:b/>
          <w:sz w:val="21"/>
          <w:szCs w:val="21"/>
        </w:rPr>
        <w:t>7</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采用计及条块间作用力方法时，</w:t>
      </w:r>
      <w:r>
        <w:rPr>
          <w:rFonts w:ascii="Times New Roman" w:hAnsi="Times New Roman" w:cs="Times New Roman"/>
          <w:bCs/>
          <w:spacing w:val="4"/>
          <w:sz w:val="21"/>
          <w:szCs w:val="21"/>
        </w:rPr>
        <w:t>淤地坝坝坡抗滑稳定的安全系数，不应小于表4.2.7规定的数值。</w:t>
      </w:r>
    </w:p>
    <w:p w14:paraId="09C74F31">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7  淤地坝抗滑稳定安全系数</w:t>
      </w:r>
    </w:p>
    <w:tbl>
      <w:tblPr>
        <w:tblStyle w:val="10"/>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02"/>
        <w:gridCol w:w="2354"/>
        <w:gridCol w:w="2174"/>
        <w:gridCol w:w="1543"/>
      </w:tblGrid>
      <w:tr w14:paraId="7F127A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1331" w:type="pct"/>
            <w:vMerge w:val="restart"/>
            <w:vAlign w:val="center"/>
          </w:tcPr>
          <w:p w14:paraId="78BF23E1">
            <w:pPr>
              <w:snapToGrid w:val="0"/>
              <w:jc w:val="center"/>
              <w:rPr>
                <w:rFonts w:ascii="Times New Roman" w:hAnsi="Times New Roman" w:cs="Times New Roman"/>
                <w:sz w:val="15"/>
                <w:szCs w:val="15"/>
              </w:rPr>
            </w:pPr>
            <w:r>
              <w:rPr>
                <w:rFonts w:ascii="Times New Roman" w:hAnsi="Times New Roman" w:cs="Times New Roman"/>
                <w:sz w:val="15"/>
                <w:szCs w:val="15"/>
              </w:rPr>
              <w:t>荷载组合或运用状况</w:t>
            </w:r>
          </w:p>
        </w:tc>
        <w:tc>
          <w:tcPr>
            <w:tcW w:w="2737" w:type="pct"/>
            <w:gridSpan w:val="2"/>
            <w:vAlign w:val="center"/>
          </w:tcPr>
          <w:p w14:paraId="04FF66AD">
            <w:pPr>
              <w:snapToGrid w:val="0"/>
              <w:jc w:val="center"/>
              <w:rPr>
                <w:rFonts w:ascii="Times New Roman" w:hAnsi="Times New Roman" w:cs="Times New Roman"/>
                <w:sz w:val="15"/>
                <w:szCs w:val="15"/>
              </w:rPr>
            </w:pPr>
            <w:r>
              <w:rPr>
                <w:rFonts w:ascii="Times New Roman" w:hAnsi="Times New Roman" w:cs="Times New Roman"/>
                <w:sz w:val="15"/>
                <w:szCs w:val="15"/>
              </w:rPr>
              <w:t>碾压坝</w:t>
            </w:r>
          </w:p>
        </w:tc>
        <w:tc>
          <w:tcPr>
            <w:tcW w:w="932" w:type="pct"/>
            <w:vMerge w:val="restart"/>
            <w:vAlign w:val="center"/>
          </w:tcPr>
          <w:p w14:paraId="1C7EA82E">
            <w:pPr>
              <w:snapToGrid w:val="0"/>
              <w:jc w:val="center"/>
              <w:rPr>
                <w:rFonts w:ascii="Times New Roman" w:hAnsi="Times New Roman" w:cs="Times New Roman"/>
                <w:sz w:val="15"/>
                <w:szCs w:val="15"/>
              </w:rPr>
            </w:pPr>
            <w:r>
              <w:rPr>
                <w:rFonts w:ascii="Times New Roman" w:hAnsi="Times New Roman" w:cs="Times New Roman"/>
                <w:sz w:val="15"/>
                <w:szCs w:val="15"/>
              </w:rPr>
              <w:t>水坠坝</w:t>
            </w:r>
          </w:p>
        </w:tc>
      </w:tr>
      <w:tr w14:paraId="60DF8B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6" w:hRule="atLeast"/>
        </w:trPr>
        <w:tc>
          <w:tcPr>
            <w:tcW w:w="1331" w:type="pct"/>
            <w:vMerge w:val="continue"/>
            <w:vAlign w:val="center"/>
          </w:tcPr>
          <w:p w14:paraId="00F77BB2">
            <w:pPr>
              <w:snapToGrid w:val="0"/>
              <w:jc w:val="center"/>
              <w:rPr>
                <w:rFonts w:ascii="Times New Roman" w:hAnsi="Times New Roman" w:cs="Times New Roman"/>
                <w:sz w:val="15"/>
                <w:szCs w:val="15"/>
              </w:rPr>
            </w:pPr>
          </w:p>
        </w:tc>
        <w:tc>
          <w:tcPr>
            <w:tcW w:w="1423" w:type="pct"/>
            <w:vAlign w:val="center"/>
          </w:tcPr>
          <w:p w14:paraId="1C5C4C21">
            <w:pPr>
              <w:snapToGrid w:val="0"/>
              <w:jc w:val="center"/>
              <w:rPr>
                <w:rFonts w:ascii="Times New Roman" w:hAnsi="Times New Roman" w:cs="Times New Roman"/>
                <w:sz w:val="15"/>
                <w:szCs w:val="15"/>
              </w:rPr>
            </w:pPr>
            <w:r>
              <w:rPr>
                <w:rFonts w:ascii="Times New Roman" w:hAnsi="Times New Roman" w:cs="Times New Roman"/>
                <w:sz w:val="15"/>
                <w:szCs w:val="15"/>
              </w:rPr>
              <w:t>1、2级</w:t>
            </w:r>
          </w:p>
        </w:tc>
        <w:tc>
          <w:tcPr>
            <w:tcW w:w="1314" w:type="pct"/>
            <w:vAlign w:val="center"/>
          </w:tcPr>
          <w:p w14:paraId="1843BCA4">
            <w:pPr>
              <w:snapToGrid w:val="0"/>
              <w:jc w:val="center"/>
              <w:rPr>
                <w:rFonts w:ascii="Times New Roman" w:hAnsi="Times New Roman" w:cs="Times New Roman"/>
                <w:sz w:val="15"/>
                <w:szCs w:val="15"/>
              </w:rPr>
            </w:pPr>
            <w:r>
              <w:rPr>
                <w:rFonts w:ascii="Times New Roman" w:hAnsi="Times New Roman" w:cs="Times New Roman"/>
                <w:sz w:val="15"/>
                <w:szCs w:val="15"/>
              </w:rPr>
              <w:t>3、4级</w:t>
            </w:r>
          </w:p>
        </w:tc>
        <w:tc>
          <w:tcPr>
            <w:tcW w:w="932" w:type="pct"/>
            <w:vMerge w:val="continue"/>
            <w:vAlign w:val="center"/>
          </w:tcPr>
          <w:p w14:paraId="399F82C4">
            <w:pPr>
              <w:snapToGrid w:val="0"/>
              <w:jc w:val="center"/>
              <w:rPr>
                <w:rFonts w:ascii="Times New Roman" w:hAnsi="Times New Roman" w:cs="Times New Roman"/>
                <w:sz w:val="15"/>
                <w:szCs w:val="15"/>
              </w:rPr>
            </w:pPr>
          </w:p>
        </w:tc>
      </w:tr>
      <w:tr w14:paraId="77D48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1331" w:type="pct"/>
            <w:vAlign w:val="center"/>
          </w:tcPr>
          <w:p w14:paraId="2BAF7F00">
            <w:pPr>
              <w:snapToGrid w:val="0"/>
              <w:jc w:val="center"/>
              <w:rPr>
                <w:rFonts w:ascii="Times New Roman" w:hAnsi="Times New Roman" w:cs="Times New Roman"/>
                <w:sz w:val="15"/>
                <w:szCs w:val="15"/>
              </w:rPr>
            </w:pPr>
            <w:r>
              <w:rPr>
                <w:rFonts w:ascii="Times New Roman" w:hAnsi="Times New Roman" w:cs="Times New Roman"/>
                <w:sz w:val="15"/>
                <w:szCs w:val="15"/>
              </w:rPr>
              <w:t>正常运用</w:t>
            </w:r>
          </w:p>
        </w:tc>
        <w:tc>
          <w:tcPr>
            <w:tcW w:w="1423" w:type="pct"/>
            <w:vAlign w:val="center"/>
          </w:tcPr>
          <w:p w14:paraId="159B0A05">
            <w:pPr>
              <w:snapToGrid w:val="0"/>
              <w:jc w:val="center"/>
              <w:rPr>
                <w:rFonts w:ascii="Times New Roman" w:hAnsi="Times New Roman" w:cs="Times New Roman"/>
                <w:sz w:val="15"/>
                <w:szCs w:val="15"/>
              </w:rPr>
            </w:pPr>
            <w:r>
              <w:rPr>
                <w:rFonts w:ascii="Times New Roman" w:hAnsi="Times New Roman" w:cs="Times New Roman"/>
                <w:sz w:val="15"/>
                <w:szCs w:val="15"/>
              </w:rPr>
              <w:t>1.25</w:t>
            </w:r>
          </w:p>
        </w:tc>
        <w:tc>
          <w:tcPr>
            <w:tcW w:w="1314" w:type="pct"/>
            <w:vAlign w:val="center"/>
          </w:tcPr>
          <w:p w14:paraId="721D6D3B">
            <w:pPr>
              <w:snapToGrid w:val="0"/>
              <w:jc w:val="center"/>
              <w:rPr>
                <w:rFonts w:ascii="Times New Roman" w:hAnsi="Times New Roman" w:cs="Times New Roman"/>
                <w:sz w:val="15"/>
                <w:szCs w:val="15"/>
              </w:rPr>
            </w:pPr>
            <w:r>
              <w:rPr>
                <w:rFonts w:ascii="Times New Roman" w:hAnsi="Times New Roman" w:cs="Times New Roman"/>
                <w:sz w:val="15"/>
                <w:szCs w:val="15"/>
              </w:rPr>
              <w:t>1.20</w:t>
            </w:r>
          </w:p>
        </w:tc>
        <w:tc>
          <w:tcPr>
            <w:tcW w:w="932" w:type="pct"/>
            <w:vAlign w:val="center"/>
          </w:tcPr>
          <w:p w14:paraId="1A8F86C8">
            <w:pPr>
              <w:snapToGrid w:val="0"/>
              <w:jc w:val="center"/>
              <w:rPr>
                <w:rFonts w:ascii="Times New Roman" w:hAnsi="Times New Roman" w:cs="Times New Roman"/>
                <w:sz w:val="15"/>
                <w:szCs w:val="15"/>
              </w:rPr>
            </w:pPr>
            <w:r>
              <w:rPr>
                <w:rFonts w:ascii="Times New Roman" w:hAnsi="Times New Roman" w:cs="Times New Roman"/>
                <w:sz w:val="15"/>
                <w:szCs w:val="15"/>
              </w:rPr>
              <w:t>1.25</w:t>
            </w:r>
          </w:p>
        </w:tc>
      </w:tr>
      <w:tr w14:paraId="13BF0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 w:hRule="atLeast"/>
        </w:trPr>
        <w:tc>
          <w:tcPr>
            <w:tcW w:w="1331" w:type="pct"/>
            <w:vAlign w:val="center"/>
          </w:tcPr>
          <w:p w14:paraId="1E551811">
            <w:pPr>
              <w:snapToGrid w:val="0"/>
              <w:jc w:val="center"/>
              <w:rPr>
                <w:rFonts w:ascii="Times New Roman" w:hAnsi="Times New Roman" w:cs="Times New Roman"/>
                <w:sz w:val="15"/>
                <w:szCs w:val="15"/>
              </w:rPr>
            </w:pPr>
            <w:r>
              <w:rPr>
                <w:rFonts w:ascii="Times New Roman" w:hAnsi="Times New Roman" w:cs="Times New Roman"/>
                <w:sz w:val="15"/>
                <w:szCs w:val="15"/>
              </w:rPr>
              <w:t>非常运用</w:t>
            </w:r>
            <w:r>
              <w:rPr>
                <w:rFonts w:ascii="Times New Roman" w:hAnsi="Times New Roman" w:cs="Times New Roman"/>
                <w:sz w:val="15"/>
                <w:szCs w:val="15"/>
              </w:rPr>
              <w:fldChar w:fldCharType="begin"/>
            </w:r>
            <w:r>
              <w:rPr>
                <w:rFonts w:ascii="Times New Roman" w:hAnsi="Times New Roman" w:cs="Times New Roman"/>
                <w:sz w:val="15"/>
                <w:szCs w:val="15"/>
              </w:rPr>
              <w:instrText xml:space="preserve"> = 1 \* ROMAN </w:instrText>
            </w:r>
            <w:r>
              <w:rPr>
                <w:rFonts w:ascii="Times New Roman" w:hAnsi="Times New Roman" w:cs="Times New Roman"/>
                <w:sz w:val="15"/>
                <w:szCs w:val="15"/>
              </w:rPr>
              <w:fldChar w:fldCharType="separate"/>
            </w:r>
            <w:r>
              <w:rPr>
                <w:rFonts w:ascii="Times New Roman" w:hAnsi="Times New Roman" w:cs="Times New Roman"/>
                <w:sz w:val="15"/>
                <w:szCs w:val="15"/>
              </w:rPr>
              <w:t>I</w:t>
            </w:r>
            <w:r>
              <w:rPr>
                <w:rFonts w:ascii="Times New Roman" w:hAnsi="Times New Roman" w:cs="Times New Roman"/>
                <w:sz w:val="15"/>
                <w:szCs w:val="15"/>
              </w:rPr>
              <w:fldChar w:fldCharType="end"/>
            </w:r>
            <w:r>
              <w:rPr>
                <w:rFonts w:ascii="Times New Roman" w:hAnsi="Times New Roman" w:cs="Times New Roman"/>
                <w:sz w:val="15"/>
                <w:szCs w:val="15"/>
              </w:rPr>
              <w:t>(施工期工况、校核洪水位工况)</w:t>
            </w:r>
          </w:p>
        </w:tc>
        <w:tc>
          <w:tcPr>
            <w:tcW w:w="1423" w:type="pct"/>
            <w:vAlign w:val="center"/>
          </w:tcPr>
          <w:p w14:paraId="47F672FB">
            <w:pPr>
              <w:snapToGrid w:val="0"/>
              <w:jc w:val="center"/>
              <w:rPr>
                <w:rFonts w:ascii="Times New Roman" w:hAnsi="Times New Roman" w:cs="Times New Roman"/>
                <w:sz w:val="15"/>
                <w:szCs w:val="15"/>
              </w:rPr>
            </w:pPr>
            <w:r>
              <w:rPr>
                <w:rFonts w:ascii="Times New Roman" w:hAnsi="Times New Roman" w:cs="Times New Roman"/>
                <w:sz w:val="15"/>
                <w:szCs w:val="15"/>
              </w:rPr>
              <w:t>1.15</w:t>
            </w:r>
          </w:p>
        </w:tc>
        <w:tc>
          <w:tcPr>
            <w:tcW w:w="1314" w:type="pct"/>
            <w:vAlign w:val="center"/>
          </w:tcPr>
          <w:p w14:paraId="57EF9B25">
            <w:pPr>
              <w:snapToGrid w:val="0"/>
              <w:jc w:val="center"/>
              <w:rPr>
                <w:rFonts w:ascii="Times New Roman" w:hAnsi="Times New Roman" w:cs="Times New Roman"/>
                <w:sz w:val="15"/>
                <w:szCs w:val="15"/>
              </w:rPr>
            </w:pPr>
            <w:r>
              <w:rPr>
                <w:rFonts w:ascii="Times New Roman" w:hAnsi="Times New Roman" w:cs="Times New Roman"/>
                <w:sz w:val="15"/>
                <w:szCs w:val="15"/>
              </w:rPr>
              <w:t>1.10</w:t>
            </w:r>
          </w:p>
        </w:tc>
        <w:tc>
          <w:tcPr>
            <w:tcW w:w="932" w:type="pct"/>
            <w:vAlign w:val="center"/>
          </w:tcPr>
          <w:p w14:paraId="1B762CFA">
            <w:pPr>
              <w:snapToGrid w:val="0"/>
              <w:jc w:val="center"/>
              <w:rPr>
                <w:rFonts w:ascii="Times New Roman" w:hAnsi="Times New Roman" w:cs="Times New Roman"/>
                <w:sz w:val="15"/>
                <w:szCs w:val="15"/>
              </w:rPr>
            </w:pPr>
            <w:r>
              <w:rPr>
                <w:rFonts w:ascii="Times New Roman" w:hAnsi="Times New Roman" w:cs="Times New Roman"/>
                <w:sz w:val="15"/>
                <w:szCs w:val="15"/>
              </w:rPr>
              <w:t>1.15</w:t>
            </w:r>
          </w:p>
        </w:tc>
      </w:tr>
      <w:tr w14:paraId="5A4809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 w:hRule="atLeast"/>
        </w:trPr>
        <w:tc>
          <w:tcPr>
            <w:tcW w:w="1331" w:type="pct"/>
            <w:vAlign w:val="center"/>
          </w:tcPr>
          <w:p w14:paraId="40ED6930">
            <w:pPr>
              <w:snapToGrid w:val="0"/>
              <w:jc w:val="center"/>
              <w:rPr>
                <w:rFonts w:ascii="Times New Roman" w:hAnsi="Times New Roman" w:cs="Times New Roman"/>
                <w:sz w:val="15"/>
                <w:szCs w:val="15"/>
              </w:rPr>
            </w:pPr>
            <w:r>
              <w:rPr>
                <w:rFonts w:ascii="Times New Roman" w:hAnsi="Times New Roman" w:cs="Times New Roman"/>
                <w:sz w:val="15"/>
                <w:szCs w:val="15"/>
              </w:rPr>
              <w:t>非常运用</w:t>
            </w:r>
            <w:r>
              <w:rPr>
                <w:rFonts w:ascii="Times New Roman" w:hAnsi="Times New Roman" w:cs="Times New Roman"/>
                <w:sz w:val="15"/>
                <w:szCs w:val="15"/>
              </w:rPr>
              <w:fldChar w:fldCharType="begin"/>
            </w:r>
            <w:r>
              <w:rPr>
                <w:rFonts w:ascii="Times New Roman" w:hAnsi="Times New Roman" w:cs="Times New Roman"/>
                <w:sz w:val="15"/>
                <w:szCs w:val="15"/>
              </w:rPr>
              <w:instrText xml:space="preserve"> = 2 \* ROMAN </w:instrText>
            </w:r>
            <w:r>
              <w:rPr>
                <w:rFonts w:ascii="Times New Roman" w:hAnsi="Times New Roman" w:cs="Times New Roman"/>
                <w:sz w:val="15"/>
                <w:szCs w:val="15"/>
              </w:rPr>
              <w:fldChar w:fldCharType="separate"/>
            </w:r>
            <w:r>
              <w:rPr>
                <w:rFonts w:ascii="Times New Roman" w:hAnsi="Times New Roman" w:cs="Times New Roman"/>
                <w:sz w:val="15"/>
                <w:szCs w:val="15"/>
              </w:rPr>
              <w:t>II</w:t>
            </w:r>
            <w:r>
              <w:rPr>
                <w:rFonts w:ascii="Times New Roman" w:hAnsi="Times New Roman" w:cs="Times New Roman"/>
                <w:sz w:val="15"/>
                <w:szCs w:val="15"/>
              </w:rPr>
              <w:fldChar w:fldCharType="end"/>
            </w:r>
            <w:r>
              <w:rPr>
                <w:rFonts w:ascii="Times New Roman" w:hAnsi="Times New Roman" w:cs="Times New Roman"/>
                <w:sz w:val="15"/>
                <w:szCs w:val="15"/>
              </w:rPr>
              <w:t>(正常运用遭遇地震工况)</w:t>
            </w:r>
          </w:p>
        </w:tc>
        <w:tc>
          <w:tcPr>
            <w:tcW w:w="1423" w:type="pct"/>
            <w:vAlign w:val="center"/>
          </w:tcPr>
          <w:p w14:paraId="70F7D93C">
            <w:pPr>
              <w:snapToGrid w:val="0"/>
              <w:jc w:val="center"/>
              <w:rPr>
                <w:rFonts w:ascii="Times New Roman" w:hAnsi="Times New Roman" w:cs="Times New Roman"/>
                <w:sz w:val="15"/>
                <w:szCs w:val="15"/>
              </w:rPr>
            </w:pPr>
            <w:r>
              <w:rPr>
                <w:rFonts w:ascii="Times New Roman" w:hAnsi="Times New Roman" w:cs="Times New Roman"/>
                <w:sz w:val="15"/>
                <w:szCs w:val="15"/>
              </w:rPr>
              <w:t>1.10</w:t>
            </w:r>
          </w:p>
        </w:tc>
        <w:tc>
          <w:tcPr>
            <w:tcW w:w="1314" w:type="pct"/>
            <w:vAlign w:val="center"/>
          </w:tcPr>
          <w:p w14:paraId="2ECC2552">
            <w:pPr>
              <w:snapToGrid w:val="0"/>
              <w:jc w:val="center"/>
              <w:rPr>
                <w:rFonts w:ascii="Times New Roman" w:hAnsi="Times New Roman" w:cs="Times New Roman"/>
                <w:sz w:val="15"/>
                <w:szCs w:val="15"/>
              </w:rPr>
            </w:pPr>
            <w:r>
              <w:rPr>
                <w:rFonts w:ascii="Times New Roman" w:hAnsi="Times New Roman" w:cs="Times New Roman"/>
                <w:sz w:val="15"/>
                <w:szCs w:val="15"/>
              </w:rPr>
              <w:t>1.05</w:t>
            </w:r>
          </w:p>
        </w:tc>
        <w:tc>
          <w:tcPr>
            <w:tcW w:w="932" w:type="pct"/>
            <w:vAlign w:val="center"/>
          </w:tcPr>
          <w:p w14:paraId="1C8406B2">
            <w:pPr>
              <w:snapToGrid w:val="0"/>
              <w:jc w:val="center"/>
              <w:rPr>
                <w:rFonts w:ascii="Times New Roman" w:hAnsi="Times New Roman" w:cs="Times New Roman"/>
                <w:sz w:val="15"/>
                <w:szCs w:val="15"/>
              </w:rPr>
            </w:pPr>
            <w:r>
              <w:rPr>
                <w:rFonts w:ascii="Times New Roman" w:hAnsi="Times New Roman" w:cs="Times New Roman"/>
                <w:sz w:val="15"/>
                <w:szCs w:val="15"/>
              </w:rPr>
              <w:t>1.10</w:t>
            </w:r>
          </w:p>
        </w:tc>
      </w:tr>
    </w:tbl>
    <w:p w14:paraId="589A79D0">
      <w:pPr>
        <w:ind w:firstLine="300" w:firstLineChars="200"/>
        <w:rPr>
          <w:rFonts w:ascii="Times New Roman" w:hAnsi="Times New Roman" w:cs="Times New Roman"/>
          <w:sz w:val="15"/>
          <w:szCs w:val="15"/>
        </w:rPr>
      </w:pPr>
      <w:r>
        <w:rPr>
          <w:rFonts w:ascii="Times New Roman" w:hAnsi="Times New Roman" w:cs="Times New Roman"/>
          <w:sz w:val="15"/>
          <w:szCs w:val="15"/>
        </w:rPr>
        <w:t>注：采用不计及条块间作用力的瑞典圆弧法计算时，抗滑稳定安全系数数值应降低8%。</w:t>
      </w:r>
    </w:p>
    <w:p w14:paraId="7A2D3AE2">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4"/>
        </w:rPr>
        <w:t>.</w:t>
      </w:r>
      <w:r>
        <w:rPr>
          <w:rFonts w:ascii="Times New Roman" w:hAnsi="Times New Roman" w:eastAsia="黑体" w:cs="Times New Roman"/>
          <w:b/>
          <w:sz w:val="21"/>
          <w:szCs w:val="21"/>
        </w:rPr>
        <w:t>2</w:t>
      </w:r>
      <w:r>
        <w:rPr>
          <w:rFonts w:ascii="Times New Roman" w:hAnsi="Times New Roman" w:cs="Times New Roman"/>
          <w:b/>
          <w:sz w:val="21"/>
          <w:szCs w:val="24"/>
        </w:rPr>
        <w:t>.</w:t>
      </w:r>
      <w:r>
        <w:rPr>
          <w:rFonts w:ascii="Times New Roman" w:hAnsi="Times New Roman" w:eastAsia="黑体" w:cs="Times New Roman"/>
          <w:b/>
          <w:sz w:val="21"/>
          <w:szCs w:val="21"/>
        </w:rPr>
        <w:t>8</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总库容大于500万m</w:t>
      </w:r>
      <w:r>
        <w:rPr>
          <w:rFonts w:ascii="Times New Roman" w:hAnsi="Times New Roman" w:cs="Times New Roman"/>
          <w:sz w:val="21"/>
          <w:szCs w:val="21"/>
          <w:vertAlign w:val="superscript"/>
        </w:rPr>
        <w:t>3</w:t>
      </w:r>
      <w:r>
        <w:rPr>
          <w:rFonts w:ascii="Times New Roman" w:hAnsi="Times New Roman" w:cs="Times New Roman"/>
          <w:sz w:val="21"/>
          <w:szCs w:val="21"/>
        </w:rPr>
        <w:t>以及土石（浆砌石）坝坝高大于30m的淤地坝，应按水利工程土石坝、浆砌石坝等规范设计。</w:t>
      </w:r>
    </w:p>
    <w:p w14:paraId="5D4A86D0">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Ⅲ 拦沙坝工程</w:t>
      </w:r>
    </w:p>
    <w:p w14:paraId="01C9E21E">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4"/>
        </w:rPr>
        <w:t>.</w:t>
      </w:r>
      <w:r>
        <w:rPr>
          <w:rFonts w:ascii="Times New Roman" w:hAnsi="Times New Roman" w:eastAsia="黑体" w:cs="Times New Roman"/>
          <w:b/>
          <w:sz w:val="21"/>
          <w:szCs w:val="21"/>
        </w:rPr>
        <w:t>2</w:t>
      </w:r>
      <w:r>
        <w:rPr>
          <w:rFonts w:ascii="Times New Roman" w:hAnsi="Times New Roman" w:cs="Times New Roman"/>
          <w:b/>
          <w:sz w:val="21"/>
          <w:szCs w:val="24"/>
        </w:rPr>
        <w:t>.</w:t>
      </w:r>
      <w:r>
        <w:rPr>
          <w:rFonts w:ascii="Times New Roman" w:hAnsi="Times New Roman" w:eastAsia="黑体" w:cs="Times New Roman"/>
          <w:b/>
          <w:sz w:val="21"/>
          <w:szCs w:val="21"/>
        </w:rPr>
        <w:t>9</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拦沙坝工程等别及建筑物级别应符合下列规定：</w:t>
      </w:r>
    </w:p>
    <w:p w14:paraId="38C512BF">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1</w:t>
      </w:r>
      <w:r>
        <w:rPr>
          <w:rFonts w:hint="eastAsia" w:ascii="Times New Roman" w:hAnsi="Times New Roman" w:eastAsia="黑体" w:cs="Times New Roman"/>
          <w:b/>
          <w:sz w:val="21"/>
          <w:szCs w:val="21"/>
        </w:rPr>
        <w:t xml:space="preserve">  </w:t>
      </w:r>
      <w:r>
        <w:rPr>
          <w:rFonts w:ascii="Times New Roman" w:hAnsi="Times New Roman" w:cs="Times New Roman"/>
          <w:sz w:val="21"/>
          <w:szCs w:val="21"/>
        </w:rPr>
        <w:t>拦沙坝工程等别应根据表4.2.9-1确定。当坝高大于15m，或库容大于50万m</w:t>
      </w:r>
      <w:r>
        <w:rPr>
          <w:rFonts w:ascii="Times New Roman" w:hAnsi="Times New Roman" w:cs="Times New Roman"/>
          <w:sz w:val="21"/>
          <w:szCs w:val="21"/>
          <w:vertAlign w:val="superscript"/>
        </w:rPr>
        <w:t>3</w:t>
      </w:r>
      <w:r>
        <w:rPr>
          <w:rFonts w:ascii="Times New Roman" w:hAnsi="Times New Roman" w:cs="Times New Roman"/>
          <w:sz w:val="21"/>
          <w:szCs w:val="21"/>
        </w:rPr>
        <w:t>时，应专门论证。</w:t>
      </w:r>
    </w:p>
    <w:p w14:paraId="087DDD61">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9-1  拦沙坝工程等别</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1480"/>
        <w:gridCol w:w="1485"/>
        <w:gridCol w:w="1597"/>
        <w:gridCol w:w="1422"/>
        <w:gridCol w:w="1428"/>
      </w:tblGrid>
      <w:tr w14:paraId="75A155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vMerge w:val="restart"/>
            <w:vAlign w:val="center"/>
          </w:tcPr>
          <w:p w14:paraId="698ADE46">
            <w:pPr>
              <w:snapToGrid w:val="0"/>
              <w:jc w:val="center"/>
              <w:rPr>
                <w:rFonts w:ascii="Times New Roman" w:hAnsi="Times New Roman" w:cs="Times New Roman"/>
                <w:sz w:val="15"/>
                <w:szCs w:val="15"/>
              </w:rPr>
            </w:pPr>
            <w:r>
              <w:rPr>
                <w:rFonts w:ascii="Times New Roman" w:hAnsi="Times New Roman" w:cs="Times New Roman"/>
                <w:sz w:val="15"/>
                <w:szCs w:val="15"/>
              </w:rPr>
              <w:t>工程等别</w:t>
            </w:r>
          </w:p>
        </w:tc>
        <w:tc>
          <w:tcPr>
            <w:tcW w:w="894" w:type="pct"/>
            <w:vMerge w:val="restart"/>
            <w:vAlign w:val="center"/>
          </w:tcPr>
          <w:p w14:paraId="11CFE35C">
            <w:pPr>
              <w:snapToGrid w:val="0"/>
              <w:jc w:val="center"/>
              <w:rPr>
                <w:rFonts w:ascii="Times New Roman" w:hAnsi="Times New Roman" w:cs="Times New Roman"/>
                <w:sz w:val="15"/>
                <w:szCs w:val="15"/>
              </w:rPr>
            </w:pPr>
            <w:r>
              <w:rPr>
                <w:rFonts w:ascii="Times New Roman" w:hAnsi="Times New Roman" w:cs="Times New Roman"/>
                <w:sz w:val="15"/>
                <w:szCs w:val="15"/>
              </w:rPr>
              <w:t>坝高(m)</w:t>
            </w:r>
          </w:p>
        </w:tc>
        <w:tc>
          <w:tcPr>
            <w:tcW w:w="897" w:type="pct"/>
            <w:vMerge w:val="restart"/>
            <w:vAlign w:val="center"/>
          </w:tcPr>
          <w:p w14:paraId="1F1F2AA8">
            <w:pPr>
              <w:snapToGrid w:val="0"/>
              <w:jc w:val="center"/>
              <w:rPr>
                <w:rFonts w:ascii="Times New Roman" w:hAnsi="Times New Roman" w:cs="Times New Roman"/>
                <w:sz w:val="15"/>
                <w:szCs w:val="15"/>
              </w:rPr>
            </w:pPr>
            <w:r>
              <w:rPr>
                <w:rFonts w:ascii="Times New Roman" w:hAnsi="Times New Roman" w:cs="Times New Roman"/>
                <w:sz w:val="15"/>
                <w:szCs w:val="15"/>
              </w:rPr>
              <w:t>库容(10</w:t>
            </w:r>
            <w:r>
              <w:rPr>
                <w:rFonts w:ascii="Times New Roman" w:hAnsi="Times New Roman" w:cs="Times New Roman"/>
                <w:sz w:val="15"/>
                <w:szCs w:val="15"/>
                <w:vertAlign w:val="superscript"/>
              </w:rPr>
              <w:t>4</w:t>
            </w:r>
            <w:r>
              <w:rPr>
                <w:rFonts w:ascii="Times New Roman" w:hAnsi="Times New Roman" w:cs="Times New Roman"/>
                <w:sz w:val="15"/>
                <w:szCs w:val="15"/>
              </w:rPr>
              <w:t>m</w:t>
            </w:r>
            <w:r>
              <w:rPr>
                <w:rFonts w:ascii="Times New Roman" w:hAnsi="Times New Roman" w:cs="Times New Roman"/>
                <w:sz w:val="15"/>
                <w:szCs w:val="15"/>
                <w:vertAlign w:val="superscript"/>
              </w:rPr>
              <w:t>3</w:t>
            </w:r>
            <w:r>
              <w:rPr>
                <w:rFonts w:ascii="Times New Roman" w:hAnsi="Times New Roman" w:cs="Times New Roman"/>
                <w:sz w:val="15"/>
                <w:szCs w:val="15"/>
              </w:rPr>
              <w:t>)</w:t>
            </w:r>
          </w:p>
        </w:tc>
        <w:tc>
          <w:tcPr>
            <w:tcW w:w="2687" w:type="pct"/>
            <w:gridSpan w:val="3"/>
            <w:vAlign w:val="center"/>
          </w:tcPr>
          <w:p w14:paraId="4550CE20">
            <w:pPr>
              <w:snapToGrid w:val="0"/>
              <w:jc w:val="center"/>
              <w:rPr>
                <w:rFonts w:ascii="Times New Roman" w:hAnsi="Times New Roman" w:cs="Times New Roman"/>
                <w:sz w:val="15"/>
                <w:szCs w:val="15"/>
              </w:rPr>
            </w:pPr>
            <w:r>
              <w:rPr>
                <w:rFonts w:ascii="Times New Roman" w:hAnsi="Times New Roman" w:cs="Times New Roman"/>
                <w:sz w:val="15"/>
                <w:szCs w:val="15"/>
              </w:rPr>
              <w:t>保护对象</w:t>
            </w:r>
          </w:p>
        </w:tc>
      </w:tr>
      <w:tr w14:paraId="220800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vMerge w:val="continue"/>
            <w:vAlign w:val="center"/>
          </w:tcPr>
          <w:p w14:paraId="6A21A684">
            <w:pPr>
              <w:snapToGrid w:val="0"/>
              <w:jc w:val="center"/>
              <w:rPr>
                <w:rFonts w:ascii="Times New Roman" w:hAnsi="Times New Roman" w:cs="Times New Roman"/>
                <w:sz w:val="15"/>
                <w:szCs w:val="15"/>
              </w:rPr>
            </w:pPr>
          </w:p>
        </w:tc>
        <w:tc>
          <w:tcPr>
            <w:tcW w:w="894" w:type="pct"/>
            <w:vMerge w:val="continue"/>
            <w:vAlign w:val="center"/>
          </w:tcPr>
          <w:p w14:paraId="1F3513BC">
            <w:pPr>
              <w:snapToGrid w:val="0"/>
              <w:jc w:val="center"/>
              <w:rPr>
                <w:rFonts w:ascii="Times New Roman" w:hAnsi="Times New Roman" w:cs="Times New Roman"/>
                <w:sz w:val="15"/>
                <w:szCs w:val="15"/>
              </w:rPr>
            </w:pPr>
          </w:p>
        </w:tc>
        <w:tc>
          <w:tcPr>
            <w:tcW w:w="897" w:type="pct"/>
            <w:vMerge w:val="continue"/>
            <w:vAlign w:val="center"/>
          </w:tcPr>
          <w:p w14:paraId="20B6FAFD">
            <w:pPr>
              <w:snapToGrid w:val="0"/>
              <w:jc w:val="center"/>
              <w:rPr>
                <w:rFonts w:ascii="Times New Roman" w:hAnsi="Times New Roman" w:cs="Times New Roman"/>
                <w:sz w:val="15"/>
                <w:szCs w:val="15"/>
              </w:rPr>
            </w:pPr>
          </w:p>
        </w:tc>
        <w:tc>
          <w:tcPr>
            <w:tcW w:w="965" w:type="pct"/>
            <w:vAlign w:val="center"/>
          </w:tcPr>
          <w:p w14:paraId="2E54F260">
            <w:pPr>
              <w:snapToGrid w:val="0"/>
              <w:jc w:val="center"/>
              <w:rPr>
                <w:rFonts w:ascii="Times New Roman" w:hAnsi="Times New Roman" w:cs="Times New Roman"/>
                <w:sz w:val="15"/>
                <w:szCs w:val="15"/>
              </w:rPr>
            </w:pPr>
            <w:r>
              <w:rPr>
                <w:rFonts w:ascii="Times New Roman" w:hAnsi="Times New Roman" w:cs="Times New Roman"/>
                <w:sz w:val="15"/>
                <w:szCs w:val="15"/>
              </w:rPr>
              <w:t>经济设施的重要性</w:t>
            </w:r>
          </w:p>
        </w:tc>
        <w:tc>
          <w:tcPr>
            <w:tcW w:w="859" w:type="pct"/>
            <w:vAlign w:val="center"/>
          </w:tcPr>
          <w:p w14:paraId="62ABCFDF">
            <w:pPr>
              <w:snapToGrid w:val="0"/>
              <w:jc w:val="center"/>
              <w:rPr>
                <w:rFonts w:ascii="Times New Roman" w:hAnsi="Times New Roman" w:cs="Times New Roman"/>
                <w:sz w:val="15"/>
                <w:szCs w:val="15"/>
              </w:rPr>
            </w:pPr>
            <w:r>
              <w:rPr>
                <w:rFonts w:ascii="Times New Roman" w:hAnsi="Times New Roman" w:cs="Times New Roman"/>
                <w:sz w:val="15"/>
                <w:szCs w:val="15"/>
              </w:rPr>
              <w:t>保护人口（人）</w:t>
            </w:r>
          </w:p>
        </w:tc>
        <w:tc>
          <w:tcPr>
            <w:tcW w:w="863" w:type="pct"/>
            <w:vAlign w:val="center"/>
          </w:tcPr>
          <w:p w14:paraId="40159FAF">
            <w:pPr>
              <w:snapToGrid w:val="0"/>
              <w:jc w:val="center"/>
              <w:rPr>
                <w:rFonts w:ascii="Times New Roman" w:hAnsi="Times New Roman" w:cs="Times New Roman"/>
                <w:sz w:val="15"/>
                <w:szCs w:val="15"/>
              </w:rPr>
            </w:pPr>
            <w:r>
              <w:rPr>
                <w:rFonts w:ascii="Times New Roman" w:hAnsi="Times New Roman" w:cs="Times New Roman"/>
                <w:sz w:val="15"/>
                <w:szCs w:val="15"/>
              </w:rPr>
              <w:t>保护农田（亩）</w:t>
            </w:r>
          </w:p>
        </w:tc>
      </w:tr>
      <w:tr w14:paraId="422398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22" w:type="pct"/>
            <w:vAlign w:val="center"/>
          </w:tcPr>
          <w:p w14:paraId="5E4BDA8A">
            <w:pPr>
              <w:snapToGrid w:val="0"/>
              <w:jc w:val="center"/>
              <w:rPr>
                <w:rFonts w:ascii="Times New Roman" w:hAnsi="Times New Roman" w:cs="Times New Roman"/>
                <w:sz w:val="15"/>
                <w:szCs w:val="15"/>
              </w:rPr>
            </w:pPr>
            <w:r>
              <w:rPr>
                <w:rFonts w:ascii="Times New Roman" w:hAnsi="Times New Roman" w:cs="Times New Roman"/>
                <w:sz w:val="15"/>
                <w:szCs w:val="15"/>
              </w:rPr>
              <w:t>Ⅰ</w:t>
            </w:r>
          </w:p>
        </w:tc>
        <w:tc>
          <w:tcPr>
            <w:tcW w:w="894" w:type="pct"/>
            <w:vAlign w:val="center"/>
          </w:tcPr>
          <w:p w14:paraId="0E867D69">
            <w:pPr>
              <w:snapToGrid w:val="0"/>
              <w:jc w:val="center"/>
              <w:rPr>
                <w:rFonts w:ascii="Times New Roman" w:hAnsi="Times New Roman" w:cs="Times New Roman"/>
                <w:sz w:val="15"/>
                <w:szCs w:val="15"/>
              </w:rPr>
            </w:pPr>
            <w:r>
              <w:rPr>
                <w:rFonts w:ascii="Times New Roman" w:hAnsi="Times New Roman" w:cs="Times New Roman"/>
                <w:sz w:val="15"/>
                <w:szCs w:val="15"/>
              </w:rPr>
              <w:t>10～15</w:t>
            </w:r>
          </w:p>
        </w:tc>
        <w:tc>
          <w:tcPr>
            <w:tcW w:w="897" w:type="pct"/>
            <w:vAlign w:val="center"/>
          </w:tcPr>
          <w:p w14:paraId="2220E6EB">
            <w:pPr>
              <w:snapToGrid w:val="0"/>
              <w:jc w:val="center"/>
              <w:rPr>
                <w:rFonts w:ascii="Times New Roman" w:hAnsi="Times New Roman" w:cs="Times New Roman"/>
                <w:sz w:val="15"/>
                <w:szCs w:val="15"/>
              </w:rPr>
            </w:pPr>
            <w:r>
              <w:rPr>
                <w:rFonts w:ascii="Times New Roman" w:hAnsi="Times New Roman" w:cs="Times New Roman"/>
                <w:sz w:val="15"/>
                <w:szCs w:val="15"/>
              </w:rPr>
              <w:t>10～50</w:t>
            </w:r>
          </w:p>
        </w:tc>
        <w:tc>
          <w:tcPr>
            <w:tcW w:w="965" w:type="pct"/>
            <w:vAlign w:val="center"/>
          </w:tcPr>
          <w:p w14:paraId="10DE52BC">
            <w:pPr>
              <w:snapToGrid w:val="0"/>
              <w:jc w:val="center"/>
              <w:rPr>
                <w:rFonts w:ascii="Times New Roman" w:hAnsi="Times New Roman" w:cs="Times New Roman"/>
                <w:sz w:val="15"/>
                <w:szCs w:val="15"/>
              </w:rPr>
            </w:pPr>
            <w:r>
              <w:rPr>
                <w:rFonts w:ascii="Times New Roman" w:hAnsi="Times New Roman" w:cs="Times New Roman"/>
                <w:sz w:val="15"/>
                <w:szCs w:val="15"/>
              </w:rPr>
              <w:t>特别重要经济设施</w:t>
            </w:r>
          </w:p>
        </w:tc>
        <w:tc>
          <w:tcPr>
            <w:tcW w:w="859" w:type="pct"/>
            <w:vAlign w:val="center"/>
          </w:tcPr>
          <w:p w14:paraId="001C2FFE">
            <w:pPr>
              <w:snapToGrid w:val="0"/>
              <w:jc w:val="center"/>
              <w:rPr>
                <w:rFonts w:ascii="Times New Roman" w:hAnsi="Times New Roman" w:cs="Times New Roman"/>
                <w:sz w:val="15"/>
                <w:szCs w:val="15"/>
              </w:rPr>
            </w:pPr>
            <w:r>
              <w:rPr>
                <w:rFonts w:ascii="Times New Roman" w:hAnsi="Times New Roman" w:cs="Times New Roman"/>
                <w:sz w:val="15"/>
                <w:szCs w:val="15"/>
              </w:rPr>
              <w:t>≥100</w:t>
            </w:r>
          </w:p>
        </w:tc>
        <w:tc>
          <w:tcPr>
            <w:tcW w:w="863" w:type="pct"/>
            <w:vAlign w:val="center"/>
          </w:tcPr>
          <w:p w14:paraId="4E0216FC">
            <w:pPr>
              <w:snapToGrid w:val="0"/>
              <w:jc w:val="center"/>
              <w:rPr>
                <w:rFonts w:ascii="Times New Roman" w:hAnsi="Times New Roman" w:cs="Times New Roman"/>
                <w:sz w:val="15"/>
                <w:szCs w:val="15"/>
              </w:rPr>
            </w:pPr>
            <w:r>
              <w:rPr>
                <w:rFonts w:ascii="Times New Roman" w:hAnsi="Times New Roman" w:cs="Times New Roman"/>
                <w:sz w:val="15"/>
                <w:szCs w:val="15"/>
              </w:rPr>
              <w:t>≥100</w:t>
            </w:r>
          </w:p>
        </w:tc>
      </w:tr>
      <w:tr w14:paraId="75675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vAlign w:val="center"/>
          </w:tcPr>
          <w:p w14:paraId="062793E3">
            <w:pPr>
              <w:snapToGrid w:val="0"/>
              <w:jc w:val="center"/>
              <w:rPr>
                <w:rFonts w:ascii="Times New Roman" w:hAnsi="Times New Roman" w:cs="Times New Roman"/>
                <w:sz w:val="15"/>
                <w:szCs w:val="15"/>
              </w:rPr>
            </w:pPr>
            <w:r>
              <w:rPr>
                <w:rFonts w:ascii="Times New Roman" w:hAnsi="Times New Roman" w:cs="Times New Roman"/>
                <w:sz w:val="15"/>
                <w:szCs w:val="15"/>
              </w:rPr>
              <w:t>Ⅱ</w:t>
            </w:r>
          </w:p>
        </w:tc>
        <w:tc>
          <w:tcPr>
            <w:tcW w:w="894" w:type="pct"/>
            <w:vAlign w:val="center"/>
          </w:tcPr>
          <w:p w14:paraId="038A3796">
            <w:pPr>
              <w:snapToGrid w:val="0"/>
              <w:jc w:val="center"/>
              <w:rPr>
                <w:rFonts w:ascii="Times New Roman" w:hAnsi="Times New Roman" w:cs="Times New Roman"/>
                <w:sz w:val="15"/>
                <w:szCs w:val="15"/>
              </w:rPr>
            </w:pPr>
            <w:r>
              <w:rPr>
                <w:rFonts w:ascii="Times New Roman" w:hAnsi="Times New Roman" w:cs="Times New Roman"/>
                <w:sz w:val="15"/>
                <w:szCs w:val="15"/>
              </w:rPr>
              <w:t>5～10</w:t>
            </w:r>
          </w:p>
        </w:tc>
        <w:tc>
          <w:tcPr>
            <w:tcW w:w="897" w:type="pct"/>
            <w:vAlign w:val="center"/>
          </w:tcPr>
          <w:p w14:paraId="6B1395F0">
            <w:pPr>
              <w:snapToGrid w:val="0"/>
              <w:jc w:val="center"/>
              <w:rPr>
                <w:rFonts w:ascii="Times New Roman" w:hAnsi="Times New Roman" w:cs="Times New Roman"/>
                <w:sz w:val="15"/>
                <w:szCs w:val="15"/>
              </w:rPr>
            </w:pPr>
            <w:r>
              <w:rPr>
                <w:rFonts w:ascii="Times New Roman" w:hAnsi="Times New Roman" w:cs="Times New Roman"/>
                <w:sz w:val="15"/>
                <w:szCs w:val="15"/>
              </w:rPr>
              <w:t>5～10</w:t>
            </w:r>
          </w:p>
        </w:tc>
        <w:tc>
          <w:tcPr>
            <w:tcW w:w="965" w:type="pct"/>
            <w:vAlign w:val="center"/>
          </w:tcPr>
          <w:p w14:paraId="45C1BDCD">
            <w:pPr>
              <w:snapToGrid w:val="0"/>
              <w:jc w:val="center"/>
              <w:rPr>
                <w:rFonts w:ascii="Times New Roman" w:hAnsi="Times New Roman" w:cs="Times New Roman"/>
                <w:sz w:val="15"/>
                <w:szCs w:val="15"/>
              </w:rPr>
            </w:pPr>
            <w:r>
              <w:rPr>
                <w:rFonts w:ascii="Times New Roman" w:hAnsi="Times New Roman" w:cs="Times New Roman"/>
                <w:sz w:val="15"/>
                <w:szCs w:val="15"/>
              </w:rPr>
              <w:t>重要经济设施</w:t>
            </w:r>
          </w:p>
        </w:tc>
        <w:tc>
          <w:tcPr>
            <w:tcW w:w="859" w:type="pct"/>
            <w:vAlign w:val="center"/>
          </w:tcPr>
          <w:p w14:paraId="638CF0D0">
            <w:pPr>
              <w:snapToGrid w:val="0"/>
              <w:jc w:val="center"/>
              <w:rPr>
                <w:rFonts w:ascii="Times New Roman" w:hAnsi="Times New Roman" w:cs="Times New Roman"/>
                <w:sz w:val="15"/>
                <w:szCs w:val="15"/>
              </w:rPr>
            </w:pPr>
            <w:r>
              <w:rPr>
                <w:rFonts w:ascii="Times New Roman" w:hAnsi="Times New Roman" w:cs="Times New Roman"/>
                <w:sz w:val="15"/>
                <w:szCs w:val="15"/>
              </w:rPr>
              <w:t>＜100</w:t>
            </w:r>
          </w:p>
        </w:tc>
        <w:tc>
          <w:tcPr>
            <w:tcW w:w="863" w:type="pct"/>
            <w:vAlign w:val="center"/>
          </w:tcPr>
          <w:p w14:paraId="6D29B730">
            <w:pPr>
              <w:snapToGrid w:val="0"/>
              <w:jc w:val="center"/>
              <w:rPr>
                <w:rFonts w:ascii="Times New Roman" w:hAnsi="Times New Roman" w:cs="Times New Roman"/>
                <w:sz w:val="15"/>
                <w:szCs w:val="15"/>
              </w:rPr>
            </w:pPr>
            <w:r>
              <w:rPr>
                <w:rFonts w:ascii="Times New Roman" w:hAnsi="Times New Roman" w:cs="Times New Roman"/>
                <w:sz w:val="15"/>
                <w:szCs w:val="15"/>
              </w:rPr>
              <w:t>10～100</w:t>
            </w:r>
          </w:p>
        </w:tc>
      </w:tr>
      <w:tr w14:paraId="086F84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2" w:type="pct"/>
            <w:vAlign w:val="center"/>
          </w:tcPr>
          <w:p w14:paraId="62C0A148">
            <w:pPr>
              <w:snapToGrid w:val="0"/>
              <w:jc w:val="center"/>
              <w:rPr>
                <w:rFonts w:ascii="Times New Roman" w:hAnsi="Times New Roman" w:cs="Times New Roman"/>
                <w:sz w:val="15"/>
                <w:szCs w:val="15"/>
              </w:rPr>
            </w:pPr>
            <w:r>
              <w:rPr>
                <w:rFonts w:ascii="Times New Roman" w:hAnsi="Times New Roman" w:cs="Times New Roman"/>
                <w:sz w:val="15"/>
                <w:szCs w:val="15"/>
              </w:rPr>
              <w:t>Ⅲ</w:t>
            </w:r>
          </w:p>
        </w:tc>
        <w:tc>
          <w:tcPr>
            <w:tcW w:w="894" w:type="pct"/>
            <w:vAlign w:val="center"/>
          </w:tcPr>
          <w:p w14:paraId="2325613A">
            <w:pPr>
              <w:snapToGrid w:val="0"/>
              <w:jc w:val="center"/>
              <w:rPr>
                <w:rFonts w:ascii="Times New Roman" w:hAnsi="Times New Roman" w:cs="Times New Roman"/>
                <w:sz w:val="15"/>
                <w:szCs w:val="15"/>
              </w:rPr>
            </w:pPr>
            <w:r>
              <w:rPr>
                <w:rFonts w:ascii="Times New Roman" w:hAnsi="Times New Roman" w:cs="Times New Roman"/>
                <w:sz w:val="15"/>
                <w:szCs w:val="15"/>
              </w:rPr>
              <w:t>＜5</w:t>
            </w:r>
          </w:p>
        </w:tc>
        <w:tc>
          <w:tcPr>
            <w:tcW w:w="897" w:type="pct"/>
            <w:vAlign w:val="center"/>
          </w:tcPr>
          <w:p w14:paraId="6CBC3584">
            <w:pPr>
              <w:snapToGrid w:val="0"/>
              <w:jc w:val="center"/>
              <w:rPr>
                <w:rFonts w:ascii="Times New Roman" w:hAnsi="Times New Roman" w:cs="Times New Roman"/>
                <w:sz w:val="15"/>
                <w:szCs w:val="15"/>
              </w:rPr>
            </w:pPr>
            <w:r>
              <w:rPr>
                <w:rFonts w:ascii="Times New Roman" w:hAnsi="Times New Roman" w:cs="Times New Roman"/>
                <w:sz w:val="15"/>
                <w:szCs w:val="15"/>
              </w:rPr>
              <w:t>＜5</w:t>
            </w:r>
          </w:p>
        </w:tc>
        <w:tc>
          <w:tcPr>
            <w:tcW w:w="965" w:type="pct"/>
            <w:vAlign w:val="center"/>
          </w:tcPr>
          <w:p w14:paraId="79F610A7">
            <w:pPr>
              <w:snapToGrid w:val="0"/>
              <w:jc w:val="center"/>
              <w:rPr>
                <w:rFonts w:ascii="Times New Roman" w:hAnsi="Times New Roman" w:cs="Times New Roman"/>
                <w:sz w:val="15"/>
                <w:szCs w:val="15"/>
              </w:rPr>
            </w:pPr>
          </w:p>
        </w:tc>
        <w:tc>
          <w:tcPr>
            <w:tcW w:w="859" w:type="pct"/>
            <w:vAlign w:val="center"/>
          </w:tcPr>
          <w:p w14:paraId="057F1659">
            <w:pPr>
              <w:snapToGrid w:val="0"/>
              <w:jc w:val="center"/>
              <w:rPr>
                <w:rFonts w:ascii="Times New Roman" w:hAnsi="Times New Roman" w:cs="Times New Roman"/>
                <w:sz w:val="15"/>
                <w:szCs w:val="15"/>
              </w:rPr>
            </w:pPr>
          </w:p>
        </w:tc>
        <w:tc>
          <w:tcPr>
            <w:tcW w:w="863" w:type="pct"/>
            <w:vAlign w:val="center"/>
          </w:tcPr>
          <w:p w14:paraId="728FB39A">
            <w:pPr>
              <w:snapToGrid w:val="0"/>
              <w:jc w:val="center"/>
              <w:rPr>
                <w:rFonts w:ascii="Times New Roman" w:hAnsi="Times New Roman" w:cs="Times New Roman"/>
                <w:sz w:val="15"/>
                <w:szCs w:val="15"/>
              </w:rPr>
            </w:pPr>
            <w:r>
              <w:rPr>
                <w:rFonts w:ascii="Times New Roman" w:hAnsi="Times New Roman" w:cs="Times New Roman"/>
                <w:sz w:val="15"/>
                <w:szCs w:val="15"/>
              </w:rPr>
              <w:t>＜10</w:t>
            </w:r>
          </w:p>
        </w:tc>
      </w:tr>
    </w:tbl>
    <w:p w14:paraId="2B2D22E5">
      <w:pPr>
        <w:ind w:firstLine="300" w:firstLineChars="200"/>
        <w:rPr>
          <w:rFonts w:ascii="Times New Roman" w:hAnsi="Times New Roman" w:cs="Times New Roman"/>
          <w:sz w:val="15"/>
          <w:szCs w:val="15"/>
        </w:rPr>
      </w:pPr>
      <w:r>
        <w:rPr>
          <w:rFonts w:ascii="Times New Roman" w:hAnsi="Times New Roman" w:cs="Times New Roman"/>
          <w:sz w:val="15"/>
          <w:szCs w:val="15"/>
        </w:rPr>
        <w:t>注：当条件不一致，等别划分不同时，按最高等别确定。</w:t>
      </w:r>
    </w:p>
    <w:p w14:paraId="03453DD3">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拦沙坝建筑物级别应根据工程等别和建筑物的重要性按表4.2.9-2确定。</w:t>
      </w:r>
    </w:p>
    <w:p w14:paraId="5DA71F0B">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9-2  拦沙坝建筑物级别</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95"/>
        <w:gridCol w:w="4347"/>
        <w:gridCol w:w="2534"/>
      </w:tblGrid>
      <w:tr w14:paraId="3C6F59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pct"/>
          </w:tcPr>
          <w:p w14:paraId="1E5C5E0A">
            <w:pPr>
              <w:snapToGrid w:val="0"/>
              <w:jc w:val="center"/>
              <w:rPr>
                <w:rFonts w:ascii="Times New Roman" w:hAnsi="Times New Roman" w:cs="Times New Roman"/>
                <w:sz w:val="15"/>
                <w:szCs w:val="15"/>
              </w:rPr>
            </w:pPr>
            <w:r>
              <w:rPr>
                <w:rFonts w:ascii="Times New Roman" w:hAnsi="Times New Roman" w:cs="Times New Roman"/>
                <w:sz w:val="15"/>
                <w:szCs w:val="15"/>
              </w:rPr>
              <w:t>工程等别</w:t>
            </w:r>
          </w:p>
        </w:tc>
        <w:tc>
          <w:tcPr>
            <w:tcW w:w="2626" w:type="pct"/>
          </w:tcPr>
          <w:p w14:paraId="220C18DC">
            <w:pPr>
              <w:snapToGrid w:val="0"/>
              <w:jc w:val="center"/>
              <w:rPr>
                <w:rFonts w:ascii="Times New Roman" w:hAnsi="Times New Roman" w:cs="Times New Roman"/>
                <w:sz w:val="15"/>
                <w:szCs w:val="15"/>
              </w:rPr>
            </w:pPr>
            <w:r>
              <w:rPr>
                <w:rFonts w:ascii="Times New Roman" w:hAnsi="Times New Roman" w:cs="Times New Roman"/>
                <w:sz w:val="15"/>
                <w:szCs w:val="15"/>
              </w:rPr>
              <w:t>主要建筑物</w:t>
            </w:r>
          </w:p>
        </w:tc>
        <w:tc>
          <w:tcPr>
            <w:tcW w:w="1531" w:type="pct"/>
          </w:tcPr>
          <w:p w14:paraId="5A2BF8E8">
            <w:pPr>
              <w:snapToGrid w:val="0"/>
              <w:jc w:val="center"/>
              <w:rPr>
                <w:rFonts w:ascii="Times New Roman" w:hAnsi="Times New Roman" w:cs="Times New Roman"/>
                <w:sz w:val="15"/>
                <w:szCs w:val="15"/>
              </w:rPr>
            </w:pPr>
            <w:r>
              <w:rPr>
                <w:rFonts w:ascii="Times New Roman" w:hAnsi="Times New Roman" w:cs="Times New Roman"/>
                <w:sz w:val="15"/>
                <w:szCs w:val="15"/>
              </w:rPr>
              <w:t>次要建筑物</w:t>
            </w:r>
          </w:p>
        </w:tc>
      </w:tr>
      <w:tr w14:paraId="644CFD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pct"/>
          </w:tcPr>
          <w:p w14:paraId="5A2A093F">
            <w:pPr>
              <w:snapToGrid w:val="0"/>
              <w:jc w:val="center"/>
              <w:rPr>
                <w:rFonts w:ascii="Times New Roman" w:hAnsi="Times New Roman" w:cs="Times New Roman"/>
                <w:sz w:val="15"/>
                <w:szCs w:val="15"/>
              </w:rPr>
            </w:pPr>
            <w:r>
              <w:rPr>
                <w:rFonts w:ascii="Times New Roman" w:hAnsi="Times New Roman" w:cs="Times New Roman"/>
                <w:sz w:val="15"/>
                <w:szCs w:val="15"/>
              </w:rPr>
              <w:t>Ⅰ</w:t>
            </w:r>
          </w:p>
        </w:tc>
        <w:tc>
          <w:tcPr>
            <w:tcW w:w="2626" w:type="pct"/>
          </w:tcPr>
          <w:p w14:paraId="6B211777">
            <w:pPr>
              <w:snapToGrid w:val="0"/>
              <w:jc w:val="center"/>
              <w:rPr>
                <w:rFonts w:ascii="Times New Roman" w:hAnsi="Times New Roman" w:cs="Times New Roman"/>
                <w:sz w:val="15"/>
                <w:szCs w:val="15"/>
              </w:rPr>
            </w:pPr>
            <w:r>
              <w:rPr>
                <w:rFonts w:ascii="Times New Roman" w:hAnsi="Times New Roman" w:cs="Times New Roman"/>
                <w:sz w:val="15"/>
                <w:szCs w:val="15"/>
              </w:rPr>
              <w:t>1</w:t>
            </w:r>
          </w:p>
        </w:tc>
        <w:tc>
          <w:tcPr>
            <w:tcW w:w="1531" w:type="pct"/>
          </w:tcPr>
          <w:p w14:paraId="4A664E1B">
            <w:pPr>
              <w:snapToGrid w:val="0"/>
              <w:jc w:val="center"/>
              <w:rPr>
                <w:rFonts w:ascii="Times New Roman" w:hAnsi="Times New Roman" w:cs="Times New Roman"/>
                <w:sz w:val="15"/>
                <w:szCs w:val="15"/>
              </w:rPr>
            </w:pPr>
            <w:r>
              <w:rPr>
                <w:rFonts w:ascii="Times New Roman" w:hAnsi="Times New Roman" w:cs="Times New Roman"/>
                <w:sz w:val="15"/>
                <w:szCs w:val="15"/>
              </w:rPr>
              <w:t>3</w:t>
            </w:r>
          </w:p>
        </w:tc>
      </w:tr>
      <w:tr w14:paraId="3D9EA9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pct"/>
          </w:tcPr>
          <w:p w14:paraId="40FD3979">
            <w:pPr>
              <w:snapToGrid w:val="0"/>
              <w:jc w:val="center"/>
              <w:rPr>
                <w:rFonts w:ascii="Times New Roman" w:hAnsi="Times New Roman" w:cs="Times New Roman"/>
                <w:sz w:val="15"/>
                <w:szCs w:val="15"/>
              </w:rPr>
            </w:pPr>
            <w:r>
              <w:rPr>
                <w:rFonts w:ascii="Times New Roman" w:hAnsi="Times New Roman" w:cs="Times New Roman"/>
                <w:sz w:val="15"/>
                <w:szCs w:val="15"/>
              </w:rPr>
              <w:t>Ⅱ</w:t>
            </w:r>
          </w:p>
        </w:tc>
        <w:tc>
          <w:tcPr>
            <w:tcW w:w="2626" w:type="pct"/>
          </w:tcPr>
          <w:p w14:paraId="5AB1022F">
            <w:pPr>
              <w:snapToGrid w:val="0"/>
              <w:jc w:val="center"/>
              <w:rPr>
                <w:rFonts w:ascii="Times New Roman" w:hAnsi="Times New Roman" w:cs="Times New Roman"/>
                <w:sz w:val="15"/>
                <w:szCs w:val="15"/>
              </w:rPr>
            </w:pPr>
            <w:r>
              <w:rPr>
                <w:rFonts w:ascii="Times New Roman" w:hAnsi="Times New Roman" w:cs="Times New Roman"/>
                <w:sz w:val="15"/>
                <w:szCs w:val="15"/>
              </w:rPr>
              <w:t>2</w:t>
            </w:r>
          </w:p>
        </w:tc>
        <w:tc>
          <w:tcPr>
            <w:tcW w:w="1531" w:type="pct"/>
          </w:tcPr>
          <w:p w14:paraId="00746A96">
            <w:pPr>
              <w:snapToGrid w:val="0"/>
              <w:jc w:val="center"/>
              <w:rPr>
                <w:rFonts w:ascii="Times New Roman" w:hAnsi="Times New Roman" w:cs="Times New Roman"/>
                <w:sz w:val="15"/>
                <w:szCs w:val="15"/>
              </w:rPr>
            </w:pPr>
            <w:r>
              <w:rPr>
                <w:rFonts w:ascii="Times New Roman" w:hAnsi="Times New Roman" w:cs="Times New Roman"/>
                <w:sz w:val="15"/>
                <w:szCs w:val="15"/>
              </w:rPr>
              <w:t>3</w:t>
            </w:r>
          </w:p>
        </w:tc>
      </w:tr>
      <w:tr w14:paraId="068B67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pct"/>
          </w:tcPr>
          <w:p w14:paraId="7CF25A1E">
            <w:pPr>
              <w:snapToGrid w:val="0"/>
              <w:jc w:val="center"/>
              <w:rPr>
                <w:rFonts w:ascii="Times New Roman" w:hAnsi="Times New Roman" w:cs="Times New Roman"/>
                <w:sz w:val="15"/>
                <w:szCs w:val="15"/>
              </w:rPr>
            </w:pPr>
            <w:r>
              <w:rPr>
                <w:rFonts w:ascii="Times New Roman" w:hAnsi="Times New Roman" w:cs="Times New Roman"/>
                <w:sz w:val="15"/>
                <w:szCs w:val="15"/>
              </w:rPr>
              <w:t>Ⅲ</w:t>
            </w:r>
          </w:p>
        </w:tc>
        <w:tc>
          <w:tcPr>
            <w:tcW w:w="2626" w:type="pct"/>
          </w:tcPr>
          <w:p w14:paraId="481032DC">
            <w:pPr>
              <w:snapToGrid w:val="0"/>
              <w:jc w:val="center"/>
              <w:rPr>
                <w:rFonts w:ascii="Times New Roman" w:hAnsi="Times New Roman" w:cs="Times New Roman"/>
                <w:sz w:val="15"/>
                <w:szCs w:val="15"/>
              </w:rPr>
            </w:pPr>
            <w:r>
              <w:rPr>
                <w:rFonts w:ascii="Times New Roman" w:hAnsi="Times New Roman" w:cs="Times New Roman"/>
                <w:sz w:val="15"/>
                <w:szCs w:val="15"/>
              </w:rPr>
              <w:t>3</w:t>
            </w:r>
          </w:p>
        </w:tc>
        <w:tc>
          <w:tcPr>
            <w:tcW w:w="1531" w:type="pct"/>
          </w:tcPr>
          <w:p w14:paraId="26AF8FA5">
            <w:pPr>
              <w:snapToGrid w:val="0"/>
              <w:jc w:val="center"/>
              <w:rPr>
                <w:rFonts w:ascii="Times New Roman" w:hAnsi="Times New Roman" w:cs="Times New Roman"/>
                <w:sz w:val="15"/>
                <w:szCs w:val="15"/>
              </w:rPr>
            </w:pPr>
            <w:r>
              <w:rPr>
                <w:rFonts w:ascii="Times New Roman" w:hAnsi="Times New Roman" w:cs="Times New Roman"/>
                <w:sz w:val="15"/>
                <w:szCs w:val="15"/>
              </w:rPr>
              <w:t>3</w:t>
            </w:r>
          </w:p>
        </w:tc>
      </w:tr>
    </w:tbl>
    <w:p w14:paraId="2D1444C2">
      <w:pPr>
        <w:ind w:firstLine="300" w:firstLineChars="200"/>
        <w:rPr>
          <w:rFonts w:ascii="Times New Roman" w:hAnsi="Times New Roman" w:cs="Times New Roman"/>
          <w:sz w:val="15"/>
          <w:szCs w:val="15"/>
        </w:rPr>
      </w:pPr>
      <w:r>
        <w:rPr>
          <w:rFonts w:ascii="Times New Roman" w:hAnsi="Times New Roman" w:cs="Times New Roman"/>
          <w:sz w:val="15"/>
          <w:szCs w:val="15"/>
        </w:rPr>
        <w:t xml:space="preserve">注：1 </w:t>
      </w:r>
      <w:r>
        <w:rPr>
          <w:rFonts w:hint="eastAsia" w:ascii="Times New Roman" w:hAnsi="Times New Roman" w:cs="Times New Roman"/>
          <w:sz w:val="15"/>
          <w:szCs w:val="15"/>
        </w:rPr>
        <w:t xml:space="preserve"> </w:t>
      </w:r>
      <w:r>
        <w:rPr>
          <w:rFonts w:ascii="Times New Roman" w:hAnsi="Times New Roman" w:cs="Times New Roman"/>
          <w:sz w:val="15"/>
          <w:szCs w:val="15"/>
        </w:rPr>
        <w:t>失事后损失巨大或影响十分严重的拦沙坝工程的2级～3级主要建筑物，经论证可提高一级；</w:t>
      </w:r>
    </w:p>
    <w:p w14:paraId="23AEF98A">
      <w:pPr>
        <w:ind w:firstLine="600" w:firstLineChars="400"/>
        <w:rPr>
          <w:rFonts w:ascii="Times New Roman" w:hAnsi="Times New Roman" w:cs="Times New Roman"/>
          <w:sz w:val="15"/>
          <w:szCs w:val="15"/>
        </w:rPr>
      </w:pPr>
      <w:r>
        <w:rPr>
          <w:rFonts w:ascii="Times New Roman" w:hAnsi="Times New Roman" w:cs="Times New Roman"/>
          <w:sz w:val="15"/>
          <w:szCs w:val="15"/>
        </w:rPr>
        <w:t xml:space="preserve">2 </w:t>
      </w:r>
      <w:r>
        <w:rPr>
          <w:rFonts w:hint="eastAsia" w:ascii="Times New Roman" w:hAnsi="Times New Roman" w:cs="Times New Roman"/>
          <w:sz w:val="15"/>
          <w:szCs w:val="15"/>
        </w:rPr>
        <w:t xml:space="preserve"> </w:t>
      </w:r>
      <w:r>
        <w:rPr>
          <w:rFonts w:ascii="Times New Roman" w:hAnsi="Times New Roman" w:cs="Times New Roman"/>
          <w:sz w:val="15"/>
          <w:szCs w:val="15"/>
        </w:rPr>
        <w:t>建筑物级别提高，其洪水标准可不提高。</w:t>
      </w:r>
    </w:p>
    <w:p w14:paraId="202F8334">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4"/>
        </w:rPr>
        <w:t>.</w:t>
      </w:r>
      <w:r>
        <w:rPr>
          <w:rFonts w:ascii="Times New Roman" w:hAnsi="Times New Roman" w:eastAsia="黑体" w:cs="Times New Roman"/>
          <w:b/>
          <w:sz w:val="21"/>
          <w:szCs w:val="21"/>
        </w:rPr>
        <w:t>2</w:t>
      </w:r>
      <w:r>
        <w:rPr>
          <w:rFonts w:ascii="Times New Roman" w:hAnsi="Times New Roman" w:cs="Times New Roman"/>
          <w:b/>
          <w:sz w:val="21"/>
          <w:szCs w:val="24"/>
        </w:rPr>
        <w:t>.</w:t>
      </w:r>
      <w:r>
        <w:rPr>
          <w:rFonts w:ascii="Times New Roman" w:hAnsi="Times New Roman" w:eastAsia="黑体" w:cs="Times New Roman"/>
          <w:b/>
          <w:sz w:val="21"/>
          <w:szCs w:val="21"/>
        </w:rPr>
        <w:t>10</w:t>
      </w:r>
      <w:r>
        <w:rPr>
          <w:rFonts w:ascii="Times New Roman" w:hAnsi="Times New Roman" w:eastAsia="黑体" w:cs="Times New Roman"/>
          <w:sz w:val="21"/>
          <w:szCs w:val="21"/>
        </w:rPr>
        <w:t xml:space="preserve">  </w:t>
      </w:r>
      <w:r>
        <w:rPr>
          <w:rFonts w:ascii="Times New Roman" w:hAnsi="Times New Roman" w:cs="Times New Roman"/>
          <w:sz w:val="21"/>
          <w:szCs w:val="21"/>
        </w:rPr>
        <w:t>拦沙坝工程建筑物的防洪标准应根据其级别按表4.2.10的规定确定。</w:t>
      </w:r>
    </w:p>
    <w:p w14:paraId="3EC56D03">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10  拦沙坝建筑物防洪标准</w:t>
      </w:r>
    </w:p>
    <w:tbl>
      <w:tblPr>
        <w:tblStyle w:val="10"/>
        <w:tblW w:w="504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39"/>
        <w:gridCol w:w="1216"/>
        <w:gridCol w:w="2923"/>
        <w:gridCol w:w="2472"/>
      </w:tblGrid>
      <w:tr w14:paraId="6C143D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042" w:type="pct"/>
            <w:vMerge w:val="restart"/>
            <w:vAlign w:val="center"/>
          </w:tcPr>
          <w:p w14:paraId="04B289DD">
            <w:pPr>
              <w:jc w:val="center"/>
              <w:rPr>
                <w:rFonts w:ascii="Times New Roman" w:hAnsi="Times New Roman" w:cs="Times New Roman"/>
                <w:sz w:val="15"/>
                <w:szCs w:val="15"/>
              </w:rPr>
            </w:pPr>
            <w:r>
              <w:rPr>
                <w:rFonts w:ascii="Times New Roman" w:hAnsi="Times New Roman" w:cs="Times New Roman"/>
                <w:sz w:val="15"/>
                <w:szCs w:val="15"/>
              </w:rPr>
              <w:t>建筑物级别</w:t>
            </w:r>
          </w:p>
        </w:tc>
        <w:tc>
          <w:tcPr>
            <w:tcW w:w="3958" w:type="pct"/>
            <w:gridSpan w:val="3"/>
            <w:vAlign w:val="center"/>
          </w:tcPr>
          <w:p w14:paraId="5B3FD10D">
            <w:pPr>
              <w:jc w:val="center"/>
              <w:rPr>
                <w:rFonts w:ascii="Times New Roman" w:hAnsi="Times New Roman" w:cs="Times New Roman"/>
                <w:sz w:val="15"/>
                <w:szCs w:val="15"/>
              </w:rPr>
            </w:pPr>
            <w:r>
              <w:rPr>
                <w:rFonts w:ascii="Times New Roman" w:hAnsi="Times New Roman" w:cs="Times New Roman"/>
                <w:sz w:val="15"/>
                <w:szCs w:val="15"/>
              </w:rPr>
              <w:t>洪水标准[重现期（年）]</w:t>
            </w:r>
          </w:p>
        </w:tc>
      </w:tr>
      <w:tr w14:paraId="02650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042" w:type="pct"/>
            <w:vMerge w:val="continue"/>
            <w:vAlign w:val="center"/>
          </w:tcPr>
          <w:p w14:paraId="104C2A13">
            <w:pPr>
              <w:jc w:val="center"/>
              <w:rPr>
                <w:rFonts w:ascii="Times New Roman" w:hAnsi="Times New Roman" w:cs="Times New Roman"/>
                <w:sz w:val="15"/>
                <w:szCs w:val="15"/>
              </w:rPr>
            </w:pPr>
          </w:p>
        </w:tc>
        <w:tc>
          <w:tcPr>
            <w:tcW w:w="728" w:type="pct"/>
            <w:vMerge w:val="restart"/>
            <w:vAlign w:val="center"/>
          </w:tcPr>
          <w:p w14:paraId="4D82F406">
            <w:pPr>
              <w:jc w:val="center"/>
              <w:rPr>
                <w:rFonts w:ascii="Times New Roman" w:hAnsi="Times New Roman" w:cs="Times New Roman"/>
                <w:sz w:val="15"/>
                <w:szCs w:val="15"/>
              </w:rPr>
            </w:pPr>
            <w:r>
              <w:rPr>
                <w:rFonts w:ascii="Times New Roman" w:hAnsi="Times New Roman" w:cs="Times New Roman"/>
                <w:sz w:val="15"/>
                <w:szCs w:val="15"/>
              </w:rPr>
              <w:t>设计</w:t>
            </w:r>
          </w:p>
        </w:tc>
        <w:tc>
          <w:tcPr>
            <w:tcW w:w="3230" w:type="pct"/>
            <w:gridSpan w:val="2"/>
            <w:vAlign w:val="center"/>
          </w:tcPr>
          <w:p w14:paraId="6F6136FD">
            <w:pPr>
              <w:jc w:val="center"/>
              <w:rPr>
                <w:rFonts w:ascii="Times New Roman" w:hAnsi="Times New Roman" w:cs="Times New Roman"/>
                <w:sz w:val="15"/>
                <w:szCs w:val="15"/>
              </w:rPr>
            </w:pPr>
            <w:r>
              <w:rPr>
                <w:rFonts w:ascii="Times New Roman" w:hAnsi="Times New Roman" w:cs="Times New Roman"/>
                <w:sz w:val="15"/>
                <w:szCs w:val="15"/>
              </w:rPr>
              <w:t>校核</w:t>
            </w:r>
          </w:p>
        </w:tc>
      </w:tr>
      <w:tr w14:paraId="201719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042" w:type="pct"/>
            <w:vMerge w:val="continue"/>
            <w:vAlign w:val="center"/>
          </w:tcPr>
          <w:p w14:paraId="05278B8A">
            <w:pPr>
              <w:jc w:val="center"/>
              <w:rPr>
                <w:rFonts w:ascii="Times New Roman" w:hAnsi="Times New Roman" w:cs="Times New Roman"/>
                <w:sz w:val="15"/>
                <w:szCs w:val="15"/>
              </w:rPr>
            </w:pPr>
          </w:p>
        </w:tc>
        <w:tc>
          <w:tcPr>
            <w:tcW w:w="728" w:type="pct"/>
            <w:vMerge w:val="continue"/>
            <w:vAlign w:val="center"/>
          </w:tcPr>
          <w:p w14:paraId="33C63901">
            <w:pPr>
              <w:jc w:val="center"/>
              <w:rPr>
                <w:rFonts w:ascii="Times New Roman" w:hAnsi="Times New Roman" w:cs="Times New Roman"/>
                <w:sz w:val="15"/>
                <w:szCs w:val="15"/>
              </w:rPr>
            </w:pPr>
          </w:p>
        </w:tc>
        <w:tc>
          <w:tcPr>
            <w:tcW w:w="1750" w:type="pct"/>
            <w:vAlign w:val="center"/>
          </w:tcPr>
          <w:p w14:paraId="174208EB">
            <w:pPr>
              <w:jc w:val="center"/>
              <w:rPr>
                <w:rFonts w:ascii="Times New Roman" w:hAnsi="Times New Roman" w:cs="Times New Roman"/>
                <w:sz w:val="15"/>
                <w:szCs w:val="15"/>
              </w:rPr>
            </w:pPr>
            <w:r>
              <w:rPr>
                <w:rFonts w:ascii="Times New Roman" w:hAnsi="Times New Roman" w:cs="Times New Roman"/>
                <w:sz w:val="15"/>
                <w:szCs w:val="15"/>
              </w:rPr>
              <w:t>重力坝</w:t>
            </w:r>
          </w:p>
        </w:tc>
        <w:tc>
          <w:tcPr>
            <w:tcW w:w="1480" w:type="pct"/>
            <w:vAlign w:val="center"/>
          </w:tcPr>
          <w:p w14:paraId="473A3479">
            <w:pPr>
              <w:jc w:val="center"/>
              <w:rPr>
                <w:rFonts w:ascii="Times New Roman" w:hAnsi="Times New Roman" w:cs="Times New Roman"/>
                <w:sz w:val="15"/>
                <w:szCs w:val="15"/>
              </w:rPr>
            </w:pPr>
            <w:r>
              <w:rPr>
                <w:rFonts w:ascii="Times New Roman" w:hAnsi="Times New Roman" w:cs="Times New Roman"/>
                <w:sz w:val="15"/>
                <w:szCs w:val="15"/>
              </w:rPr>
              <w:t>土石坝</w:t>
            </w:r>
          </w:p>
        </w:tc>
      </w:tr>
      <w:tr w14:paraId="7CD28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042" w:type="pct"/>
            <w:vAlign w:val="center"/>
          </w:tcPr>
          <w:p w14:paraId="4C52A4B3">
            <w:pPr>
              <w:jc w:val="center"/>
              <w:rPr>
                <w:rFonts w:ascii="Times New Roman" w:hAnsi="Times New Roman" w:cs="Times New Roman"/>
                <w:sz w:val="15"/>
                <w:szCs w:val="15"/>
              </w:rPr>
            </w:pPr>
            <w:r>
              <w:rPr>
                <w:rFonts w:ascii="Times New Roman" w:hAnsi="Times New Roman" w:cs="Times New Roman"/>
                <w:sz w:val="15"/>
                <w:szCs w:val="15"/>
              </w:rPr>
              <w:t>1</w:t>
            </w:r>
          </w:p>
        </w:tc>
        <w:tc>
          <w:tcPr>
            <w:tcW w:w="728" w:type="pct"/>
            <w:vAlign w:val="center"/>
          </w:tcPr>
          <w:p w14:paraId="34DC00FA">
            <w:pPr>
              <w:jc w:val="center"/>
              <w:rPr>
                <w:rFonts w:ascii="Times New Roman" w:hAnsi="Times New Roman" w:cs="Times New Roman"/>
                <w:sz w:val="15"/>
                <w:szCs w:val="15"/>
              </w:rPr>
            </w:pPr>
            <w:r>
              <w:rPr>
                <w:rFonts w:ascii="Times New Roman" w:hAnsi="Times New Roman" w:cs="Times New Roman"/>
                <w:sz w:val="15"/>
                <w:szCs w:val="15"/>
              </w:rPr>
              <w:t>20～30</w:t>
            </w:r>
          </w:p>
        </w:tc>
        <w:tc>
          <w:tcPr>
            <w:tcW w:w="1750" w:type="pct"/>
            <w:vAlign w:val="center"/>
          </w:tcPr>
          <w:p w14:paraId="5BFC8C1A">
            <w:pPr>
              <w:jc w:val="center"/>
              <w:rPr>
                <w:rFonts w:ascii="Times New Roman" w:hAnsi="Times New Roman" w:cs="Times New Roman"/>
                <w:sz w:val="15"/>
                <w:szCs w:val="15"/>
              </w:rPr>
            </w:pPr>
            <w:r>
              <w:rPr>
                <w:rFonts w:ascii="Times New Roman" w:hAnsi="Times New Roman" w:cs="Times New Roman"/>
                <w:sz w:val="15"/>
                <w:szCs w:val="15"/>
              </w:rPr>
              <w:t>100～200</w:t>
            </w:r>
          </w:p>
        </w:tc>
        <w:tc>
          <w:tcPr>
            <w:tcW w:w="1480" w:type="pct"/>
            <w:vAlign w:val="center"/>
          </w:tcPr>
          <w:p w14:paraId="10E0C9CD">
            <w:pPr>
              <w:jc w:val="center"/>
              <w:rPr>
                <w:rFonts w:ascii="Times New Roman" w:hAnsi="Times New Roman" w:cs="Times New Roman"/>
                <w:sz w:val="15"/>
                <w:szCs w:val="15"/>
              </w:rPr>
            </w:pPr>
            <w:r>
              <w:rPr>
                <w:rFonts w:ascii="Times New Roman" w:hAnsi="Times New Roman" w:cs="Times New Roman"/>
                <w:sz w:val="15"/>
                <w:szCs w:val="15"/>
              </w:rPr>
              <w:t>200～300</w:t>
            </w:r>
          </w:p>
        </w:tc>
      </w:tr>
      <w:tr w14:paraId="46EBE3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042" w:type="pct"/>
            <w:vAlign w:val="center"/>
          </w:tcPr>
          <w:p w14:paraId="70FF2DF1">
            <w:pPr>
              <w:jc w:val="center"/>
              <w:rPr>
                <w:rFonts w:ascii="Times New Roman" w:hAnsi="Times New Roman" w:cs="Times New Roman"/>
                <w:sz w:val="15"/>
                <w:szCs w:val="15"/>
              </w:rPr>
            </w:pPr>
            <w:r>
              <w:rPr>
                <w:rFonts w:ascii="Times New Roman" w:hAnsi="Times New Roman" w:cs="Times New Roman"/>
                <w:sz w:val="15"/>
                <w:szCs w:val="15"/>
              </w:rPr>
              <w:t>2</w:t>
            </w:r>
          </w:p>
        </w:tc>
        <w:tc>
          <w:tcPr>
            <w:tcW w:w="728" w:type="pct"/>
            <w:vAlign w:val="center"/>
          </w:tcPr>
          <w:p w14:paraId="402DFBAC">
            <w:pPr>
              <w:jc w:val="center"/>
              <w:rPr>
                <w:rFonts w:ascii="Times New Roman" w:hAnsi="Times New Roman" w:cs="Times New Roman"/>
                <w:sz w:val="15"/>
                <w:szCs w:val="15"/>
              </w:rPr>
            </w:pPr>
            <w:r>
              <w:rPr>
                <w:rFonts w:ascii="Times New Roman" w:hAnsi="Times New Roman" w:cs="Times New Roman"/>
                <w:sz w:val="15"/>
                <w:szCs w:val="15"/>
              </w:rPr>
              <w:t>20～30</w:t>
            </w:r>
          </w:p>
        </w:tc>
        <w:tc>
          <w:tcPr>
            <w:tcW w:w="1750" w:type="pct"/>
            <w:vAlign w:val="center"/>
          </w:tcPr>
          <w:p w14:paraId="003B1670">
            <w:pPr>
              <w:jc w:val="center"/>
              <w:rPr>
                <w:rFonts w:ascii="Times New Roman" w:hAnsi="Times New Roman" w:cs="Times New Roman"/>
                <w:sz w:val="15"/>
                <w:szCs w:val="15"/>
              </w:rPr>
            </w:pPr>
            <w:r>
              <w:rPr>
                <w:rFonts w:ascii="Times New Roman" w:hAnsi="Times New Roman" w:cs="Times New Roman"/>
                <w:sz w:val="15"/>
                <w:szCs w:val="15"/>
              </w:rPr>
              <w:t>50～100</w:t>
            </w:r>
          </w:p>
        </w:tc>
        <w:tc>
          <w:tcPr>
            <w:tcW w:w="1480" w:type="pct"/>
            <w:vAlign w:val="center"/>
          </w:tcPr>
          <w:p w14:paraId="31932CDE">
            <w:pPr>
              <w:jc w:val="center"/>
              <w:rPr>
                <w:rFonts w:ascii="Times New Roman" w:hAnsi="Times New Roman" w:cs="Times New Roman"/>
                <w:sz w:val="15"/>
                <w:szCs w:val="15"/>
              </w:rPr>
            </w:pPr>
            <w:r>
              <w:rPr>
                <w:rFonts w:ascii="Times New Roman" w:hAnsi="Times New Roman" w:cs="Times New Roman"/>
                <w:sz w:val="15"/>
                <w:szCs w:val="15"/>
              </w:rPr>
              <w:t>100～200</w:t>
            </w:r>
          </w:p>
        </w:tc>
      </w:tr>
      <w:tr w14:paraId="3F9C75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042" w:type="pct"/>
            <w:vAlign w:val="center"/>
          </w:tcPr>
          <w:p w14:paraId="1BB7F6F6">
            <w:pPr>
              <w:jc w:val="center"/>
              <w:rPr>
                <w:rFonts w:ascii="Times New Roman" w:hAnsi="Times New Roman" w:cs="Times New Roman"/>
                <w:sz w:val="15"/>
                <w:szCs w:val="15"/>
              </w:rPr>
            </w:pPr>
            <w:r>
              <w:rPr>
                <w:rFonts w:ascii="Times New Roman" w:hAnsi="Times New Roman" w:cs="Times New Roman"/>
                <w:sz w:val="15"/>
                <w:szCs w:val="15"/>
              </w:rPr>
              <w:t>3</w:t>
            </w:r>
          </w:p>
        </w:tc>
        <w:tc>
          <w:tcPr>
            <w:tcW w:w="728" w:type="pct"/>
            <w:vAlign w:val="center"/>
          </w:tcPr>
          <w:p w14:paraId="1416B746">
            <w:pPr>
              <w:jc w:val="center"/>
              <w:rPr>
                <w:rFonts w:ascii="Times New Roman" w:hAnsi="Times New Roman" w:cs="Times New Roman"/>
                <w:sz w:val="15"/>
                <w:szCs w:val="15"/>
              </w:rPr>
            </w:pPr>
            <w:r>
              <w:rPr>
                <w:rFonts w:ascii="Times New Roman" w:hAnsi="Times New Roman" w:cs="Times New Roman"/>
                <w:sz w:val="15"/>
                <w:szCs w:val="15"/>
              </w:rPr>
              <w:t>10～20</w:t>
            </w:r>
          </w:p>
        </w:tc>
        <w:tc>
          <w:tcPr>
            <w:tcW w:w="1750" w:type="pct"/>
            <w:vAlign w:val="center"/>
          </w:tcPr>
          <w:p w14:paraId="449C2F6C">
            <w:pPr>
              <w:jc w:val="center"/>
              <w:rPr>
                <w:rFonts w:ascii="Times New Roman" w:hAnsi="Times New Roman" w:cs="Times New Roman"/>
                <w:sz w:val="15"/>
                <w:szCs w:val="15"/>
              </w:rPr>
            </w:pPr>
            <w:r>
              <w:rPr>
                <w:rFonts w:ascii="Times New Roman" w:hAnsi="Times New Roman" w:cs="Times New Roman"/>
                <w:sz w:val="15"/>
                <w:szCs w:val="15"/>
              </w:rPr>
              <w:t>30～50</w:t>
            </w:r>
          </w:p>
        </w:tc>
        <w:tc>
          <w:tcPr>
            <w:tcW w:w="1480" w:type="pct"/>
            <w:vAlign w:val="center"/>
          </w:tcPr>
          <w:p w14:paraId="52518573">
            <w:pPr>
              <w:jc w:val="center"/>
              <w:rPr>
                <w:rFonts w:ascii="Times New Roman" w:hAnsi="Times New Roman" w:cs="Times New Roman"/>
                <w:sz w:val="15"/>
                <w:szCs w:val="15"/>
              </w:rPr>
            </w:pPr>
            <w:r>
              <w:rPr>
                <w:rFonts w:ascii="Times New Roman" w:hAnsi="Times New Roman" w:cs="Times New Roman"/>
                <w:sz w:val="15"/>
                <w:szCs w:val="15"/>
              </w:rPr>
              <w:t>50～100</w:t>
            </w:r>
          </w:p>
        </w:tc>
      </w:tr>
    </w:tbl>
    <w:p w14:paraId="5D771F39">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4"/>
        </w:rPr>
        <w:t>.</w:t>
      </w:r>
      <w:r>
        <w:rPr>
          <w:rFonts w:ascii="Times New Roman" w:hAnsi="Times New Roman" w:eastAsia="黑体" w:cs="Times New Roman"/>
          <w:b/>
          <w:sz w:val="21"/>
          <w:szCs w:val="21"/>
        </w:rPr>
        <w:t>2</w:t>
      </w:r>
      <w:r>
        <w:rPr>
          <w:rFonts w:ascii="Times New Roman" w:hAnsi="Times New Roman" w:cs="Times New Roman"/>
          <w:b/>
          <w:sz w:val="21"/>
          <w:szCs w:val="24"/>
        </w:rPr>
        <w:t>.</w:t>
      </w:r>
      <w:r>
        <w:rPr>
          <w:rFonts w:ascii="Times New Roman" w:hAnsi="Times New Roman" w:eastAsia="黑体" w:cs="Times New Roman"/>
          <w:b/>
          <w:sz w:val="21"/>
          <w:szCs w:val="21"/>
        </w:rPr>
        <w:t>11</w:t>
      </w:r>
      <w:r>
        <w:rPr>
          <w:rFonts w:ascii="Times New Roman" w:hAnsi="Times New Roman" w:cs="Times New Roman"/>
          <w:sz w:val="21"/>
          <w:szCs w:val="21"/>
        </w:rPr>
        <w:t xml:space="preserve">  稳定安全系数标准应符合下列规定：</w:t>
      </w:r>
    </w:p>
    <w:p w14:paraId="7D4963A6">
      <w:pPr>
        <w:spacing w:line="360" w:lineRule="auto"/>
        <w:ind w:firstLine="422" w:firstLineChars="200"/>
        <w:jc w:val="left"/>
        <w:rPr>
          <w:rFonts w:ascii="Times New Roman" w:hAnsi="Times New Roman" w:cs="Times New Roman"/>
          <w:sz w:val="21"/>
          <w:szCs w:val="28"/>
        </w:rPr>
      </w:pPr>
      <w:r>
        <w:rPr>
          <w:rFonts w:ascii="Times New Roman" w:hAnsi="Times New Roman" w:eastAsia="黑体" w:cs="Times New Roman"/>
          <w:b/>
          <w:sz w:val="21"/>
          <w:szCs w:val="28"/>
        </w:rPr>
        <w:t>1</w:t>
      </w:r>
      <w:r>
        <w:rPr>
          <w:rFonts w:ascii="Times New Roman" w:hAnsi="Times New Roman" w:cs="Times New Roman"/>
          <w:sz w:val="21"/>
          <w:szCs w:val="28"/>
        </w:rPr>
        <w:t xml:space="preserve">  土坝、堆石坝的坝坡稳定计算应采用刚体极限平衡法。采用计及条块间作用力方法计算坝坡稳定性时，坝坡抗滑稳定安全系数不应小于表4.2.11-1规定的数值。</w:t>
      </w:r>
    </w:p>
    <w:p w14:paraId="234F4500">
      <w:pPr>
        <w:jc w:val="center"/>
        <w:rPr>
          <w:rFonts w:ascii="Times New Roman" w:hAnsi="Times New Roman" w:eastAsia="黑体" w:cs="Times New Roman"/>
          <w:sz w:val="18"/>
          <w:szCs w:val="18"/>
        </w:rPr>
      </w:pPr>
      <w:bookmarkStart w:id="67" w:name="OLE_LINK1"/>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11-1</w:t>
      </w:r>
      <w:bookmarkEnd w:id="67"/>
      <w:r>
        <w:rPr>
          <w:rFonts w:ascii="Times New Roman" w:hAnsi="Times New Roman" w:eastAsia="黑体" w:cs="Times New Roman"/>
          <w:sz w:val="18"/>
          <w:szCs w:val="18"/>
        </w:rPr>
        <w:t xml:space="preserve">  土坝、堆石坝坝坡的抗滑稳定安全系数</w:t>
      </w:r>
    </w:p>
    <w:tbl>
      <w:tblPr>
        <w:tblStyle w:val="10"/>
        <w:tblW w:w="8260" w:type="dxa"/>
        <w:tblInd w:w="123" w:type="dxa"/>
        <w:tblLayout w:type="autofit"/>
        <w:tblCellMar>
          <w:top w:w="0" w:type="dxa"/>
          <w:left w:w="108" w:type="dxa"/>
          <w:bottom w:w="0" w:type="dxa"/>
          <w:right w:w="108" w:type="dxa"/>
        </w:tblCellMar>
      </w:tblPr>
      <w:tblGrid>
        <w:gridCol w:w="1380"/>
        <w:gridCol w:w="3760"/>
        <w:gridCol w:w="1040"/>
        <w:gridCol w:w="1040"/>
        <w:gridCol w:w="1040"/>
      </w:tblGrid>
      <w:tr w14:paraId="1170A3D0">
        <w:tblPrEx>
          <w:tblCellMar>
            <w:top w:w="0" w:type="dxa"/>
            <w:left w:w="108" w:type="dxa"/>
            <w:bottom w:w="0" w:type="dxa"/>
            <w:right w:w="108" w:type="dxa"/>
          </w:tblCellMar>
        </w:tblPrEx>
        <w:trPr>
          <w:trHeight w:val="290" w:hRule="atLeast"/>
        </w:trPr>
        <w:tc>
          <w:tcPr>
            <w:tcW w:w="5140" w:type="dxa"/>
            <w:gridSpan w:val="2"/>
            <w:vMerge w:val="restart"/>
            <w:tcBorders>
              <w:top w:val="single" w:color="auto" w:sz="12" w:space="0"/>
              <w:left w:val="single" w:color="auto" w:sz="12" w:space="0"/>
              <w:bottom w:val="single" w:color="auto" w:sz="4" w:space="0"/>
              <w:right w:val="single" w:color="auto" w:sz="4" w:space="0"/>
            </w:tcBorders>
            <w:vAlign w:val="center"/>
          </w:tcPr>
          <w:p w14:paraId="667B1C0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运用条件</w:t>
            </w:r>
          </w:p>
        </w:tc>
        <w:tc>
          <w:tcPr>
            <w:tcW w:w="3120" w:type="dxa"/>
            <w:gridSpan w:val="3"/>
            <w:tcBorders>
              <w:top w:val="single" w:color="auto" w:sz="12" w:space="0"/>
              <w:left w:val="nil"/>
              <w:bottom w:val="single" w:color="auto" w:sz="4" w:space="0"/>
              <w:right w:val="single" w:color="000000" w:sz="12" w:space="0"/>
            </w:tcBorders>
            <w:vAlign w:val="center"/>
          </w:tcPr>
          <w:p w14:paraId="207B84F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拦沙坝建筑物的级别</w:t>
            </w:r>
          </w:p>
        </w:tc>
      </w:tr>
      <w:tr w14:paraId="6879FB49">
        <w:tblPrEx>
          <w:tblCellMar>
            <w:top w:w="0" w:type="dxa"/>
            <w:left w:w="108" w:type="dxa"/>
            <w:bottom w:w="0" w:type="dxa"/>
            <w:right w:w="108" w:type="dxa"/>
          </w:tblCellMar>
        </w:tblPrEx>
        <w:trPr>
          <w:trHeight w:val="280" w:hRule="atLeast"/>
        </w:trPr>
        <w:tc>
          <w:tcPr>
            <w:tcW w:w="5140" w:type="dxa"/>
            <w:gridSpan w:val="2"/>
            <w:vMerge w:val="continue"/>
            <w:tcBorders>
              <w:top w:val="single" w:color="auto" w:sz="12" w:space="0"/>
              <w:left w:val="single" w:color="auto" w:sz="12" w:space="0"/>
              <w:bottom w:val="single" w:color="auto" w:sz="4" w:space="0"/>
              <w:right w:val="single" w:color="auto" w:sz="4" w:space="0"/>
            </w:tcBorders>
            <w:vAlign w:val="center"/>
          </w:tcPr>
          <w:p w14:paraId="2ED968FD">
            <w:pPr>
              <w:widowControl/>
              <w:jc w:val="left"/>
              <w:rPr>
                <w:rFonts w:ascii="Times New Roman" w:hAnsi="Times New Roman" w:cs="Times New Roman"/>
                <w:kern w:val="0"/>
                <w:sz w:val="15"/>
                <w:szCs w:val="15"/>
              </w:rPr>
            </w:pPr>
          </w:p>
        </w:tc>
        <w:tc>
          <w:tcPr>
            <w:tcW w:w="1040" w:type="dxa"/>
            <w:tcBorders>
              <w:top w:val="nil"/>
              <w:left w:val="nil"/>
              <w:bottom w:val="single" w:color="auto" w:sz="4" w:space="0"/>
              <w:right w:val="single" w:color="auto" w:sz="4" w:space="0"/>
            </w:tcBorders>
            <w:vAlign w:val="center"/>
          </w:tcPr>
          <w:p w14:paraId="7BE339EF">
            <w:pPr>
              <w:widowControl/>
              <w:jc w:val="center"/>
              <w:rPr>
                <w:rFonts w:ascii="Times New Roman" w:hAnsi="Times New Roman" w:eastAsia="等线" w:cs="Times New Roman"/>
                <w:kern w:val="0"/>
                <w:sz w:val="15"/>
                <w:szCs w:val="15"/>
              </w:rPr>
            </w:pPr>
            <w:r>
              <w:rPr>
                <w:rFonts w:ascii="Times New Roman" w:hAnsi="Times New Roman" w:eastAsia="等线" w:cs="Times New Roman"/>
                <w:kern w:val="0"/>
                <w:sz w:val="15"/>
                <w:szCs w:val="15"/>
              </w:rPr>
              <w:t>1</w:t>
            </w:r>
          </w:p>
        </w:tc>
        <w:tc>
          <w:tcPr>
            <w:tcW w:w="1040" w:type="dxa"/>
            <w:tcBorders>
              <w:top w:val="nil"/>
              <w:left w:val="nil"/>
              <w:bottom w:val="single" w:color="auto" w:sz="4" w:space="0"/>
              <w:right w:val="single" w:color="auto" w:sz="4" w:space="0"/>
            </w:tcBorders>
            <w:vAlign w:val="center"/>
          </w:tcPr>
          <w:p w14:paraId="0B5F764B">
            <w:pPr>
              <w:widowControl/>
              <w:jc w:val="center"/>
              <w:rPr>
                <w:rFonts w:ascii="Times New Roman" w:hAnsi="Times New Roman" w:eastAsia="等线" w:cs="Times New Roman"/>
                <w:kern w:val="0"/>
                <w:sz w:val="15"/>
                <w:szCs w:val="15"/>
              </w:rPr>
            </w:pPr>
            <w:r>
              <w:rPr>
                <w:rFonts w:ascii="Times New Roman" w:hAnsi="Times New Roman" w:eastAsia="等线" w:cs="Times New Roman"/>
                <w:kern w:val="0"/>
                <w:sz w:val="15"/>
                <w:szCs w:val="15"/>
              </w:rPr>
              <w:t>2</w:t>
            </w:r>
          </w:p>
        </w:tc>
        <w:tc>
          <w:tcPr>
            <w:tcW w:w="1040" w:type="dxa"/>
            <w:tcBorders>
              <w:top w:val="nil"/>
              <w:left w:val="nil"/>
              <w:bottom w:val="single" w:color="auto" w:sz="4" w:space="0"/>
              <w:right w:val="single" w:color="auto" w:sz="12" w:space="0"/>
            </w:tcBorders>
            <w:vAlign w:val="center"/>
          </w:tcPr>
          <w:p w14:paraId="0F8A841D">
            <w:pPr>
              <w:widowControl/>
              <w:jc w:val="center"/>
              <w:rPr>
                <w:rFonts w:ascii="Times New Roman" w:hAnsi="Times New Roman" w:eastAsia="等线" w:cs="Times New Roman"/>
                <w:kern w:val="0"/>
                <w:sz w:val="15"/>
                <w:szCs w:val="15"/>
              </w:rPr>
            </w:pPr>
            <w:r>
              <w:rPr>
                <w:rFonts w:ascii="Times New Roman" w:hAnsi="Times New Roman" w:eastAsia="等线" w:cs="Times New Roman"/>
                <w:kern w:val="0"/>
                <w:sz w:val="15"/>
                <w:szCs w:val="15"/>
              </w:rPr>
              <w:t>3</w:t>
            </w:r>
          </w:p>
        </w:tc>
      </w:tr>
      <w:tr w14:paraId="20E3161D">
        <w:tblPrEx>
          <w:tblCellMar>
            <w:top w:w="0" w:type="dxa"/>
            <w:left w:w="108" w:type="dxa"/>
            <w:bottom w:w="0" w:type="dxa"/>
            <w:right w:w="108" w:type="dxa"/>
          </w:tblCellMar>
        </w:tblPrEx>
        <w:trPr>
          <w:trHeight w:val="280" w:hRule="atLeast"/>
        </w:trPr>
        <w:tc>
          <w:tcPr>
            <w:tcW w:w="1380" w:type="dxa"/>
            <w:vMerge w:val="restart"/>
            <w:tcBorders>
              <w:top w:val="nil"/>
              <w:left w:val="single" w:color="auto" w:sz="12" w:space="0"/>
              <w:bottom w:val="single" w:color="000000" w:sz="4" w:space="0"/>
              <w:right w:val="single" w:color="auto" w:sz="4" w:space="0"/>
            </w:tcBorders>
            <w:vAlign w:val="center"/>
          </w:tcPr>
          <w:p w14:paraId="3DBDB79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正常运用条件</w:t>
            </w:r>
          </w:p>
        </w:tc>
        <w:tc>
          <w:tcPr>
            <w:tcW w:w="3760" w:type="dxa"/>
            <w:tcBorders>
              <w:top w:val="nil"/>
              <w:left w:val="nil"/>
              <w:bottom w:val="single" w:color="auto" w:sz="4" w:space="0"/>
              <w:right w:val="single" w:color="auto" w:sz="4" w:space="0"/>
            </w:tcBorders>
            <w:vAlign w:val="center"/>
          </w:tcPr>
          <w:p w14:paraId="462F355E">
            <w:pPr>
              <w:widowControl/>
              <w:jc w:val="left"/>
              <w:rPr>
                <w:rFonts w:ascii="Times New Roman" w:hAnsi="Times New Roman" w:cs="Times New Roman"/>
                <w:kern w:val="0"/>
                <w:sz w:val="15"/>
                <w:szCs w:val="15"/>
              </w:rPr>
            </w:pPr>
            <w:r>
              <w:rPr>
                <w:rFonts w:ascii="Times New Roman" w:hAnsi="Times New Roman" w:cs="Times New Roman"/>
                <w:kern w:val="0"/>
                <w:sz w:val="15"/>
                <w:szCs w:val="15"/>
              </w:rPr>
              <w:t>设计洪水位的稳定渗流期</w:t>
            </w:r>
          </w:p>
        </w:tc>
        <w:tc>
          <w:tcPr>
            <w:tcW w:w="1040" w:type="dxa"/>
            <w:vMerge w:val="restart"/>
            <w:tcBorders>
              <w:top w:val="nil"/>
              <w:left w:val="single" w:color="auto" w:sz="4" w:space="0"/>
              <w:bottom w:val="single" w:color="000000" w:sz="4" w:space="0"/>
              <w:right w:val="single" w:color="auto" w:sz="4" w:space="0"/>
            </w:tcBorders>
            <w:vAlign w:val="center"/>
          </w:tcPr>
          <w:p w14:paraId="0DEE7B61">
            <w:pPr>
              <w:widowControl/>
              <w:jc w:val="center"/>
              <w:rPr>
                <w:rFonts w:ascii="Times New Roman" w:hAnsi="Times New Roman" w:eastAsia="等线" w:cs="Times New Roman"/>
                <w:kern w:val="0"/>
                <w:sz w:val="15"/>
                <w:szCs w:val="15"/>
              </w:rPr>
            </w:pPr>
            <w:r>
              <w:rPr>
                <w:rFonts w:ascii="Times New Roman" w:hAnsi="Times New Roman" w:eastAsia="等线" w:cs="Times New Roman"/>
                <w:kern w:val="0"/>
                <w:sz w:val="15"/>
                <w:szCs w:val="15"/>
              </w:rPr>
              <w:t>1.25</w:t>
            </w:r>
          </w:p>
        </w:tc>
        <w:tc>
          <w:tcPr>
            <w:tcW w:w="1040" w:type="dxa"/>
            <w:vMerge w:val="restart"/>
            <w:tcBorders>
              <w:top w:val="nil"/>
              <w:left w:val="single" w:color="auto" w:sz="4" w:space="0"/>
              <w:bottom w:val="single" w:color="000000" w:sz="4" w:space="0"/>
              <w:right w:val="single" w:color="auto" w:sz="4" w:space="0"/>
            </w:tcBorders>
            <w:vAlign w:val="center"/>
          </w:tcPr>
          <w:p w14:paraId="2060A08D">
            <w:pPr>
              <w:widowControl/>
              <w:jc w:val="center"/>
              <w:rPr>
                <w:rFonts w:ascii="Times New Roman" w:hAnsi="Times New Roman" w:eastAsia="等线" w:cs="Times New Roman"/>
                <w:kern w:val="0"/>
                <w:sz w:val="15"/>
                <w:szCs w:val="15"/>
              </w:rPr>
            </w:pPr>
            <w:r>
              <w:rPr>
                <w:rFonts w:ascii="Times New Roman" w:hAnsi="Times New Roman" w:eastAsia="等线" w:cs="Times New Roman"/>
                <w:kern w:val="0"/>
                <w:sz w:val="15"/>
                <w:szCs w:val="15"/>
              </w:rPr>
              <w:t>1.20</w:t>
            </w:r>
          </w:p>
        </w:tc>
        <w:tc>
          <w:tcPr>
            <w:tcW w:w="1040" w:type="dxa"/>
            <w:vMerge w:val="restart"/>
            <w:tcBorders>
              <w:top w:val="nil"/>
              <w:left w:val="single" w:color="auto" w:sz="4" w:space="0"/>
              <w:bottom w:val="single" w:color="000000" w:sz="4" w:space="0"/>
              <w:right w:val="single" w:color="auto" w:sz="12" w:space="0"/>
            </w:tcBorders>
            <w:vAlign w:val="center"/>
          </w:tcPr>
          <w:p w14:paraId="56005002">
            <w:pPr>
              <w:widowControl/>
              <w:jc w:val="center"/>
              <w:rPr>
                <w:rFonts w:ascii="Times New Roman" w:hAnsi="Times New Roman" w:eastAsia="等线" w:cs="Times New Roman"/>
                <w:kern w:val="0"/>
                <w:sz w:val="15"/>
                <w:szCs w:val="15"/>
              </w:rPr>
            </w:pPr>
            <w:r>
              <w:rPr>
                <w:rFonts w:ascii="Times New Roman" w:hAnsi="Times New Roman" w:eastAsia="等线" w:cs="Times New Roman"/>
                <w:kern w:val="0"/>
                <w:sz w:val="15"/>
                <w:szCs w:val="15"/>
              </w:rPr>
              <w:t>1.15</w:t>
            </w:r>
          </w:p>
        </w:tc>
      </w:tr>
      <w:tr w14:paraId="0EAEA361">
        <w:tblPrEx>
          <w:tblCellMar>
            <w:top w:w="0" w:type="dxa"/>
            <w:left w:w="108" w:type="dxa"/>
            <w:bottom w:w="0" w:type="dxa"/>
            <w:right w:w="108" w:type="dxa"/>
          </w:tblCellMar>
        </w:tblPrEx>
        <w:trPr>
          <w:trHeight w:val="280" w:hRule="atLeast"/>
        </w:trPr>
        <w:tc>
          <w:tcPr>
            <w:tcW w:w="1380" w:type="dxa"/>
            <w:vMerge w:val="continue"/>
            <w:tcBorders>
              <w:top w:val="nil"/>
              <w:left w:val="single" w:color="auto" w:sz="12" w:space="0"/>
              <w:bottom w:val="single" w:color="000000" w:sz="4" w:space="0"/>
              <w:right w:val="single" w:color="auto" w:sz="4" w:space="0"/>
            </w:tcBorders>
            <w:vAlign w:val="center"/>
          </w:tcPr>
          <w:p w14:paraId="52FFE6B3">
            <w:pPr>
              <w:widowControl/>
              <w:jc w:val="left"/>
              <w:rPr>
                <w:rFonts w:ascii="Times New Roman" w:hAnsi="Times New Roman" w:cs="Times New Roman"/>
                <w:kern w:val="0"/>
                <w:sz w:val="15"/>
                <w:szCs w:val="15"/>
              </w:rPr>
            </w:pPr>
          </w:p>
        </w:tc>
        <w:tc>
          <w:tcPr>
            <w:tcW w:w="3760" w:type="dxa"/>
            <w:tcBorders>
              <w:top w:val="nil"/>
              <w:left w:val="nil"/>
              <w:bottom w:val="single" w:color="auto" w:sz="4" w:space="0"/>
              <w:right w:val="single" w:color="auto" w:sz="4" w:space="0"/>
            </w:tcBorders>
            <w:vAlign w:val="center"/>
          </w:tcPr>
          <w:p w14:paraId="7E7F854C">
            <w:pPr>
              <w:widowControl/>
              <w:jc w:val="left"/>
              <w:rPr>
                <w:rFonts w:ascii="Times New Roman" w:hAnsi="Times New Roman" w:cs="Times New Roman"/>
                <w:kern w:val="0"/>
                <w:sz w:val="15"/>
                <w:szCs w:val="15"/>
              </w:rPr>
            </w:pPr>
            <w:r>
              <w:rPr>
                <w:rFonts w:ascii="Times New Roman" w:hAnsi="Times New Roman" w:cs="Times New Roman"/>
                <w:kern w:val="0"/>
                <w:sz w:val="15"/>
                <w:szCs w:val="15"/>
              </w:rPr>
              <w:t>水位正常降落</w:t>
            </w:r>
          </w:p>
        </w:tc>
        <w:tc>
          <w:tcPr>
            <w:tcW w:w="1040" w:type="dxa"/>
            <w:vMerge w:val="continue"/>
            <w:tcBorders>
              <w:top w:val="nil"/>
              <w:left w:val="single" w:color="auto" w:sz="4" w:space="0"/>
              <w:bottom w:val="single" w:color="000000" w:sz="4" w:space="0"/>
              <w:right w:val="single" w:color="auto" w:sz="4" w:space="0"/>
            </w:tcBorders>
            <w:vAlign w:val="center"/>
          </w:tcPr>
          <w:p w14:paraId="30D9C2D6">
            <w:pPr>
              <w:widowControl/>
              <w:jc w:val="left"/>
              <w:rPr>
                <w:rFonts w:ascii="Times New Roman" w:hAnsi="Times New Roman" w:eastAsia="等线" w:cs="Times New Roman"/>
                <w:kern w:val="0"/>
                <w:sz w:val="15"/>
                <w:szCs w:val="15"/>
              </w:rPr>
            </w:pPr>
          </w:p>
        </w:tc>
        <w:tc>
          <w:tcPr>
            <w:tcW w:w="1040" w:type="dxa"/>
            <w:vMerge w:val="continue"/>
            <w:tcBorders>
              <w:top w:val="nil"/>
              <w:left w:val="single" w:color="auto" w:sz="4" w:space="0"/>
              <w:bottom w:val="single" w:color="000000" w:sz="4" w:space="0"/>
              <w:right w:val="single" w:color="auto" w:sz="4" w:space="0"/>
            </w:tcBorders>
            <w:vAlign w:val="center"/>
          </w:tcPr>
          <w:p w14:paraId="3A52D1E3">
            <w:pPr>
              <w:widowControl/>
              <w:jc w:val="left"/>
              <w:rPr>
                <w:rFonts w:ascii="Times New Roman" w:hAnsi="Times New Roman" w:eastAsia="等线" w:cs="Times New Roman"/>
                <w:kern w:val="0"/>
                <w:sz w:val="15"/>
                <w:szCs w:val="15"/>
              </w:rPr>
            </w:pPr>
          </w:p>
        </w:tc>
        <w:tc>
          <w:tcPr>
            <w:tcW w:w="1040" w:type="dxa"/>
            <w:vMerge w:val="continue"/>
            <w:tcBorders>
              <w:top w:val="nil"/>
              <w:left w:val="single" w:color="auto" w:sz="4" w:space="0"/>
              <w:bottom w:val="single" w:color="000000" w:sz="4" w:space="0"/>
              <w:right w:val="single" w:color="auto" w:sz="12" w:space="0"/>
            </w:tcBorders>
            <w:vAlign w:val="center"/>
          </w:tcPr>
          <w:p w14:paraId="3B3A59B5">
            <w:pPr>
              <w:widowControl/>
              <w:jc w:val="left"/>
              <w:rPr>
                <w:rFonts w:ascii="Times New Roman" w:hAnsi="Times New Roman" w:eastAsia="等线" w:cs="Times New Roman"/>
                <w:kern w:val="0"/>
                <w:sz w:val="15"/>
                <w:szCs w:val="15"/>
              </w:rPr>
            </w:pPr>
          </w:p>
        </w:tc>
      </w:tr>
      <w:tr w14:paraId="38000D97">
        <w:tblPrEx>
          <w:tblCellMar>
            <w:top w:w="0" w:type="dxa"/>
            <w:left w:w="108" w:type="dxa"/>
            <w:bottom w:w="0" w:type="dxa"/>
            <w:right w:w="108" w:type="dxa"/>
          </w:tblCellMar>
        </w:tblPrEx>
        <w:trPr>
          <w:trHeight w:val="280" w:hRule="atLeast"/>
        </w:trPr>
        <w:tc>
          <w:tcPr>
            <w:tcW w:w="1380" w:type="dxa"/>
            <w:vMerge w:val="restart"/>
            <w:tcBorders>
              <w:top w:val="nil"/>
              <w:left w:val="single" w:color="auto" w:sz="12" w:space="0"/>
              <w:bottom w:val="single" w:color="000000" w:sz="4" w:space="0"/>
              <w:right w:val="single" w:color="auto" w:sz="4" w:space="0"/>
            </w:tcBorders>
            <w:vAlign w:val="center"/>
          </w:tcPr>
          <w:p w14:paraId="1F764431">
            <w:pPr>
              <w:widowControl/>
              <w:jc w:val="center"/>
              <w:rPr>
                <w:rFonts w:ascii="宋体" w:hAnsi="宋体"/>
                <w:kern w:val="0"/>
                <w:sz w:val="15"/>
                <w:szCs w:val="15"/>
              </w:rPr>
            </w:pPr>
            <w:r>
              <w:rPr>
                <w:rFonts w:hint="eastAsia" w:ascii="宋体" w:hAnsi="宋体"/>
                <w:kern w:val="0"/>
                <w:sz w:val="15"/>
                <w:szCs w:val="15"/>
              </w:rPr>
              <w:t>非常运用条件Ⅰ</w:t>
            </w:r>
          </w:p>
        </w:tc>
        <w:tc>
          <w:tcPr>
            <w:tcW w:w="3760" w:type="dxa"/>
            <w:tcBorders>
              <w:top w:val="nil"/>
              <w:left w:val="nil"/>
              <w:bottom w:val="single" w:color="auto" w:sz="4" w:space="0"/>
              <w:right w:val="single" w:color="auto" w:sz="4" w:space="0"/>
            </w:tcBorders>
            <w:vAlign w:val="center"/>
          </w:tcPr>
          <w:p w14:paraId="3D1E286E">
            <w:pPr>
              <w:widowControl/>
              <w:jc w:val="left"/>
              <w:rPr>
                <w:rFonts w:ascii="Times New Roman" w:hAnsi="Times New Roman" w:cs="Times New Roman"/>
                <w:kern w:val="0"/>
                <w:sz w:val="15"/>
                <w:szCs w:val="15"/>
              </w:rPr>
            </w:pPr>
            <w:r>
              <w:rPr>
                <w:rFonts w:ascii="Times New Roman" w:hAnsi="Times New Roman" w:cs="Times New Roman"/>
                <w:kern w:val="0"/>
                <w:sz w:val="15"/>
                <w:szCs w:val="15"/>
              </w:rPr>
              <w:t>施工期</w:t>
            </w:r>
          </w:p>
        </w:tc>
        <w:tc>
          <w:tcPr>
            <w:tcW w:w="1040" w:type="dxa"/>
            <w:vMerge w:val="restart"/>
            <w:tcBorders>
              <w:top w:val="nil"/>
              <w:left w:val="single" w:color="auto" w:sz="4" w:space="0"/>
              <w:bottom w:val="single" w:color="000000" w:sz="4" w:space="0"/>
              <w:right w:val="single" w:color="auto" w:sz="4" w:space="0"/>
            </w:tcBorders>
            <w:vAlign w:val="center"/>
          </w:tcPr>
          <w:p w14:paraId="04377048">
            <w:pPr>
              <w:widowControl/>
              <w:jc w:val="center"/>
              <w:rPr>
                <w:rFonts w:ascii="Times New Roman" w:hAnsi="Times New Roman" w:eastAsia="等线" w:cs="Times New Roman"/>
                <w:kern w:val="0"/>
                <w:sz w:val="15"/>
                <w:szCs w:val="15"/>
              </w:rPr>
            </w:pPr>
            <w:r>
              <w:rPr>
                <w:rFonts w:ascii="Times New Roman" w:hAnsi="Times New Roman" w:eastAsia="等线" w:cs="Times New Roman"/>
                <w:kern w:val="0"/>
                <w:sz w:val="15"/>
                <w:szCs w:val="15"/>
              </w:rPr>
              <w:t>1.15</w:t>
            </w:r>
          </w:p>
        </w:tc>
        <w:tc>
          <w:tcPr>
            <w:tcW w:w="1040" w:type="dxa"/>
            <w:vMerge w:val="restart"/>
            <w:tcBorders>
              <w:top w:val="nil"/>
              <w:left w:val="single" w:color="auto" w:sz="4" w:space="0"/>
              <w:bottom w:val="single" w:color="000000" w:sz="4" w:space="0"/>
              <w:right w:val="single" w:color="auto" w:sz="4" w:space="0"/>
            </w:tcBorders>
            <w:vAlign w:val="center"/>
          </w:tcPr>
          <w:p w14:paraId="39734D10">
            <w:pPr>
              <w:widowControl/>
              <w:jc w:val="center"/>
              <w:rPr>
                <w:rFonts w:ascii="Times New Roman" w:hAnsi="Times New Roman" w:eastAsia="等线" w:cs="Times New Roman"/>
                <w:kern w:val="0"/>
                <w:sz w:val="15"/>
                <w:szCs w:val="15"/>
              </w:rPr>
            </w:pPr>
            <w:r>
              <w:rPr>
                <w:rFonts w:ascii="Times New Roman" w:hAnsi="Times New Roman" w:eastAsia="等线" w:cs="Times New Roman"/>
                <w:kern w:val="0"/>
                <w:sz w:val="15"/>
                <w:szCs w:val="15"/>
              </w:rPr>
              <w:t>1.10</w:t>
            </w:r>
          </w:p>
        </w:tc>
        <w:tc>
          <w:tcPr>
            <w:tcW w:w="1040" w:type="dxa"/>
            <w:vMerge w:val="restart"/>
            <w:tcBorders>
              <w:top w:val="nil"/>
              <w:left w:val="single" w:color="auto" w:sz="4" w:space="0"/>
              <w:bottom w:val="single" w:color="000000" w:sz="4" w:space="0"/>
              <w:right w:val="single" w:color="auto" w:sz="12" w:space="0"/>
            </w:tcBorders>
            <w:vAlign w:val="center"/>
          </w:tcPr>
          <w:p w14:paraId="23391730">
            <w:pPr>
              <w:widowControl/>
              <w:jc w:val="center"/>
              <w:rPr>
                <w:rFonts w:ascii="Times New Roman" w:hAnsi="Times New Roman" w:eastAsia="等线" w:cs="Times New Roman"/>
                <w:kern w:val="0"/>
                <w:sz w:val="15"/>
                <w:szCs w:val="15"/>
              </w:rPr>
            </w:pPr>
            <w:r>
              <w:rPr>
                <w:rFonts w:ascii="Times New Roman" w:hAnsi="Times New Roman" w:eastAsia="等线" w:cs="Times New Roman"/>
                <w:kern w:val="0"/>
                <w:sz w:val="15"/>
                <w:szCs w:val="15"/>
              </w:rPr>
              <w:t>1.05</w:t>
            </w:r>
          </w:p>
        </w:tc>
      </w:tr>
      <w:tr w14:paraId="2F47F26A">
        <w:tblPrEx>
          <w:tblCellMar>
            <w:top w:w="0" w:type="dxa"/>
            <w:left w:w="108" w:type="dxa"/>
            <w:bottom w:w="0" w:type="dxa"/>
            <w:right w:w="108" w:type="dxa"/>
          </w:tblCellMar>
        </w:tblPrEx>
        <w:trPr>
          <w:trHeight w:val="280" w:hRule="atLeast"/>
        </w:trPr>
        <w:tc>
          <w:tcPr>
            <w:tcW w:w="1380" w:type="dxa"/>
            <w:vMerge w:val="continue"/>
            <w:tcBorders>
              <w:top w:val="nil"/>
              <w:left w:val="single" w:color="auto" w:sz="12" w:space="0"/>
              <w:bottom w:val="single" w:color="000000" w:sz="4" w:space="0"/>
              <w:right w:val="single" w:color="auto" w:sz="4" w:space="0"/>
            </w:tcBorders>
            <w:vAlign w:val="center"/>
          </w:tcPr>
          <w:p w14:paraId="51795895">
            <w:pPr>
              <w:widowControl/>
              <w:jc w:val="left"/>
              <w:rPr>
                <w:rFonts w:ascii="宋体" w:hAnsi="宋体"/>
                <w:kern w:val="0"/>
                <w:sz w:val="15"/>
                <w:szCs w:val="15"/>
              </w:rPr>
            </w:pPr>
          </w:p>
        </w:tc>
        <w:tc>
          <w:tcPr>
            <w:tcW w:w="3760" w:type="dxa"/>
            <w:tcBorders>
              <w:top w:val="nil"/>
              <w:left w:val="nil"/>
              <w:bottom w:val="single" w:color="auto" w:sz="4" w:space="0"/>
              <w:right w:val="single" w:color="auto" w:sz="4" w:space="0"/>
            </w:tcBorders>
            <w:vAlign w:val="center"/>
          </w:tcPr>
          <w:p w14:paraId="207A8162">
            <w:pPr>
              <w:widowControl/>
              <w:jc w:val="left"/>
              <w:rPr>
                <w:rFonts w:ascii="Times New Roman" w:hAnsi="Times New Roman" w:cs="Times New Roman"/>
                <w:kern w:val="0"/>
                <w:sz w:val="15"/>
                <w:szCs w:val="15"/>
              </w:rPr>
            </w:pPr>
            <w:r>
              <w:rPr>
                <w:rFonts w:ascii="Times New Roman" w:hAnsi="Times New Roman" w:cs="Times New Roman"/>
                <w:kern w:val="0"/>
                <w:sz w:val="15"/>
                <w:szCs w:val="15"/>
              </w:rPr>
              <w:t>校核洪水位有可能形成稳定渗流的情况</w:t>
            </w:r>
          </w:p>
        </w:tc>
        <w:tc>
          <w:tcPr>
            <w:tcW w:w="1040" w:type="dxa"/>
            <w:vMerge w:val="continue"/>
            <w:tcBorders>
              <w:top w:val="nil"/>
              <w:left w:val="single" w:color="auto" w:sz="4" w:space="0"/>
              <w:bottom w:val="single" w:color="000000" w:sz="4" w:space="0"/>
              <w:right w:val="single" w:color="auto" w:sz="4" w:space="0"/>
            </w:tcBorders>
            <w:vAlign w:val="center"/>
          </w:tcPr>
          <w:p w14:paraId="7D272E9F">
            <w:pPr>
              <w:widowControl/>
              <w:jc w:val="left"/>
              <w:rPr>
                <w:rFonts w:ascii="Times New Roman" w:hAnsi="Times New Roman" w:eastAsia="等线" w:cs="Times New Roman"/>
                <w:kern w:val="0"/>
                <w:sz w:val="15"/>
                <w:szCs w:val="15"/>
              </w:rPr>
            </w:pPr>
          </w:p>
        </w:tc>
        <w:tc>
          <w:tcPr>
            <w:tcW w:w="1040" w:type="dxa"/>
            <w:vMerge w:val="continue"/>
            <w:tcBorders>
              <w:top w:val="nil"/>
              <w:left w:val="single" w:color="auto" w:sz="4" w:space="0"/>
              <w:bottom w:val="single" w:color="000000" w:sz="4" w:space="0"/>
              <w:right w:val="single" w:color="auto" w:sz="4" w:space="0"/>
            </w:tcBorders>
            <w:vAlign w:val="center"/>
          </w:tcPr>
          <w:p w14:paraId="085A2A18">
            <w:pPr>
              <w:widowControl/>
              <w:jc w:val="left"/>
              <w:rPr>
                <w:rFonts w:ascii="Times New Roman" w:hAnsi="Times New Roman" w:eastAsia="等线" w:cs="Times New Roman"/>
                <w:kern w:val="0"/>
                <w:sz w:val="15"/>
                <w:szCs w:val="15"/>
              </w:rPr>
            </w:pPr>
          </w:p>
        </w:tc>
        <w:tc>
          <w:tcPr>
            <w:tcW w:w="1040" w:type="dxa"/>
            <w:vMerge w:val="continue"/>
            <w:tcBorders>
              <w:top w:val="nil"/>
              <w:left w:val="single" w:color="auto" w:sz="4" w:space="0"/>
              <w:bottom w:val="single" w:color="000000" w:sz="4" w:space="0"/>
              <w:right w:val="single" w:color="auto" w:sz="12" w:space="0"/>
            </w:tcBorders>
            <w:vAlign w:val="center"/>
          </w:tcPr>
          <w:p w14:paraId="5B3B27E3">
            <w:pPr>
              <w:widowControl/>
              <w:jc w:val="left"/>
              <w:rPr>
                <w:rFonts w:ascii="Times New Roman" w:hAnsi="Times New Roman" w:eastAsia="等线" w:cs="Times New Roman"/>
                <w:kern w:val="0"/>
                <w:sz w:val="15"/>
                <w:szCs w:val="15"/>
              </w:rPr>
            </w:pPr>
          </w:p>
        </w:tc>
      </w:tr>
      <w:tr w14:paraId="76717C55">
        <w:tblPrEx>
          <w:tblCellMar>
            <w:top w:w="0" w:type="dxa"/>
            <w:left w:w="108" w:type="dxa"/>
            <w:bottom w:w="0" w:type="dxa"/>
            <w:right w:w="108" w:type="dxa"/>
          </w:tblCellMar>
        </w:tblPrEx>
        <w:trPr>
          <w:trHeight w:val="280" w:hRule="atLeast"/>
        </w:trPr>
        <w:tc>
          <w:tcPr>
            <w:tcW w:w="1380" w:type="dxa"/>
            <w:vMerge w:val="continue"/>
            <w:tcBorders>
              <w:top w:val="nil"/>
              <w:left w:val="single" w:color="auto" w:sz="12" w:space="0"/>
              <w:bottom w:val="single" w:color="000000" w:sz="4" w:space="0"/>
              <w:right w:val="single" w:color="auto" w:sz="4" w:space="0"/>
            </w:tcBorders>
            <w:vAlign w:val="center"/>
          </w:tcPr>
          <w:p w14:paraId="2A27FB69">
            <w:pPr>
              <w:widowControl/>
              <w:jc w:val="left"/>
              <w:rPr>
                <w:rFonts w:ascii="宋体" w:hAnsi="宋体"/>
                <w:kern w:val="0"/>
                <w:sz w:val="15"/>
                <w:szCs w:val="15"/>
              </w:rPr>
            </w:pPr>
          </w:p>
        </w:tc>
        <w:tc>
          <w:tcPr>
            <w:tcW w:w="3760" w:type="dxa"/>
            <w:tcBorders>
              <w:top w:val="nil"/>
              <w:left w:val="nil"/>
              <w:bottom w:val="nil"/>
              <w:right w:val="single" w:color="auto" w:sz="4" w:space="0"/>
            </w:tcBorders>
            <w:vAlign w:val="center"/>
          </w:tcPr>
          <w:p w14:paraId="67CC0D17">
            <w:pPr>
              <w:widowControl/>
              <w:jc w:val="left"/>
              <w:rPr>
                <w:rFonts w:ascii="Times New Roman" w:hAnsi="Times New Roman" w:cs="Times New Roman"/>
                <w:kern w:val="0"/>
                <w:sz w:val="15"/>
                <w:szCs w:val="15"/>
              </w:rPr>
            </w:pPr>
            <w:r>
              <w:rPr>
                <w:rFonts w:ascii="Times New Roman" w:hAnsi="Times New Roman" w:cs="Times New Roman"/>
                <w:kern w:val="0"/>
                <w:sz w:val="15"/>
                <w:szCs w:val="15"/>
              </w:rPr>
              <w:t>水位非常降落</w:t>
            </w:r>
          </w:p>
        </w:tc>
        <w:tc>
          <w:tcPr>
            <w:tcW w:w="1040" w:type="dxa"/>
            <w:vMerge w:val="continue"/>
            <w:tcBorders>
              <w:top w:val="nil"/>
              <w:left w:val="single" w:color="auto" w:sz="4" w:space="0"/>
              <w:bottom w:val="single" w:color="000000" w:sz="4" w:space="0"/>
              <w:right w:val="single" w:color="auto" w:sz="4" w:space="0"/>
            </w:tcBorders>
            <w:vAlign w:val="center"/>
          </w:tcPr>
          <w:p w14:paraId="19046822">
            <w:pPr>
              <w:widowControl/>
              <w:jc w:val="left"/>
              <w:rPr>
                <w:rFonts w:ascii="Times New Roman" w:hAnsi="Times New Roman" w:eastAsia="等线" w:cs="Times New Roman"/>
                <w:kern w:val="0"/>
                <w:sz w:val="15"/>
                <w:szCs w:val="15"/>
              </w:rPr>
            </w:pPr>
          </w:p>
        </w:tc>
        <w:tc>
          <w:tcPr>
            <w:tcW w:w="1040" w:type="dxa"/>
            <w:vMerge w:val="continue"/>
            <w:tcBorders>
              <w:top w:val="nil"/>
              <w:left w:val="single" w:color="auto" w:sz="4" w:space="0"/>
              <w:bottom w:val="single" w:color="000000" w:sz="4" w:space="0"/>
              <w:right w:val="single" w:color="auto" w:sz="4" w:space="0"/>
            </w:tcBorders>
            <w:vAlign w:val="center"/>
          </w:tcPr>
          <w:p w14:paraId="7A1909CA">
            <w:pPr>
              <w:widowControl/>
              <w:jc w:val="left"/>
              <w:rPr>
                <w:rFonts w:ascii="Times New Roman" w:hAnsi="Times New Roman" w:eastAsia="等线" w:cs="Times New Roman"/>
                <w:kern w:val="0"/>
                <w:sz w:val="15"/>
                <w:szCs w:val="15"/>
              </w:rPr>
            </w:pPr>
          </w:p>
        </w:tc>
        <w:tc>
          <w:tcPr>
            <w:tcW w:w="1040" w:type="dxa"/>
            <w:vMerge w:val="continue"/>
            <w:tcBorders>
              <w:top w:val="nil"/>
              <w:left w:val="single" w:color="auto" w:sz="4" w:space="0"/>
              <w:bottom w:val="single" w:color="000000" w:sz="4" w:space="0"/>
              <w:right w:val="single" w:color="auto" w:sz="12" w:space="0"/>
            </w:tcBorders>
            <w:vAlign w:val="center"/>
          </w:tcPr>
          <w:p w14:paraId="2FADF18D">
            <w:pPr>
              <w:widowControl/>
              <w:jc w:val="left"/>
              <w:rPr>
                <w:rFonts w:ascii="Times New Roman" w:hAnsi="Times New Roman" w:eastAsia="等线" w:cs="Times New Roman"/>
                <w:kern w:val="0"/>
                <w:sz w:val="15"/>
                <w:szCs w:val="15"/>
              </w:rPr>
            </w:pPr>
          </w:p>
        </w:tc>
      </w:tr>
      <w:tr w14:paraId="7D4B17A5">
        <w:tblPrEx>
          <w:tblCellMar>
            <w:top w:w="0" w:type="dxa"/>
            <w:left w:w="108" w:type="dxa"/>
            <w:bottom w:w="0" w:type="dxa"/>
            <w:right w:w="108" w:type="dxa"/>
          </w:tblCellMar>
        </w:tblPrEx>
        <w:trPr>
          <w:trHeight w:val="290" w:hRule="atLeast"/>
        </w:trPr>
        <w:tc>
          <w:tcPr>
            <w:tcW w:w="1380" w:type="dxa"/>
            <w:tcBorders>
              <w:top w:val="nil"/>
              <w:left w:val="single" w:color="auto" w:sz="12" w:space="0"/>
              <w:bottom w:val="single" w:color="auto" w:sz="12" w:space="0"/>
              <w:right w:val="single" w:color="auto" w:sz="4" w:space="0"/>
            </w:tcBorders>
            <w:vAlign w:val="center"/>
          </w:tcPr>
          <w:p w14:paraId="365E275F">
            <w:pPr>
              <w:widowControl/>
              <w:jc w:val="center"/>
              <w:rPr>
                <w:rFonts w:ascii="宋体" w:hAnsi="宋体"/>
                <w:kern w:val="0"/>
                <w:sz w:val="15"/>
                <w:szCs w:val="15"/>
              </w:rPr>
            </w:pPr>
            <w:r>
              <w:rPr>
                <w:rFonts w:hint="eastAsia" w:ascii="宋体" w:hAnsi="宋体"/>
                <w:kern w:val="0"/>
                <w:sz w:val="15"/>
                <w:szCs w:val="15"/>
              </w:rPr>
              <w:t>非常运用条件Ⅱ</w:t>
            </w:r>
          </w:p>
        </w:tc>
        <w:tc>
          <w:tcPr>
            <w:tcW w:w="3760" w:type="dxa"/>
            <w:tcBorders>
              <w:top w:val="single" w:color="auto" w:sz="4" w:space="0"/>
              <w:left w:val="nil"/>
              <w:bottom w:val="single" w:color="auto" w:sz="12" w:space="0"/>
              <w:right w:val="single" w:color="auto" w:sz="4" w:space="0"/>
            </w:tcBorders>
            <w:vAlign w:val="center"/>
          </w:tcPr>
          <w:p w14:paraId="525043FF">
            <w:pPr>
              <w:widowControl/>
              <w:jc w:val="left"/>
              <w:rPr>
                <w:rFonts w:ascii="Times New Roman" w:hAnsi="Times New Roman" w:cs="Times New Roman"/>
                <w:kern w:val="0"/>
                <w:sz w:val="15"/>
                <w:szCs w:val="15"/>
              </w:rPr>
            </w:pPr>
            <w:r>
              <w:rPr>
                <w:rFonts w:ascii="Times New Roman" w:hAnsi="Times New Roman" w:cs="Times New Roman"/>
                <w:kern w:val="0"/>
                <w:sz w:val="15"/>
                <w:szCs w:val="15"/>
              </w:rPr>
              <w:t>正常运用条件+地震</w:t>
            </w:r>
          </w:p>
        </w:tc>
        <w:tc>
          <w:tcPr>
            <w:tcW w:w="1040" w:type="dxa"/>
            <w:tcBorders>
              <w:top w:val="nil"/>
              <w:left w:val="nil"/>
              <w:bottom w:val="single" w:color="auto" w:sz="12" w:space="0"/>
              <w:right w:val="single" w:color="auto" w:sz="4" w:space="0"/>
            </w:tcBorders>
            <w:vAlign w:val="center"/>
          </w:tcPr>
          <w:p w14:paraId="2BED762B">
            <w:pPr>
              <w:widowControl/>
              <w:jc w:val="center"/>
              <w:rPr>
                <w:rFonts w:ascii="Times New Roman" w:hAnsi="Times New Roman" w:eastAsia="等线" w:cs="Times New Roman"/>
                <w:kern w:val="0"/>
                <w:sz w:val="15"/>
                <w:szCs w:val="15"/>
              </w:rPr>
            </w:pPr>
            <w:r>
              <w:rPr>
                <w:rFonts w:ascii="Times New Roman" w:hAnsi="Times New Roman" w:eastAsia="等线" w:cs="Times New Roman"/>
                <w:kern w:val="0"/>
                <w:sz w:val="15"/>
                <w:szCs w:val="15"/>
              </w:rPr>
              <w:t>1.05</w:t>
            </w:r>
          </w:p>
        </w:tc>
        <w:tc>
          <w:tcPr>
            <w:tcW w:w="1040" w:type="dxa"/>
            <w:tcBorders>
              <w:top w:val="nil"/>
              <w:left w:val="nil"/>
              <w:bottom w:val="single" w:color="auto" w:sz="12" w:space="0"/>
              <w:right w:val="single" w:color="auto" w:sz="4" w:space="0"/>
            </w:tcBorders>
            <w:vAlign w:val="center"/>
          </w:tcPr>
          <w:p w14:paraId="2D7226DC">
            <w:pPr>
              <w:widowControl/>
              <w:jc w:val="center"/>
              <w:rPr>
                <w:rFonts w:ascii="Times New Roman" w:hAnsi="Times New Roman" w:eastAsia="等线" w:cs="Times New Roman"/>
                <w:kern w:val="0"/>
                <w:sz w:val="15"/>
                <w:szCs w:val="15"/>
              </w:rPr>
            </w:pPr>
            <w:r>
              <w:rPr>
                <w:rFonts w:ascii="Times New Roman" w:hAnsi="Times New Roman" w:eastAsia="等线" w:cs="Times New Roman"/>
                <w:kern w:val="0"/>
                <w:sz w:val="15"/>
                <w:szCs w:val="15"/>
              </w:rPr>
              <w:t>1.05</w:t>
            </w:r>
          </w:p>
        </w:tc>
        <w:tc>
          <w:tcPr>
            <w:tcW w:w="1040" w:type="dxa"/>
            <w:tcBorders>
              <w:top w:val="nil"/>
              <w:left w:val="nil"/>
              <w:bottom w:val="single" w:color="auto" w:sz="12" w:space="0"/>
              <w:right w:val="single" w:color="auto" w:sz="12" w:space="0"/>
            </w:tcBorders>
            <w:vAlign w:val="center"/>
          </w:tcPr>
          <w:p w14:paraId="5D424C1E">
            <w:pPr>
              <w:widowControl/>
              <w:jc w:val="center"/>
              <w:rPr>
                <w:rFonts w:ascii="Times New Roman" w:hAnsi="Times New Roman" w:eastAsia="等线" w:cs="Times New Roman"/>
                <w:kern w:val="0"/>
                <w:sz w:val="15"/>
                <w:szCs w:val="15"/>
              </w:rPr>
            </w:pPr>
            <w:r>
              <w:rPr>
                <w:rFonts w:ascii="Times New Roman" w:hAnsi="Times New Roman" w:eastAsia="等线" w:cs="Times New Roman"/>
                <w:kern w:val="0"/>
                <w:sz w:val="15"/>
                <w:szCs w:val="15"/>
              </w:rPr>
              <w:t>1.05</w:t>
            </w:r>
          </w:p>
        </w:tc>
      </w:tr>
    </w:tbl>
    <w:p w14:paraId="42292821">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重力坝坝体抗滑稳定计算主要核算坝基面滑动条件，应按抗剪断强度或抗剪强度计算坝基面的抗滑稳定安全系数。抗滑稳定安全系数不应小于表4.2.11-2规定的数值。除深层抗滑稳定以外的坝体抗滑稳定计算，应分析下列情况：</w:t>
      </w:r>
    </w:p>
    <w:p w14:paraId="66748935">
      <w:pPr>
        <w:spacing w:line="360" w:lineRule="auto"/>
        <w:ind w:firstLine="632" w:firstLineChars="300"/>
        <w:rPr>
          <w:rFonts w:ascii="Times New Roman" w:hAnsi="Times New Roman" w:cs="Times New Roman"/>
          <w:sz w:val="21"/>
          <w:szCs w:val="21"/>
        </w:rPr>
      </w:pPr>
      <w:r>
        <w:rPr>
          <w:rFonts w:ascii="Times New Roman" w:hAnsi="Times New Roman" w:eastAsia="黑体" w:cs="Times New Roman"/>
          <w:b/>
          <w:bCs/>
          <w:sz w:val="21"/>
          <w:szCs w:val="21"/>
        </w:rPr>
        <w:t>1</w:t>
      </w:r>
      <w:r>
        <w:rPr>
          <w:rFonts w:hint="eastAsia" w:ascii="宋体" w:hAnsi="宋体"/>
          <w:sz w:val="21"/>
          <w:szCs w:val="21"/>
        </w:rPr>
        <w:t>）</w:t>
      </w:r>
      <w:r>
        <w:rPr>
          <w:rFonts w:ascii="Times New Roman" w:hAnsi="Times New Roman" w:cs="Times New Roman"/>
          <w:sz w:val="21"/>
          <w:szCs w:val="21"/>
        </w:rPr>
        <w:t>沿垫层混凝土与基岩接触面滑动；</w:t>
      </w:r>
    </w:p>
    <w:p w14:paraId="1719F235">
      <w:pPr>
        <w:spacing w:line="360" w:lineRule="auto"/>
        <w:ind w:firstLine="632" w:firstLineChars="300"/>
        <w:rPr>
          <w:rFonts w:ascii="Times New Roman" w:hAnsi="Times New Roman" w:cs="Times New Roman"/>
          <w:sz w:val="21"/>
          <w:szCs w:val="21"/>
        </w:rPr>
      </w:pPr>
      <w:r>
        <w:rPr>
          <w:rFonts w:ascii="Times New Roman" w:hAnsi="Times New Roman" w:eastAsia="黑体" w:cs="Times New Roman"/>
          <w:b/>
          <w:bCs/>
          <w:sz w:val="21"/>
          <w:szCs w:val="21"/>
        </w:rPr>
        <w:t>2</w:t>
      </w:r>
      <w:r>
        <w:rPr>
          <w:rFonts w:hint="eastAsia" w:ascii="宋体" w:hAnsi="宋体"/>
          <w:sz w:val="21"/>
          <w:szCs w:val="21"/>
        </w:rPr>
        <w:t>）</w:t>
      </w:r>
      <w:r>
        <w:rPr>
          <w:rFonts w:ascii="Times New Roman" w:hAnsi="Times New Roman" w:cs="Times New Roman"/>
          <w:sz w:val="21"/>
          <w:szCs w:val="21"/>
        </w:rPr>
        <w:t>沿砌石体与垫层混凝土接触面滑动；</w:t>
      </w:r>
    </w:p>
    <w:p w14:paraId="5CEFD30C">
      <w:pPr>
        <w:spacing w:line="360" w:lineRule="auto"/>
        <w:ind w:firstLine="632" w:firstLineChars="300"/>
        <w:rPr>
          <w:rFonts w:ascii="Times New Roman" w:hAnsi="Times New Roman" w:cs="Times New Roman"/>
          <w:sz w:val="21"/>
          <w:szCs w:val="21"/>
        </w:rPr>
      </w:pPr>
      <w:r>
        <w:rPr>
          <w:rFonts w:ascii="Times New Roman" w:hAnsi="Times New Roman" w:eastAsia="黑体" w:cs="Times New Roman"/>
          <w:b/>
          <w:bCs/>
          <w:sz w:val="21"/>
          <w:szCs w:val="21"/>
        </w:rPr>
        <w:t>3</w:t>
      </w:r>
      <w:r>
        <w:rPr>
          <w:rFonts w:hint="eastAsia" w:ascii="宋体" w:hAnsi="宋体"/>
          <w:sz w:val="21"/>
          <w:szCs w:val="21"/>
        </w:rPr>
        <w:t>）</w:t>
      </w:r>
      <w:r>
        <w:rPr>
          <w:rFonts w:ascii="Times New Roman" w:hAnsi="Times New Roman" w:cs="Times New Roman"/>
          <w:sz w:val="21"/>
          <w:szCs w:val="21"/>
        </w:rPr>
        <w:t>砌石体之间的滑动。</w:t>
      </w:r>
    </w:p>
    <w:p w14:paraId="68BC2FEF">
      <w:pPr>
        <w:spacing w:line="360" w:lineRule="auto"/>
        <w:ind w:firstLine="420" w:firstLineChars="200"/>
        <w:rPr>
          <w:rFonts w:ascii="Times New Roman" w:hAnsi="Times New Roman" w:cs="Times New Roman"/>
          <w:sz w:val="21"/>
          <w:szCs w:val="21"/>
        </w:rPr>
      </w:pPr>
      <w:r>
        <w:rPr>
          <w:rFonts w:ascii="Times New Roman" w:hAnsi="Times New Roman" w:cs="Times New Roman"/>
          <w:sz w:val="21"/>
          <w:szCs w:val="21"/>
        </w:rPr>
        <w:t>当坝基岩体内存在软弱结构面、缓倾角结构面时，应计算深层抗滑稳定。根据滑动面的分布情况，可分为单滑面、双滑面和多滑面计算模式，采用刚体极限平衡法计算。</w:t>
      </w:r>
    </w:p>
    <w:p w14:paraId="6CE0DB83">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11-2  重力坝稳定计算抗滑稳定安全系数</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745"/>
        <w:gridCol w:w="1395"/>
        <w:gridCol w:w="1746"/>
        <w:gridCol w:w="975"/>
        <w:gridCol w:w="914"/>
      </w:tblGrid>
      <w:tr w14:paraId="22E67E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907" w:type="pct"/>
            <w:vAlign w:val="center"/>
          </w:tcPr>
          <w:p w14:paraId="527D1E51">
            <w:pPr>
              <w:jc w:val="center"/>
              <w:rPr>
                <w:rFonts w:ascii="Times New Roman" w:hAnsi="Times New Roman" w:cs="Times New Roman"/>
                <w:sz w:val="15"/>
                <w:szCs w:val="15"/>
              </w:rPr>
            </w:pPr>
            <w:r>
              <w:rPr>
                <w:rFonts w:ascii="Times New Roman" w:hAnsi="Times New Roman" w:cs="Times New Roman"/>
                <w:sz w:val="15"/>
                <w:szCs w:val="15"/>
              </w:rPr>
              <w:t>安全系数</w:t>
            </w:r>
          </w:p>
        </w:tc>
        <w:tc>
          <w:tcPr>
            <w:tcW w:w="1054" w:type="pct"/>
            <w:vAlign w:val="center"/>
          </w:tcPr>
          <w:p w14:paraId="7C9C7C3F">
            <w:pPr>
              <w:jc w:val="center"/>
              <w:rPr>
                <w:rFonts w:ascii="Times New Roman" w:hAnsi="Times New Roman" w:cs="Times New Roman"/>
                <w:sz w:val="15"/>
                <w:szCs w:val="15"/>
              </w:rPr>
            </w:pPr>
            <w:r>
              <w:rPr>
                <w:rFonts w:ascii="Times New Roman" w:hAnsi="Times New Roman" w:cs="Times New Roman"/>
                <w:sz w:val="15"/>
                <w:szCs w:val="15"/>
              </w:rPr>
              <w:t>采用公式</w:t>
            </w:r>
          </w:p>
        </w:tc>
        <w:tc>
          <w:tcPr>
            <w:tcW w:w="1898" w:type="pct"/>
            <w:gridSpan w:val="2"/>
            <w:vAlign w:val="center"/>
          </w:tcPr>
          <w:p w14:paraId="11D77DB2">
            <w:pPr>
              <w:jc w:val="center"/>
              <w:rPr>
                <w:rFonts w:ascii="Times New Roman" w:hAnsi="Times New Roman" w:cs="Times New Roman"/>
                <w:sz w:val="15"/>
                <w:szCs w:val="15"/>
              </w:rPr>
            </w:pPr>
            <w:r>
              <w:rPr>
                <w:rFonts w:ascii="Times New Roman" w:hAnsi="Times New Roman" w:cs="Times New Roman"/>
                <w:sz w:val="15"/>
                <w:szCs w:val="15"/>
              </w:rPr>
              <w:t>荷载组合</w:t>
            </w:r>
          </w:p>
        </w:tc>
        <w:tc>
          <w:tcPr>
            <w:tcW w:w="589" w:type="pct"/>
            <w:vAlign w:val="center"/>
          </w:tcPr>
          <w:p w14:paraId="0149F0C5">
            <w:pPr>
              <w:jc w:val="center"/>
              <w:rPr>
                <w:rFonts w:ascii="Times New Roman" w:hAnsi="Times New Roman" w:cs="Times New Roman"/>
                <w:sz w:val="15"/>
                <w:szCs w:val="15"/>
              </w:rPr>
            </w:pPr>
            <w:r>
              <w:rPr>
                <w:rFonts w:ascii="Times New Roman" w:hAnsi="Times New Roman" w:cs="Times New Roman"/>
                <w:sz w:val="15"/>
                <w:szCs w:val="15"/>
              </w:rPr>
              <w:t>1、2、3级坝</w:t>
            </w:r>
          </w:p>
        </w:tc>
        <w:tc>
          <w:tcPr>
            <w:tcW w:w="552" w:type="pct"/>
            <w:vAlign w:val="center"/>
          </w:tcPr>
          <w:p w14:paraId="3B1039A5">
            <w:pPr>
              <w:jc w:val="center"/>
              <w:rPr>
                <w:rFonts w:ascii="Times New Roman" w:hAnsi="Times New Roman" w:cs="Times New Roman"/>
                <w:sz w:val="15"/>
                <w:szCs w:val="15"/>
              </w:rPr>
            </w:pPr>
            <w:r>
              <w:rPr>
                <w:rFonts w:ascii="Times New Roman" w:hAnsi="Times New Roman" w:cs="Times New Roman"/>
                <w:sz w:val="15"/>
                <w:szCs w:val="15"/>
              </w:rPr>
              <w:t>备注</w:t>
            </w:r>
          </w:p>
        </w:tc>
      </w:tr>
      <w:tr w14:paraId="6C6564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907" w:type="pct"/>
            <w:vMerge w:val="restart"/>
            <w:vAlign w:val="center"/>
          </w:tcPr>
          <w:p w14:paraId="5344D450">
            <w:pPr>
              <w:jc w:val="center"/>
              <w:rPr>
                <w:rFonts w:ascii="Times New Roman" w:hAnsi="Times New Roman" w:cs="Times New Roman"/>
                <w:i/>
                <w:sz w:val="15"/>
                <w:szCs w:val="15"/>
              </w:rPr>
            </w:pPr>
            <w:r>
              <w:rPr>
                <w:rFonts w:ascii="Times New Roman" w:hAnsi="Times New Roman" w:cs="Times New Roman"/>
                <w:i/>
                <w:sz w:val="15"/>
                <w:szCs w:val="15"/>
              </w:rPr>
              <w:t>K'</w:t>
            </w:r>
          </w:p>
        </w:tc>
        <w:tc>
          <w:tcPr>
            <w:tcW w:w="1054" w:type="pct"/>
            <w:vMerge w:val="restart"/>
            <w:vAlign w:val="center"/>
          </w:tcPr>
          <w:p w14:paraId="64DED03F">
            <w:pPr>
              <w:jc w:val="center"/>
              <w:rPr>
                <w:rFonts w:ascii="Times New Roman" w:hAnsi="Times New Roman" w:cs="Times New Roman"/>
                <w:sz w:val="15"/>
                <w:szCs w:val="15"/>
              </w:rPr>
            </w:pPr>
            <w:r>
              <w:rPr>
                <w:rFonts w:ascii="Times New Roman" w:hAnsi="Times New Roman" w:cs="Times New Roman"/>
                <w:sz w:val="15"/>
                <w:szCs w:val="15"/>
              </w:rPr>
              <w:t>抗剪断公式</w:t>
            </w:r>
          </w:p>
        </w:tc>
        <w:tc>
          <w:tcPr>
            <w:tcW w:w="1898" w:type="pct"/>
            <w:gridSpan w:val="2"/>
            <w:vAlign w:val="center"/>
          </w:tcPr>
          <w:p w14:paraId="75ED69E3">
            <w:pPr>
              <w:jc w:val="center"/>
              <w:rPr>
                <w:rFonts w:ascii="Times New Roman" w:hAnsi="Times New Roman" w:cs="Times New Roman"/>
                <w:sz w:val="15"/>
                <w:szCs w:val="15"/>
              </w:rPr>
            </w:pPr>
            <w:r>
              <w:rPr>
                <w:rFonts w:ascii="Times New Roman" w:hAnsi="Times New Roman" w:cs="Times New Roman"/>
                <w:sz w:val="15"/>
                <w:szCs w:val="15"/>
              </w:rPr>
              <w:t>基本</w:t>
            </w:r>
          </w:p>
        </w:tc>
        <w:tc>
          <w:tcPr>
            <w:tcW w:w="589" w:type="pct"/>
            <w:vAlign w:val="center"/>
          </w:tcPr>
          <w:p w14:paraId="3A065B33">
            <w:pPr>
              <w:jc w:val="center"/>
              <w:rPr>
                <w:rFonts w:ascii="Times New Roman" w:hAnsi="Times New Roman" w:cs="Times New Roman"/>
                <w:sz w:val="15"/>
                <w:szCs w:val="15"/>
              </w:rPr>
            </w:pPr>
            <w:r>
              <w:rPr>
                <w:rFonts w:ascii="Times New Roman" w:hAnsi="Times New Roman" w:cs="Times New Roman"/>
                <w:sz w:val="15"/>
                <w:szCs w:val="15"/>
              </w:rPr>
              <w:t>3.00</w:t>
            </w:r>
          </w:p>
        </w:tc>
        <w:tc>
          <w:tcPr>
            <w:tcW w:w="552" w:type="pct"/>
            <w:vAlign w:val="center"/>
          </w:tcPr>
          <w:p w14:paraId="3F7EE203">
            <w:pPr>
              <w:jc w:val="center"/>
              <w:rPr>
                <w:rFonts w:ascii="Times New Roman" w:hAnsi="Times New Roman" w:cs="Times New Roman"/>
                <w:sz w:val="15"/>
                <w:szCs w:val="15"/>
              </w:rPr>
            </w:pPr>
            <w:r>
              <w:rPr>
                <w:rFonts w:ascii="Times New Roman" w:hAnsi="Times New Roman" w:cs="Times New Roman"/>
                <w:sz w:val="15"/>
                <w:szCs w:val="15"/>
              </w:rPr>
              <w:t>—</w:t>
            </w:r>
          </w:p>
        </w:tc>
      </w:tr>
      <w:tr w14:paraId="6DAAC3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907" w:type="pct"/>
            <w:vMerge w:val="continue"/>
            <w:vAlign w:val="center"/>
          </w:tcPr>
          <w:p w14:paraId="00CBFB53">
            <w:pPr>
              <w:jc w:val="center"/>
              <w:rPr>
                <w:rFonts w:ascii="Times New Roman" w:hAnsi="Times New Roman" w:cs="Times New Roman"/>
                <w:i/>
                <w:sz w:val="15"/>
                <w:szCs w:val="15"/>
              </w:rPr>
            </w:pPr>
          </w:p>
        </w:tc>
        <w:tc>
          <w:tcPr>
            <w:tcW w:w="1054" w:type="pct"/>
            <w:vMerge w:val="continue"/>
            <w:vAlign w:val="center"/>
          </w:tcPr>
          <w:p w14:paraId="129E7A2F">
            <w:pPr>
              <w:jc w:val="center"/>
              <w:rPr>
                <w:rFonts w:ascii="Times New Roman" w:hAnsi="Times New Roman" w:cs="Times New Roman"/>
                <w:sz w:val="15"/>
                <w:szCs w:val="15"/>
              </w:rPr>
            </w:pPr>
          </w:p>
        </w:tc>
        <w:tc>
          <w:tcPr>
            <w:tcW w:w="843" w:type="pct"/>
            <w:vMerge w:val="restart"/>
            <w:vAlign w:val="center"/>
          </w:tcPr>
          <w:p w14:paraId="409F4B65">
            <w:pPr>
              <w:jc w:val="center"/>
              <w:rPr>
                <w:rFonts w:ascii="Times New Roman" w:hAnsi="Times New Roman" w:cs="Times New Roman"/>
                <w:sz w:val="15"/>
                <w:szCs w:val="15"/>
              </w:rPr>
            </w:pPr>
            <w:r>
              <w:rPr>
                <w:rFonts w:ascii="Times New Roman" w:hAnsi="Times New Roman" w:cs="Times New Roman"/>
                <w:sz w:val="15"/>
                <w:szCs w:val="15"/>
              </w:rPr>
              <w:t>特殊</w:t>
            </w:r>
          </w:p>
        </w:tc>
        <w:tc>
          <w:tcPr>
            <w:tcW w:w="1055" w:type="pct"/>
            <w:vAlign w:val="center"/>
          </w:tcPr>
          <w:p w14:paraId="7E51D716">
            <w:pPr>
              <w:jc w:val="center"/>
              <w:rPr>
                <w:rFonts w:ascii="Times New Roman" w:hAnsi="Times New Roman" w:cs="Times New Roman"/>
                <w:sz w:val="15"/>
                <w:szCs w:val="15"/>
              </w:rPr>
            </w:pPr>
            <w:r>
              <w:rPr>
                <w:rFonts w:ascii="Times New Roman" w:hAnsi="Times New Roman" w:cs="Times New Roman"/>
                <w:sz w:val="15"/>
                <w:szCs w:val="15"/>
              </w:rPr>
              <w:t>非常洪水状况</w:t>
            </w:r>
          </w:p>
        </w:tc>
        <w:tc>
          <w:tcPr>
            <w:tcW w:w="589" w:type="pct"/>
            <w:vAlign w:val="center"/>
          </w:tcPr>
          <w:p w14:paraId="41E922AD">
            <w:pPr>
              <w:jc w:val="center"/>
              <w:rPr>
                <w:rFonts w:ascii="Times New Roman" w:hAnsi="Times New Roman" w:cs="Times New Roman"/>
                <w:sz w:val="15"/>
                <w:szCs w:val="15"/>
              </w:rPr>
            </w:pPr>
            <w:r>
              <w:rPr>
                <w:rFonts w:ascii="Times New Roman" w:hAnsi="Times New Roman" w:cs="Times New Roman"/>
                <w:sz w:val="15"/>
                <w:szCs w:val="15"/>
              </w:rPr>
              <w:t>2.50</w:t>
            </w:r>
          </w:p>
        </w:tc>
        <w:tc>
          <w:tcPr>
            <w:tcW w:w="552" w:type="pct"/>
            <w:vAlign w:val="center"/>
          </w:tcPr>
          <w:p w14:paraId="235318F8">
            <w:pPr>
              <w:jc w:val="center"/>
              <w:rPr>
                <w:rFonts w:ascii="Times New Roman" w:hAnsi="Times New Roman" w:cs="Times New Roman"/>
                <w:sz w:val="15"/>
                <w:szCs w:val="15"/>
              </w:rPr>
            </w:pPr>
            <w:r>
              <w:rPr>
                <w:rFonts w:ascii="Times New Roman" w:hAnsi="Times New Roman" w:cs="Times New Roman"/>
                <w:sz w:val="15"/>
                <w:szCs w:val="15"/>
              </w:rPr>
              <w:t>—</w:t>
            </w:r>
          </w:p>
        </w:tc>
      </w:tr>
      <w:tr w14:paraId="52D06B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907" w:type="pct"/>
            <w:vMerge w:val="continue"/>
            <w:vAlign w:val="center"/>
          </w:tcPr>
          <w:p w14:paraId="46725339">
            <w:pPr>
              <w:jc w:val="center"/>
              <w:rPr>
                <w:rFonts w:ascii="Times New Roman" w:hAnsi="Times New Roman" w:cs="Times New Roman"/>
                <w:i/>
                <w:sz w:val="15"/>
                <w:szCs w:val="15"/>
              </w:rPr>
            </w:pPr>
          </w:p>
        </w:tc>
        <w:tc>
          <w:tcPr>
            <w:tcW w:w="1054" w:type="pct"/>
            <w:vMerge w:val="continue"/>
            <w:vAlign w:val="center"/>
          </w:tcPr>
          <w:p w14:paraId="2D7A01B5">
            <w:pPr>
              <w:jc w:val="center"/>
              <w:rPr>
                <w:rFonts w:ascii="Times New Roman" w:hAnsi="Times New Roman" w:cs="Times New Roman"/>
                <w:sz w:val="15"/>
                <w:szCs w:val="15"/>
              </w:rPr>
            </w:pPr>
          </w:p>
        </w:tc>
        <w:tc>
          <w:tcPr>
            <w:tcW w:w="843" w:type="pct"/>
            <w:vMerge w:val="continue"/>
            <w:vAlign w:val="center"/>
          </w:tcPr>
          <w:p w14:paraId="54834E3A">
            <w:pPr>
              <w:jc w:val="center"/>
              <w:rPr>
                <w:rFonts w:ascii="Times New Roman" w:hAnsi="Times New Roman" w:cs="Times New Roman"/>
                <w:sz w:val="15"/>
                <w:szCs w:val="15"/>
              </w:rPr>
            </w:pPr>
          </w:p>
        </w:tc>
        <w:tc>
          <w:tcPr>
            <w:tcW w:w="1055" w:type="pct"/>
            <w:vAlign w:val="center"/>
          </w:tcPr>
          <w:p w14:paraId="3642D72C">
            <w:pPr>
              <w:jc w:val="center"/>
              <w:rPr>
                <w:rFonts w:ascii="Times New Roman" w:hAnsi="Times New Roman" w:cs="Times New Roman"/>
                <w:sz w:val="15"/>
                <w:szCs w:val="15"/>
              </w:rPr>
            </w:pPr>
            <w:r>
              <w:rPr>
                <w:rFonts w:ascii="Times New Roman" w:hAnsi="Times New Roman" w:cs="Times New Roman"/>
                <w:sz w:val="15"/>
                <w:szCs w:val="15"/>
              </w:rPr>
              <w:t>设计地震状况</w:t>
            </w:r>
          </w:p>
        </w:tc>
        <w:tc>
          <w:tcPr>
            <w:tcW w:w="589" w:type="pct"/>
            <w:vAlign w:val="center"/>
          </w:tcPr>
          <w:p w14:paraId="28B5C358">
            <w:pPr>
              <w:jc w:val="center"/>
              <w:rPr>
                <w:rFonts w:ascii="Times New Roman" w:hAnsi="Times New Roman" w:cs="Times New Roman"/>
                <w:sz w:val="15"/>
                <w:szCs w:val="15"/>
              </w:rPr>
            </w:pPr>
            <w:r>
              <w:rPr>
                <w:rFonts w:ascii="Times New Roman" w:hAnsi="Times New Roman" w:cs="Times New Roman"/>
                <w:sz w:val="15"/>
                <w:szCs w:val="15"/>
              </w:rPr>
              <w:t>2.30</w:t>
            </w:r>
          </w:p>
        </w:tc>
        <w:tc>
          <w:tcPr>
            <w:tcW w:w="552" w:type="pct"/>
            <w:vAlign w:val="center"/>
          </w:tcPr>
          <w:p w14:paraId="5579F3EB">
            <w:pPr>
              <w:jc w:val="center"/>
              <w:rPr>
                <w:rFonts w:ascii="Times New Roman" w:hAnsi="Times New Roman" w:cs="Times New Roman"/>
                <w:sz w:val="15"/>
                <w:szCs w:val="15"/>
              </w:rPr>
            </w:pPr>
            <w:r>
              <w:rPr>
                <w:rFonts w:ascii="Times New Roman" w:hAnsi="Times New Roman" w:cs="Times New Roman"/>
                <w:sz w:val="15"/>
                <w:szCs w:val="15"/>
              </w:rPr>
              <w:t>—</w:t>
            </w:r>
          </w:p>
        </w:tc>
      </w:tr>
      <w:tr w14:paraId="01B49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907" w:type="pct"/>
            <w:vMerge w:val="restart"/>
            <w:vAlign w:val="center"/>
          </w:tcPr>
          <w:p w14:paraId="265F7ED9">
            <w:pPr>
              <w:jc w:val="center"/>
              <w:rPr>
                <w:rFonts w:ascii="Times New Roman" w:hAnsi="Times New Roman" w:cs="Times New Roman"/>
                <w:i/>
                <w:sz w:val="15"/>
                <w:szCs w:val="15"/>
              </w:rPr>
            </w:pPr>
            <w:r>
              <w:rPr>
                <w:rFonts w:ascii="Times New Roman" w:hAnsi="Times New Roman" w:cs="Times New Roman"/>
                <w:i/>
                <w:sz w:val="15"/>
                <w:szCs w:val="15"/>
              </w:rPr>
              <w:t>K</w:t>
            </w:r>
          </w:p>
        </w:tc>
        <w:tc>
          <w:tcPr>
            <w:tcW w:w="1054" w:type="pct"/>
            <w:vMerge w:val="restart"/>
            <w:vAlign w:val="center"/>
          </w:tcPr>
          <w:p w14:paraId="657DA983">
            <w:pPr>
              <w:jc w:val="center"/>
              <w:rPr>
                <w:rFonts w:ascii="Times New Roman" w:hAnsi="Times New Roman" w:cs="Times New Roman"/>
                <w:sz w:val="15"/>
                <w:szCs w:val="15"/>
              </w:rPr>
            </w:pPr>
            <w:r>
              <w:rPr>
                <w:rFonts w:ascii="Times New Roman" w:hAnsi="Times New Roman" w:cs="Times New Roman"/>
                <w:sz w:val="15"/>
                <w:szCs w:val="15"/>
              </w:rPr>
              <w:t>抗剪公式</w:t>
            </w:r>
          </w:p>
        </w:tc>
        <w:tc>
          <w:tcPr>
            <w:tcW w:w="1898" w:type="pct"/>
            <w:gridSpan w:val="2"/>
            <w:vAlign w:val="center"/>
          </w:tcPr>
          <w:p w14:paraId="5723C2D4">
            <w:pPr>
              <w:jc w:val="center"/>
              <w:rPr>
                <w:rFonts w:ascii="Times New Roman" w:hAnsi="Times New Roman" w:cs="Times New Roman"/>
                <w:sz w:val="15"/>
                <w:szCs w:val="15"/>
              </w:rPr>
            </w:pPr>
            <w:r>
              <w:rPr>
                <w:rFonts w:ascii="Times New Roman" w:hAnsi="Times New Roman" w:cs="Times New Roman"/>
                <w:sz w:val="15"/>
                <w:szCs w:val="15"/>
              </w:rPr>
              <w:t>基本</w:t>
            </w:r>
          </w:p>
        </w:tc>
        <w:tc>
          <w:tcPr>
            <w:tcW w:w="589" w:type="pct"/>
            <w:vAlign w:val="center"/>
          </w:tcPr>
          <w:p w14:paraId="0CF52445">
            <w:pPr>
              <w:jc w:val="center"/>
              <w:rPr>
                <w:rFonts w:ascii="Times New Roman" w:hAnsi="Times New Roman" w:cs="Times New Roman"/>
                <w:sz w:val="15"/>
                <w:szCs w:val="15"/>
              </w:rPr>
            </w:pPr>
            <w:r>
              <w:rPr>
                <w:rFonts w:ascii="Times New Roman" w:hAnsi="Times New Roman" w:cs="Times New Roman"/>
                <w:sz w:val="15"/>
                <w:szCs w:val="15"/>
              </w:rPr>
              <w:t>1.20</w:t>
            </w:r>
          </w:p>
        </w:tc>
        <w:tc>
          <w:tcPr>
            <w:tcW w:w="552" w:type="pct"/>
            <w:vMerge w:val="restart"/>
            <w:vAlign w:val="center"/>
          </w:tcPr>
          <w:p w14:paraId="25ED7436">
            <w:pPr>
              <w:jc w:val="center"/>
              <w:rPr>
                <w:rFonts w:ascii="Times New Roman" w:hAnsi="Times New Roman" w:cs="Times New Roman"/>
                <w:sz w:val="15"/>
                <w:szCs w:val="15"/>
              </w:rPr>
            </w:pPr>
            <w:r>
              <w:rPr>
                <w:rFonts w:ascii="Times New Roman" w:hAnsi="Times New Roman" w:cs="Times New Roman"/>
                <w:sz w:val="15"/>
                <w:szCs w:val="15"/>
              </w:rPr>
              <w:t>软基</w:t>
            </w:r>
          </w:p>
        </w:tc>
      </w:tr>
      <w:tr w14:paraId="453F9A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907" w:type="pct"/>
            <w:vMerge w:val="continue"/>
            <w:vAlign w:val="center"/>
          </w:tcPr>
          <w:p w14:paraId="50A480F2">
            <w:pPr>
              <w:jc w:val="center"/>
              <w:rPr>
                <w:rFonts w:ascii="Times New Roman" w:hAnsi="Times New Roman" w:cs="Times New Roman"/>
                <w:i/>
                <w:sz w:val="15"/>
                <w:szCs w:val="15"/>
              </w:rPr>
            </w:pPr>
          </w:p>
        </w:tc>
        <w:tc>
          <w:tcPr>
            <w:tcW w:w="1054" w:type="pct"/>
            <w:vMerge w:val="continue"/>
            <w:vAlign w:val="center"/>
          </w:tcPr>
          <w:p w14:paraId="2182AF03">
            <w:pPr>
              <w:jc w:val="center"/>
              <w:rPr>
                <w:rFonts w:ascii="Times New Roman" w:hAnsi="Times New Roman" w:cs="Times New Roman"/>
                <w:sz w:val="15"/>
                <w:szCs w:val="15"/>
              </w:rPr>
            </w:pPr>
          </w:p>
        </w:tc>
        <w:tc>
          <w:tcPr>
            <w:tcW w:w="843" w:type="pct"/>
            <w:vMerge w:val="restart"/>
            <w:vAlign w:val="center"/>
          </w:tcPr>
          <w:p w14:paraId="1896A430">
            <w:pPr>
              <w:jc w:val="center"/>
              <w:rPr>
                <w:rFonts w:ascii="Times New Roman" w:hAnsi="Times New Roman" w:cs="Times New Roman"/>
                <w:sz w:val="15"/>
                <w:szCs w:val="15"/>
              </w:rPr>
            </w:pPr>
            <w:r>
              <w:rPr>
                <w:rFonts w:ascii="Times New Roman" w:hAnsi="Times New Roman" w:cs="Times New Roman"/>
                <w:sz w:val="15"/>
                <w:szCs w:val="15"/>
              </w:rPr>
              <w:t>特殊</w:t>
            </w:r>
          </w:p>
        </w:tc>
        <w:tc>
          <w:tcPr>
            <w:tcW w:w="1055" w:type="pct"/>
            <w:vAlign w:val="center"/>
          </w:tcPr>
          <w:p w14:paraId="4B7E69BF">
            <w:pPr>
              <w:jc w:val="center"/>
              <w:rPr>
                <w:rFonts w:ascii="Times New Roman" w:hAnsi="Times New Roman" w:cs="Times New Roman"/>
                <w:sz w:val="15"/>
                <w:szCs w:val="15"/>
              </w:rPr>
            </w:pPr>
            <w:r>
              <w:rPr>
                <w:rFonts w:ascii="Times New Roman" w:hAnsi="Times New Roman" w:cs="Times New Roman"/>
                <w:sz w:val="15"/>
                <w:szCs w:val="15"/>
              </w:rPr>
              <w:t>非常洪水状况</w:t>
            </w:r>
          </w:p>
        </w:tc>
        <w:tc>
          <w:tcPr>
            <w:tcW w:w="589" w:type="pct"/>
            <w:vAlign w:val="center"/>
          </w:tcPr>
          <w:p w14:paraId="295580F7">
            <w:pPr>
              <w:jc w:val="center"/>
              <w:rPr>
                <w:rFonts w:ascii="Times New Roman" w:hAnsi="Times New Roman" w:cs="Times New Roman"/>
                <w:sz w:val="15"/>
                <w:szCs w:val="15"/>
              </w:rPr>
            </w:pPr>
            <w:r>
              <w:rPr>
                <w:rFonts w:ascii="Times New Roman" w:hAnsi="Times New Roman" w:cs="Times New Roman"/>
                <w:sz w:val="15"/>
                <w:szCs w:val="15"/>
              </w:rPr>
              <w:t>1.05</w:t>
            </w:r>
          </w:p>
        </w:tc>
        <w:tc>
          <w:tcPr>
            <w:tcW w:w="552" w:type="pct"/>
            <w:vMerge w:val="continue"/>
            <w:vAlign w:val="center"/>
          </w:tcPr>
          <w:p w14:paraId="5FE5C1CD">
            <w:pPr>
              <w:jc w:val="center"/>
              <w:rPr>
                <w:rFonts w:ascii="Times New Roman" w:hAnsi="Times New Roman" w:cs="Times New Roman"/>
                <w:sz w:val="15"/>
                <w:szCs w:val="15"/>
              </w:rPr>
            </w:pPr>
          </w:p>
        </w:tc>
      </w:tr>
      <w:tr w14:paraId="41E7A3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907" w:type="pct"/>
            <w:vMerge w:val="continue"/>
            <w:vAlign w:val="center"/>
          </w:tcPr>
          <w:p w14:paraId="5D3B68EF">
            <w:pPr>
              <w:jc w:val="center"/>
              <w:rPr>
                <w:rFonts w:ascii="Times New Roman" w:hAnsi="Times New Roman" w:cs="Times New Roman"/>
                <w:i/>
                <w:sz w:val="15"/>
                <w:szCs w:val="15"/>
              </w:rPr>
            </w:pPr>
          </w:p>
        </w:tc>
        <w:tc>
          <w:tcPr>
            <w:tcW w:w="1054" w:type="pct"/>
            <w:vMerge w:val="continue"/>
            <w:vAlign w:val="center"/>
          </w:tcPr>
          <w:p w14:paraId="43775B14">
            <w:pPr>
              <w:jc w:val="center"/>
              <w:rPr>
                <w:rFonts w:ascii="Times New Roman" w:hAnsi="Times New Roman" w:cs="Times New Roman"/>
                <w:sz w:val="15"/>
                <w:szCs w:val="15"/>
              </w:rPr>
            </w:pPr>
          </w:p>
        </w:tc>
        <w:tc>
          <w:tcPr>
            <w:tcW w:w="843" w:type="pct"/>
            <w:vMerge w:val="continue"/>
            <w:vAlign w:val="center"/>
          </w:tcPr>
          <w:p w14:paraId="773DEDAE">
            <w:pPr>
              <w:jc w:val="center"/>
              <w:rPr>
                <w:rFonts w:ascii="Times New Roman" w:hAnsi="Times New Roman" w:cs="Times New Roman"/>
                <w:sz w:val="15"/>
                <w:szCs w:val="15"/>
              </w:rPr>
            </w:pPr>
          </w:p>
        </w:tc>
        <w:tc>
          <w:tcPr>
            <w:tcW w:w="1055" w:type="pct"/>
            <w:vAlign w:val="center"/>
          </w:tcPr>
          <w:p w14:paraId="56255CAB">
            <w:pPr>
              <w:jc w:val="center"/>
              <w:rPr>
                <w:rFonts w:ascii="Times New Roman" w:hAnsi="Times New Roman" w:cs="Times New Roman"/>
                <w:sz w:val="15"/>
                <w:szCs w:val="15"/>
              </w:rPr>
            </w:pPr>
            <w:r>
              <w:rPr>
                <w:rFonts w:ascii="Times New Roman" w:hAnsi="Times New Roman" w:cs="Times New Roman"/>
                <w:sz w:val="15"/>
                <w:szCs w:val="15"/>
              </w:rPr>
              <w:t>设计地震状况</w:t>
            </w:r>
          </w:p>
        </w:tc>
        <w:tc>
          <w:tcPr>
            <w:tcW w:w="589" w:type="pct"/>
            <w:vAlign w:val="center"/>
          </w:tcPr>
          <w:p w14:paraId="0FF16B63">
            <w:pPr>
              <w:jc w:val="center"/>
              <w:rPr>
                <w:rFonts w:ascii="Times New Roman" w:hAnsi="Times New Roman" w:cs="Times New Roman"/>
                <w:sz w:val="15"/>
                <w:szCs w:val="15"/>
              </w:rPr>
            </w:pPr>
            <w:r>
              <w:rPr>
                <w:rFonts w:ascii="Times New Roman" w:hAnsi="Times New Roman" w:cs="Times New Roman"/>
                <w:sz w:val="15"/>
                <w:szCs w:val="15"/>
              </w:rPr>
              <w:t>1.00</w:t>
            </w:r>
          </w:p>
        </w:tc>
        <w:tc>
          <w:tcPr>
            <w:tcW w:w="552" w:type="pct"/>
            <w:vMerge w:val="continue"/>
            <w:vAlign w:val="center"/>
          </w:tcPr>
          <w:p w14:paraId="6B2AC480">
            <w:pPr>
              <w:jc w:val="center"/>
              <w:rPr>
                <w:rFonts w:ascii="Times New Roman" w:hAnsi="Times New Roman" w:cs="Times New Roman"/>
                <w:sz w:val="15"/>
                <w:szCs w:val="15"/>
              </w:rPr>
            </w:pPr>
          </w:p>
        </w:tc>
      </w:tr>
      <w:tr w14:paraId="21A3C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907" w:type="pct"/>
            <w:vMerge w:val="restart"/>
            <w:vAlign w:val="center"/>
          </w:tcPr>
          <w:p w14:paraId="2AD570A6">
            <w:pPr>
              <w:jc w:val="center"/>
              <w:rPr>
                <w:rFonts w:ascii="Times New Roman" w:hAnsi="Times New Roman" w:cs="Times New Roman"/>
                <w:i/>
                <w:sz w:val="15"/>
                <w:szCs w:val="15"/>
              </w:rPr>
            </w:pPr>
            <w:r>
              <w:rPr>
                <w:rFonts w:ascii="Times New Roman" w:hAnsi="Times New Roman" w:cs="Times New Roman"/>
                <w:i/>
                <w:sz w:val="15"/>
                <w:szCs w:val="15"/>
              </w:rPr>
              <w:t>K</w:t>
            </w:r>
          </w:p>
        </w:tc>
        <w:tc>
          <w:tcPr>
            <w:tcW w:w="1054" w:type="pct"/>
            <w:vMerge w:val="restart"/>
            <w:vAlign w:val="center"/>
          </w:tcPr>
          <w:p w14:paraId="02FDD3B4">
            <w:pPr>
              <w:jc w:val="center"/>
              <w:rPr>
                <w:rFonts w:ascii="Times New Roman" w:hAnsi="Times New Roman" w:cs="Times New Roman"/>
                <w:sz w:val="15"/>
                <w:szCs w:val="15"/>
              </w:rPr>
            </w:pPr>
            <w:r>
              <w:rPr>
                <w:rFonts w:ascii="Times New Roman" w:hAnsi="Times New Roman" w:cs="Times New Roman"/>
                <w:sz w:val="15"/>
                <w:szCs w:val="15"/>
              </w:rPr>
              <w:t>抗剪公式</w:t>
            </w:r>
          </w:p>
        </w:tc>
        <w:tc>
          <w:tcPr>
            <w:tcW w:w="1898" w:type="pct"/>
            <w:gridSpan w:val="2"/>
            <w:vAlign w:val="center"/>
          </w:tcPr>
          <w:p w14:paraId="129DA99B">
            <w:pPr>
              <w:jc w:val="center"/>
              <w:rPr>
                <w:rFonts w:ascii="Times New Roman" w:hAnsi="Times New Roman" w:cs="Times New Roman"/>
                <w:sz w:val="15"/>
                <w:szCs w:val="15"/>
              </w:rPr>
            </w:pPr>
            <w:r>
              <w:rPr>
                <w:rFonts w:ascii="Times New Roman" w:hAnsi="Times New Roman" w:cs="Times New Roman"/>
                <w:sz w:val="15"/>
                <w:szCs w:val="15"/>
              </w:rPr>
              <w:t>基本</w:t>
            </w:r>
          </w:p>
        </w:tc>
        <w:tc>
          <w:tcPr>
            <w:tcW w:w="589" w:type="pct"/>
            <w:vAlign w:val="center"/>
          </w:tcPr>
          <w:p w14:paraId="0D331C98">
            <w:pPr>
              <w:jc w:val="center"/>
              <w:rPr>
                <w:rFonts w:ascii="Times New Roman" w:hAnsi="Times New Roman" w:cs="Times New Roman"/>
                <w:sz w:val="15"/>
                <w:szCs w:val="15"/>
              </w:rPr>
            </w:pPr>
            <w:r>
              <w:rPr>
                <w:rFonts w:ascii="Times New Roman" w:hAnsi="Times New Roman" w:cs="Times New Roman"/>
                <w:sz w:val="15"/>
                <w:szCs w:val="15"/>
              </w:rPr>
              <w:t>1.05</w:t>
            </w:r>
          </w:p>
        </w:tc>
        <w:tc>
          <w:tcPr>
            <w:tcW w:w="552" w:type="pct"/>
            <w:vMerge w:val="restart"/>
            <w:vAlign w:val="center"/>
          </w:tcPr>
          <w:p w14:paraId="11AEA544">
            <w:pPr>
              <w:jc w:val="center"/>
              <w:rPr>
                <w:rFonts w:ascii="Times New Roman" w:hAnsi="Times New Roman" w:cs="Times New Roman"/>
                <w:sz w:val="15"/>
                <w:szCs w:val="15"/>
              </w:rPr>
            </w:pPr>
            <w:r>
              <w:rPr>
                <w:rFonts w:ascii="Times New Roman" w:hAnsi="Times New Roman" w:cs="Times New Roman"/>
                <w:sz w:val="15"/>
                <w:szCs w:val="15"/>
              </w:rPr>
              <w:t>岩基</w:t>
            </w:r>
          </w:p>
        </w:tc>
      </w:tr>
      <w:tr w14:paraId="4C8EB0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907" w:type="pct"/>
            <w:vMerge w:val="continue"/>
            <w:vAlign w:val="center"/>
          </w:tcPr>
          <w:p w14:paraId="00A355E7">
            <w:pPr>
              <w:jc w:val="center"/>
              <w:rPr>
                <w:rFonts w:ascii="Times New Roman" w:hAnsi="Times New Roman" w:cs="Times New Roman"/>
                <w:sz w:val="15"/>
                <w:szCs w:val="15"/>
              </w:rPr>
            </w:pPr>
          </w:p>
        </w:tc>
        <w:tc>
          <w:tcPr>
            <w:tcW w:w="1054" w:type="pct"/>
            <w:vMerge w:val="continue"/>
            <w:vAlign w:val="center"/>
          </w:tcPr>
          <w:p w14:paraId="23177F3E">
            <w:pPr>
              <w:jc w:val="center"/>
              <w:rPr>
                <w:rFonts w:ascii="Times New Roman" w:hAnsi="Times New Roman" w:cs="Times New Roman"/>
                <w:sz w:val="15"/>
                <w:szCs w:val="15"/>
              </w:rPr>
            </w:pPr>
          </w:p>
        </w:tc>
        <w:tc>
          <w:tcPr>
            <w:tcW w:w="843" w:type="pct"/>
            <w:vMerge w:val="restart"/>
            <w:vAlign w:val="center"/>
          </w:tcPr>
          <w:p w14:paraId="4AD079EE">
            <w:pPr>
              <w:jc w:val="center"/>
              <w:rPr>
                <w:rFonts w:ascii="Times New Roman" w:hAnsi="Times New Roman" w:cs="Times New Roman"/>
                <w:sz w:val="15"/>
                <w:szCs w:val="15"/>
              </w:rPr>
            </w:pPr>
            <w:r>
              <w:rPr>
                <w:rFonts w:ascii="Times New Roman" w:hAnsi="Times New Roman" w:cs="Times New Roman"/>
                <w:sz w:val="15"/>
                <w:szCs w:val="15"/>
              </w:rPr>
              <w:t>特殊</w:t>
            </w:r>
          </w:p>
        </w:tc>
        <w:tc>
          <w:tcPr>
            <w:tcW w:w="1055" w:type="pct"/>
            <w:vAlign w:val="center"/>
          </w:tcPr>
          <w:p w14:paraId="1ED92349">
            <w:pPr>
              <w:jc w:val="center"/>
              <w:rPr>
                <w:rFonts w:ascii="Times New Roman" w:hAnsi="Times New Roman" w:cs="Times New Roman"/>
                <w:sz w:val="15"/>
                <w:szCs w:val="15"/>
              </w:rPr>
            </w:pPr>
            <w:r>
              <w:rPr>
                <w:rFonts w:ascii="Times New Roman" w:hAnsi="Times New Roman" w:cs="Times New Roman"/>
                <w:sz w:val="15"/>
                <w:szCs w:val="15"/>
              </w:rPr>
              <w:t>非常洪水状况</w:t>
            </w:r>
          </w:p>
        </w:tc>
        <w:tc>
          <w:tcPr>
            <w:tcW w:w="589" w:type="pct"/>
            <w:vAlign w:val="center"/>
          </w:tcPr>
          <w:p w14:paraId="1262DD96">
            <w:pPr>
              <w:jc w:val="center"/>
              <w:rPr>
                <w:rFonts w:ascii="Times New Roman" w:hAnsi="Times New Roman" w:cs="Times New Roman"/>
                <w:sz w:val="15"/>
                <w:szCs w:val="15"/>
              </w:rPr>
            </w:pPr>
            <w:r>
              <w:rPr>
                <w:rFonts w:ascii="Times New Roman" w:hAnsi="Times New Roman" w:cs="Times New Roman"/>
                <w:sz w:val="15"/>
                <w:szCs w:val="15"/>
              </w:rPr>
              <w:t>1.00</w:t>
            </w:r>
          </w:p>
        </w:tc>
        <w:tc>
          <w:tcPr>
            <w:tcW w:w="552" w:type="pct"/>
            <w:vMerge w:val="continue"/>
            <w:vAlign w:val="center"/>
          </w:tcPr>
          <w:p w14:paraId="6438300A">
            <w:pPr>
              <w:jc w:val="center"/>
              <w:rPr>
                <w:rFonts w:ascii="Times New Roman" w:hAnsi="Times New Roman" w:cs="Times New Roman"/>
                <w:sz w:val="15"/>
                <w:szCs w:val="15"/>
              </w:rPr>
            </w:pPr>
          </w:p>
        </w:tc>
      </w:tr>
      <w:tr w14:paraId="1DF687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907" w:type="pct"/>
            <w:vMerge w:val="continue"/>
            <w:vAlign w:val="center"/>
          </w:tcPr>
          <w:p w14:paraId="1881DBD6">
            <w:pPr>
              <w:jc w:val="center"/>
              <w:rPr>
                <w:rFonts w:ascii="Times New Roman" w:hAnsi="Times New Roman" w:cs="Times New Roman"/>
                <w:sz w:val="15"/>
                <w:szCs w:val="15"/>
              </w:rPr>
            </w:pPr>
          </w:p>
        </w:tc>
        <w:tc>
          <w:tcPr>
            <w:tcW w:w="1054" w:type="pct"/>
            <w:vMerge w:val="continue"/>
            <w:vAlign w:val="center"/>
          </w:tcPr>
          <w:p w14:paraId="3535B95A">
            <w:pPr>
              <w:jc w:val="center"/>
              <w:rPr>
                <w:rFonts w:ascii="Times New Roman" w:hAnsi="Times New Roman" w:cs="Times New Roman"/>
                <w:sz w:val="15"/>
                <w:szCs w:val="15"/>
              </w:rPr>
            </w:pPr>
          </w:p>
        </w:tc>
        <w:tc>
          <w:tcPr>
            <w:tcW w:w="843" w:type="pct"/>
            <w:vMerge w:val="continue"/>
            <w:vAlign w:val="center"/>
          </w:tcPr>
          <w:p w14:paraId="56B58048">
            <w:pPr>
              <w:jc w:val="center"/>
              <w:rPr>
                <w:rFonts w:ascii="Times New Roman" w:hAnsi="Times New Roman" w:cs="Times New Roman"/>
                <w:sz w:val="15"/>
                <w:szCs w:val="15"/>
              </w:rPr>
            </w:pPr>
          </w:p>
        </w:tc>
        <w:tc>
          <w:tcPr>
            <w:tcW w:w="1055" w:type="pct"/>
            <w:vAlign w:val="center"/>
          </w:tcPr>
          <w:p w14:paraId="3085D3B3">
            <w:pPr>
              <w:jc w:val="center"/>
              <w:rPr>
                <w:rFonts w:ascii="Times New Roman" w:hAnsi="Times New Roman" w:cs="Times New Roman"/>
                <w:sz w:val="15"/>
                <w:szCs w:val="15"/>
              </w:rPr>
            </w:pPr>
            <w:r>
              <w:rPr>
                <w:rFonts w:ascii="Times New Roman" w:hAnsi="Times New Roman" w:cs="Times New Roman"/>
                <w:sz w:val="15"/>
                <w:szCs w:val="15"/>
              </w:rPr>
              <w:t>设计地震状况</w:t>
            </w:r>
          </w:p>
        </w:tc>
        <w:tc>
          <w:tcPr>
            <w:tcW w:w="589" w:type="pct"/>
            <w:vAlign w:val="center"/>
          </w:tcPr>
          <w:p w14:paraId="23C2FA6C">
            <w:pPr>
              <w:jc w:val="center"/>
              <w:rPr>
                <w:rFonts w:ascii="Times New Roman" w:hAnsi="Times New Roman" w:cs="Times New Roman"/>
                <w:sz w:val="15"/>
                <w:szCs w:val="15"/>
              </w:rPr>
            </w:pPr>
            <w:r>
              <w:rPr>
                <w:rFonts w:ascii="Times New Roman" w:hAnsi="Times New Roman" w:cs="Times New Roman"/>
                <w:sz w:val="15"/>
                <w:szCs w:val="15"/>
              </w:rPr>
              <w:t>1.00</w:t>
            </w:r>
          </w:p>
        </w:tc>
        <w:tc>
          <w:tcPr>
            <w:tcW w:w="552" w:type="pct"/>
            <w:vMerge w:val="continue"/>
            <w:vAlign w:val="center"/>
          </w:tcPr>
          <w:p w14:paraId="6CD32148">
            <w:pPr>
              <w:jc w:val="center"/>
              <w:rPr>
                <w:rFonts w:ascii="Times New Roman" w:hAnsi="Times New Roman" w:cs="Times New Roman"/>
                <w:sz w:val="15"/>
                <w:szCs w:val="15"/>
              </w:rPr>
            </w:pPr>
          </w:p>
        </w:tc>
      </w:tr>
    </w:tbl>
    <w:p w14:paraId="0CEDE3C1">
      <w:pPr>
        <w:snapToGrid w:val="0"/>
        <w:spacing w:before="156" w:beforeLines="50"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w:t>
      </w:r>
      <w:r>
        <w:rPr>
          <w:rFonts w:ascii="Times New Roman" w:hAnsi="Times New Roman" w:cs="Times New Roman"/>
          <w:b/>
          <w:sz w:val="21"/>
          <w:szCs w:val="21"/>
        </w:rPr>
        <w:t>.</w:t>
      </w:r>
      <w:r>
        <w:rPr>
          <w:rFonts w:ascii="Times New Roman" w:hAnsi="Times New Roman" w:eastAsia="黑体" w:cs="Times New Roman"/>
          <w:b/>
          <w:sz w:val="21"/>
          <w:szCs w:val="21"/>
        </w:rPr>
        <w:t>12</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溢洪道控制段及泄槽抗滑稳定安全系数要求应符合表</w:t>
      </w:r>
      <w:r>
        <w:rPr>
          <w:rFonts w:ascii="Times New Roman" w:hAnsi="Times New Roman" w:eastAsia="黑体" w:cs="Times New Roman"/>
          <w:sz w:val="21"/>
          <w:szCs w:val="21"/>
        </w:rPr>
        <w:t>4</w:t>
      </w:r>
      <w:r>
        <w:rPr>
          <w:rFonts w:ascii="Times New Roman" w:hAnsi="Times New Roman" w:cs="Times New Roman"/>
          <w:sz w:val="21"/>
          <w:szCs w:val="21"/>
        </w:rPr>
        <w:t>.</w:t>
      </w:r>
      <w:r>
        <w:rPr>
          <w:rFonts w:ascii="Times New Roman" w:hAnsi="Times New Roman" w:eastAsia="黑体" w:cs="Times New Roman"/>
          <w:sz w:val="21"/>
          <w:szCs w:val="21"/>
        </w:rPr>
        <w:t>2</w:t>
      </w:r>
      <w:r>
        <w:rPr>
          <w:rFonts w:ascii="Times New Roman" w:hAnsi="Times New Roman" w:cs="Times New Roman"/>
          <w:sz w:val="21"/>
          <w:szCs w:val="21"/>
        </w:rPr>
        <w:t>.</w:t>
      </w:r>
      <w:r>
        <w:rPr>
          <w:rFonts w:ascii="Times New Roman" w:hAnsi="Times New Roman" w:eastAsia="黑体" w:cs="Times New Roman"/>
          <w:sz w:val="21"/>
          <w:szCs w:val="21"/>
        </w:rPr>
        <w:t>12</w:t>
      </w:r>
      <w:r>
        <w:rPr>
          <w:rFonts w:ascii="Times New Roman" w:hAnsi="Times New Roman" w:cs="Times New Roman"/>
          <w:sz w:val="21"/>
          <w:szCs w:val="21"/>
        </w:rPr>
        <w:t>规定。</w:t>
      </w:r>
    </w:p>
    <w:p w14:paraId="3770D448">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12  抗滑稳定安全系数</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1748"/>
        <w:gridCol w:w="1399"/>
        <w:gridCol w:w="1746"/>
        <w:gridCol w:w="1879"/>
      </w:tblGrid>
      <w:tr w14:paraId="2AC77D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9" w:type="pct"/>
            <w:vAlign w:val="center"/>
          </w:tcPr>
          <w:p w14:paraId="76ABC8BF">
            <w:pPr>
              <w:snapToGrid w:val="0"/>
              <w:jc w:val="center"/>
              <w:rPr>
                <w:rFonts w:ascii="Times New Roman" w:hAnsi="Times New Roman" w:cs="Times New Roman"/>
                <w:sz w:val="15"/>
                <w:szCs w:val="15"/>
              </w:rPr>
            </w:pPr>
            <w:r>
              <w:rPr>
                <w:rFonts w:ascii="Times New Roman" w:hAnsi="Times New Roman" w:cs="Times New Roman"/>
                <w:sz w:val="15"/>
                <w:szCs w:val="15"/>
              </w:rPr>
              <w:t>安全系数</w:t>
            </w:r>
          </w:p>
        </w:tc>
        <w:tc>
          <w:tcPr>
            <w:tcW w:w="1056" w:type="pct"/>
            <w:vAlign w:val="center"/>
          </w:tcPr>
          <w:p w14:paraId="2C009572">
            <w:pPr>
              <w:snapToGrid w:val="0"/>
              <w:jc w:val="center"/>
              <w:rPr>
                <w:rFonts w:ascii="Times New Roman" w:hAnsi="Times New Roman" w:cs="Times New Roman"/>
                <w:sz w:val="15"/>
                <w:szCs w:val="15"/>
              </w:rPr>
            </w:pPr>
            <w:r>
              <w:rPr>
                <w:rFonts w:ascii="Times New Roman" w:hAnsi="Times New Roman" w:cs="Times New Roman"/>
                <w:sz w:val="15"/>
                <w:szCs w:val="15"/>
              </w:rPr>
              <w:t>采用公式</w:t>
            </w:r>
          </w:p>
        </w:tc>
        <w:tc>
          <w:tcPr>
            <w:tcW w:w="1900" w:type="pct"/>
            <w:gridSpan w:val="2"/>
            <w:vAlign w:val="center"/>
          </w:tcPr>
          <w:p w14:paraId="076E6631">
            <w:pPr>
              <w:snapToGrid w:val="0"/>
              <w:jc w:val="center"/>
              <w:rPr>
                <w:rFonts w:ascii="Times New Roman" w:hAnsi="Times New Roman" w:cs="Times New Roman"/>
                <w:sz w:val="15"/>
                <w:szCs w:val="15"/>
              </w:rPr>
            </w:pPr>
            <w:r>
              <w:rPr>
                <w:rFonts w:ascii="Times New Roman" w:hAnsi="Times New Roman" w:cs="Times New Roman"/>
                <w:sz w:val="15"/>
                <w:szCs w:val="15"/>
              </w:rPr>
              <w:t>荷载组合</w:t>
            </w:r>
          </w:p>
        </w:tc>
        <w:tc>
          <w:tcPr>
            <w:tcW w:w="1135" w:type="pct"/>
            <w:vAlign w:val="center"/>
          </w:tcPr>
          <w:p w14:paraId="7BDD48C8">
            <w:pPr>
              <w:snapToGrid w:val="0"/>
              <w:jc w:val="center"/>
              <w:rPr>
                <w:rFonts w:ascii="Times New Roman" w:hAnsi="Times New Roman" w:cs="Times New Roman"/>
                <w:sz w:val="15"/>
                <w:szCs w:val="15"/>
              </w:rPr>
            </w:pPr>
            <w:r>
              <w:rPr>
                <w:rFonts w:ascii="Times New Roman" w:hAnsi="Times New Roman" w:cs="Times New Roman"/>
                <w:sz w:val="15"/>
                <w:szCs w:val="15"/>
              </w:rPr>
              <w:t>1、2、3级坝</w:t>
            </w:r>
          </w:p>
        </w:tc>
      </w:tr>
      <w:tr w14:paraId="3851C4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9" w:type="pct"/>
            <w:vMerge w:val="restart"/>
            <w:vAlign w:val="center"/>
          </w:tcPr>
          <w:p w14:paraId="755997CB">
            <w:pPr>
              <w:snapToGrid w:val="0"/>
              <w:jc w:val="center"/>
              <w:rPr>
                <w:rFonts w:ascii="Times New Roman" w:hAnsi="Times New Roman" w:cs="Times New Roman"/>
                <w:i/>
                <w:sz w:val="15"/>
                <w:szCs w:val="15"/>
              </w:rPr>
            </w:pPr>
            <w:r>
              <w:rPr>
                <w:rFonts w:ascii="Times New Roman" w:hAnsi="Times New Roman" w:cs="Times New Roman"/>
                <w:i/>
                <w:sz w:val="15"/>
                <w:szCs w:val="15"/>
              </w:rPr>
              <w:t>K'</w:t>
            </w:r>
          </w:p>
        </w:tc>
        <w:tc>
          <w:tcPr>
            <w:tcW w:w="1056" w:type="pct"/>
            <w:vMerge w:val="restart"/>
            <w:vAlign w:val="center"/>
          </w:tcPr>
          <w:p w14:paraId="2BCAEBBB">
            <w:pPr>
              <w:snapToGrid w:val="0"/>
              <w:jc w:val="center"/>
              <w:rPr>
                <w:rFonts w:ascii="Times New Roman" w:hAnsi="Times New Roman" w:cs="Times New Roman"/>
                <w:sz w:val="15"/>
                <w:szCs w:val="15"/>
              </w:rPr>
            </w:pPr>
            <w:r>
              <w:rPr>
                <w:rFonts w:ascii="Times New Roman" w:hAnsi="Times New Roman" w:cs="Times New Roman"/>
                <w:sz w:val="15"/>
                <w:szCs w:val="15"/>
              </w:rPr>
              <w:t>抗剪断公式</w:t>
            </w:r>
          </w:p>
        </w:tc>
        <w:tc>
          <w:tcPr>
            <w:tcW w:w="1900" w:type="pct"/>
            <w:gridSpan w:val="2"/>
            <w:vAlign w:val="center"/>
          </w:tcPr>
          <w:p w14:paraId="71361CD7">
            <w:pPr>
              <w:snapToGrid w:val="0"/>
              <w:jc w:val="center"/>
              <w:rPr>
                <w:rFonts w:ascii="Times New Roman" w:hAnsi="Times New Roman" w:cs="Times New Roman"/>
                <w:sz w:val="15"/>
                <w:szCs w:val="15"/>
              </w:rPr>
            </w:pPr>
            <w:r>
              <w:rPr>
                <w:rFonts w:ascii="Times New Roman" w:hAnsi="Times New Roman" w:cs="Times New Roman"/>
                <w:sz w:val="15"/>
                <w:szCs w:val="15"/>
              </w:rPr>
              <w:t>基本</w:t>
            </w:r>
          </w:p>
        </w:tc>
        <w:tc>
          <w:tcPr>
            <w:tcW w:w="1135" w:type="pct"/>
            <w:vAlign w:val="center"/>
          </w:tcPr>
          <w:p w14:paraId="392C6908">
            <w:pPr>
              <w:snapToGrid w:val="0"/>
              <w:jc w:val="center"/>
              <w:rPr>
                <w:rFonts w:ascii="Times New Roman" w:hAnsi="Times New Roman" w:cs="Times New Roman"/>
                <w:sz w:val="15"/>
                <w:szCs w:val="15"/>
              </w:rPr>
            </w:pPr>
            <w:r>
              <w:rPr>
                <w:rFonts w:ascii="Times New Roman" w:hAnsi="Times New Roman" w:cs="Times New Roman"/>
                <w:sz w:val="15"/>
                <w:szCs w:val="15"/>
              </w:rPr>
              <w:t>3.00</w:t>
            </w:r>
          </w:p>
        </w:tc>
      </w:tr>
      <w:tr w14:paraId="4329D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9" w:type="pct"/>
            <w:vMerge w:val="continue"/>
            <w:vAlign w:val="center"/>
          </w:tcPr>
          <w:p w14:paraId="0981E849">
            <w:pPr>
              <w:snapToGrid w:val="0"/>
              <w:jc w:val="center"/>
              <w:rPr>
                <w:rFonts w:ascii="Times New Roman" w:hAnsi="Times New Roman" w:cs="Times New Roman"/>
                <w:i/>
                <w:sz w:val="15"/>
                <w:szCs w:val="15"/>
              </w:rPr>
            </w:pPr>
          </w:p>
        </w:tc>
        <w:tc>
          <w:tcPr>
            <w:tcW w:w="1056" w:type="pct"/>
            <w:vMerge w:val="continue"/>
            <w:vAlign w:val="center"/>
          </w:tcPr>
          <w:p w14:paraId="4A6FE890">
            <w:pPr>
              <w:snapToGrid w:val="0"/>
              <w:jc w:val="center"/>
              <w:rPr>
                <w:rFonts w:ascii="Times New Roman" w:hAnsi="Times New Roman" w:cs="Times New Roman"/>
                <w:sz w:val="15"/>
                <w:szCs w:val="15"/>
              </w:rPr>
            </w:pPr>
          </w:p>
        </w:tc>
        <w:tc>
          <w:tcPr>
            <w:tcW w:w="845" w:type="pct"/>
            <w:vMerge w:val="restart"/>
            <w:vAlign w:val="center"/>
          </w:tcPr>
          <w:p w14:paraId="43A9C09B">
            <w:pPr>
              <w:snapToGrid w:val="0"/>
              <w:jc w:val="center"/>
              <w:rPr>
                <w:rFonts w:ascii="Times New Roman" w:hAnsi="Times New Roman" w:cs="Times New Roman"/>
                <w:sz w:val="15"/>
                <w:szCs w:val="15"/>
              </w:rPr>
            </w:pPr>
            <w:r>
              <w:rPr>
                <w:rFonts w:ascii="Times New Roman" w:hAnsi="Times New Roman" w:cs="Times New Roman"/>
                <w:sz w:val="15"/>
                <w:szCs w:val="15"/>
              </w:rPr>
              <w:t>特殊</w:t>
            </w:r>
          </w:p>
        </w:tc>
        <w:tc>
          <w:tcPr>
            <w:tcW w:w="1055" w:type="pct"/>
            <w:vAlign w:val="center"/>
          </w:tcPr>
          <w:p w14:paraId="6C972DD2">
            <w:pPr>
              <w:snapToGrid w:val="0"/>
              <w:jc w:val="center"/>
              <w:rPr>
                <w:rFonts w:ascii="Times New Roman" w:hAnsi="Times New Roman" w:cs="Times New Roman"/>
                <w:sz w:val="15"/>
                <w:szCs w:val="15"/>
              </w:rPr>
            </w:pPr>
            <w:r>
              <w:rPr>
                <w:rFonts w:ascii="Times New Roman" w:hAnsi="Times New Roman" w:cs="Times New Roman"/>
                <w:sz w:val="15"/>
                <w:szCs w:val="15"/>
              </w:rPr>
              <w:t>非常洪水状况</w:t>
            </w:r>
          </w:p>
        </w:tc>
        <w:tc>
          <w:tcPr>
            <w:tcW w:w="1135" w:type="pct"/>
            <w:vAlign w:val="center"/>
          </w:tcPr>
          <w:p w14:paraId="7A3DA1E3">
            <w:pPr>
              <w:snapToGrid w:val="0"/>
              <w:jc w:val="center"/>
              <w:rPr>
                <w:rFonts w:ascii="Times New Roman" w:hAnsi="Times New Roman" w:cs="Times New Roman"/>
                <w:sz w:val="15"/>
                <w:szCs w:val="15"/>
              </w:rPr>
            </w:pPr>
            <w:r>
              <w:rPr>
                <w:rFonts w:ascii="Times New Roman" w:hAnsi="Times New Roman" w:cs="Times New Roman"/>
                <w:sz w:val="15"/>
                <w:szCs w:val="15"/>
              </w:rPr>
              <w:t>2.50</w:t>
            </w:r>
          </w:p>
        </w:tc>
      </w:tr>
      <w:tr w14:paraId="65364C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9" w:type="pct"/>
            <w:vMerge w:val="continue"/>
            <w:vAlign w:val="center"/>
          </w:tcPr>
          <w:p w14:paraId="3FF58B9E">
            <w:pPr>
              <w:snapToGrid w:val="0"/>
              <w:jc w:val="center"/>
              <w:rPr>
                <w:rFonts w:ascii="Times New Roman" w:hAnsi="Times New Roman" w:cs="Times New Roman"/>
                <w:i/>
                <w:sz w:val="15"/>
                <w:szCs w:val="15"/>
              </w:rPr>
            </w:pPr>
          </w:p>
        </w:tc>
        <w:tc>
          <w:tcPr>
            <w:tcW w:w="1056" w:type="pct"/>
            <w:vMerge w:val="continue"/>
            <w:vAlign w:val="center"/>
          </w:tcPr>
          <w:p w14:paraId="417DF3E2">
            <w:pPr>
              <w:snapToGrid w:val="0"/>
              <w:jc w:val="center"/>
              <w:rPr>
                <w:rFonts w:ascii="Times New Roman" w:hAnsi="Times New Roman" w:cs="Times New Roman"/>
                <w:sz w:val="15"/>
                <w:szCs w:val="15"/>
              </w:rPr>
            </w:pPr>
          </w:p>
        </w:tc>
        <w:tc>
          <w:tcPr>
            <w:tcW w:w="845" w:type="pct"/>
            <w:vMerge w:val="continue"/>
            <w:vAlign w:val="center"/>
          </w:tcPr>
          <w:p w14:paraId="497A5678">
            <w:pPr>
              <w:snapToGrid w:val="0"/>
              <w:jc w:val="center"/>
              <w:rPr>
                <w:rFonts w:ascii="Times New Roman" w:hAnsi="Times New Roman" w:cs="Times New Roman"/>
                <w:sz w:val="15"/>
                <w:szCs w:val="15"/>
              </w:rPr>
            </w:pPr>
          </w:p>
        </w:tc>
        <w:tc>
          <w:tcPr>
            <w:tcW w:w="1055" w:type="pct"/>
            <w:vAlign w:val="center"/>
          </w:tcPr>
          <w:p w14:paraId="672F5302">
            <w:pPr>
              <w:snapToGrid w:val="0"/>
              <w:jc w:val="center"/>
              <w:rPr>
                <w:rFonts w:ascii="Times New Roman" w:hAnsi="Times New Roman" w:cs="Times New Roman"/>
                <w:sz w:val="15"/>
                <w:szCs w:val="15"/>
              </w:rPr>
            </w:pPr>
            <w:r>
              <w:rPr>
                <w:rFonts w:ascii="Times New Roman" w:hAnsi="Times New Roman" w:cs="Times New Roman"/>
                <w:sz w:val="15"/>
                <w:szCs w:val="15"/>
              </w:rPr>
              <w:t>设计地震状况</w:t>
            </w:r>
          </w:p>
        </w:tc>
        <w:tc>
          <w:tcPr>
            <w:tcW w:w="1135" w:type="pct"/>
            <w:vAlign w:val="center"/>
          </w:tcPr>
          <w:p w14:paraId="106EE331">
            <w:pPr>
              <w:snapToGrid w:val="0"/>
              <w:jc w:val="center"/>
              <w:rPr>
                <w:rFonts w:ascii="Times New Roman" w:hAnsi="Times New Roman" w:cs="Times New Roman"/>
                <w:sz w:val="15"/>
                <w:szCs w:val="15"/>
              </w:rPr>
            </w:pPr>
            <w:r>
              <w:rPr>
                <w:rFonts w:ascii="Times New Roman" w:hAnsi="Times New Roman" w:cs="Times New Roman"/>
                <w:sz w:val="15"/>
                <w:szCs w:val="15"/>
              </w:rPr>
              <w:t>2.30</w:t>
            </w:r>
          </w:p>
        </w:tc>
      </w:tr>
      <w:tr w14:paraId="1003A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9" w:type="pct"/>
            <w:vMerge w:val="restart"/>
            <w:vAlign w:val="center"/>
          </w:tcPr>
          <w:p w14:paraId="7D0F6D28">
            <w:pPr>
              <w:snapToGrid w:val="0"/>
              <w:jc w:val="center"/>
              <w:rPr>
                <w:rFonts w:ascii="Times New Roman" w:hAnsi="Times New Roman" w:cs="Times New Roman"/>
                <w:i/>
                <w:sz w:val="15"/>
                <w:szCs w:val="15"/>
              </w:rPr>
            </w:pPr>
            <w:r>
              <w:rPr>
                <w:rFonts w:ascii="Times New Roman" w:hAnsi="Times New Roman" w:cs="Times New Roman"/>
                <w:i/>
                <w:sz w:val="15"/>
                <w:szCs w:val="15"/>
              </w:rPr>
              <w:t>K</w:t>
            </w:r>
          </w:p>
        </w:tc>
        <w:tc>
          <w:tcPr>
            <w:tcW w:w="1056" w:type="pct"/>
            <w:vMerge w:val="restart"/>
            <w:vAlign w:val="center"/>
          </w:tcPr>
          <w:p w14:paraId="5532682C">
            <w:pPr>
              <w:snapToGrid w:val="0"/>
              <w:jc w:val="center"/>
              <w:rPr>
                <w:rFonts w:ascii="Times New Roman" w:hAnsi="Times New Roman" w:cs="Times New Roman"/>
                <w:sz w:val="15"/>
                <w:szCs w:val="15"/>
              </w:rPr>
            </w:pPr>
            <w:r>
              <w:rPr>
                <w:rFonts w:ascii="Times New Roman" w:hAnsi="Times New Roman" w:cs="Times New Roman"/>
                <w:sz w:val="15"/>
                <w:szCs w:val="15"/>
              </w:rPr>
              <w:t>抗剪公式</w:t>
            </w:r>
          </w:p>
        </w:tc>
        <w:tc>
          <w:tcPr>
            <w:tcW w:w="1900" w:type="pct"/>
            <w:gridSpan w:val="2"/>
            <w:vAlign w:val="center"/>
          </w:tcPr>
          <w:p w14:paraId="41DAAB83">
            <w:pPr>
              <w:snapToGrid w:val="0"/>
              <w:jc w:val="center"/>
              <w:rPr>
                <w:rFonts w:ascii="Times New Roman" w:hAnsi="Times New Roman" w:cs="Times New Roman"/>
                <w:sz w:val="15"/>
                <w:szCs w:val="15"/>
              </w:rPr>
            </w:pPr>
            <w:r>
              <w:rPr>
                <w:rFonts w:ascii="Times New Roman" w:hAnsi="Times New Roman" w:cs="Times New Roman"/>
                <w:sz w:val="15"/>
                <w:szCs w:val="15"/>
              </w:rPr>
              <w:t>基本</w:t>
            </w:r>
          </w:p>
        </w:tc>
        <w:tc>
          <w:tcPr>
            <w:tcW w:w="1135" w:type="pct"/>
            <w:vAlign w:val="center"/>
          </w:tcPr>
          <w:p w14:paraId="04B5D5CA">
            <w:pPr>
              <w:snapToGrid w:val="0"/>
              <w:jc w:val="center"/>
              <w:rPr>
                <w:rFonts w:ascii="Times New Roman" w:hAnsi="Times New Roman" w:cs="Times New Roman"/>
                <w:sz w:val="15"/>
                <w:szCs w:val="15"/>
              </w:rPr>
            </w:pPr>
            <w:r>
              <w:rPr>
                <w:rFonts w:ascii="Times New Roman" w:hAnsi="Times New Roman" w:cs="Times New Roman"/>
                <w:sz w:val="15"/>
                <w:szCs w:val="15"/>
              </w:rPr>
              <w:t>1.05</w:t>
            </w:r>
          </w:p>
        </w:tc>
      </w:tr>
      <w:tr w14:paraId="1348B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9" w:type="pct"/>
            <w:vMerge w:val="continue"/>
            <w:vAlign w:val="center"/>
          </w:tcPr>
          <w:p w14:paraId="6E68620A">
            <w:pPr>
              <w:snapToGrid w:val="0"/>
              <w:jc w:val="center"/>
              <w:rPr>
                <w:rFonts w:ascii="Times New Roman" w:hAnsi="Times New Roman" w:cs="Times New Roman"/>
                <w:sz w:val="15"/>
                <w:szCs w:val="15"/>
              </w:rPr>
            </w:pPr>
          </w:p>
        </w:tc>
        <w:tc>
          <w:tcPr>
            <w:tcW w:w="1056" w:type="pct"/>
            <w:vMerge w:val="continue"/>
            <w:vAlign w:val="center"/>
          </w:tcPr>
          <w:p w14:paraId="4E8FFD68">
            <w:pPr>
              <w:snapToGrid w:val="0"/>
              <w:jc w:val="center"/>
              <w:rPr>
                <w:rFonts w:ascii="Times New Roman" w:hAnsi="Times New Roman" w:cs="Times New Roman"/>
                <w:sz w:val="15"/>
                <w:szCs w:val="15"/>
              </w:rPr>
            </w:pPr>
          </w:p>
        </w:tc>
        <w:tc>
          <w:tcPr>
            <w:tcW w:w="845" w:type="pct"/>
            <w:vMerge w:val="restart"/>
            <w:vAlign w:val="center"/>
          </w:tcPr>
          <w:p w14:paraId="3F626E3F">
            <w:pPr>
              <w:snapToGrid w:val="0"/>
              <w:jc w:val="center"/>
              <w:rPr>
                <w:rFonts w:ascii="Times New Roman" w:hAnsi="Times New Roman" w:cs="Times New Roman"/>
                <w:sz w:val="15"/>
                <w:szCs w:val="15"/>
              </w:rPr>
            </w:pPr>
            <w:r>
              <w:rPr>
                <w:rFonts w:ascii="Times New Roman" w:hAnsi="Times New Roman" w:cs="Times New Roman"/>
                <w:sz w:val="15"/>
                <w:szCs w:val="15"/>
              </w:rPr>
              <w:t>特殊</w:t>
            </w:r>
          </w:p>
        </w:tc>
        <w:tc>
          <w:tcPr>
            <w:tcW w:w="1055" w:type="pct"/>
            <w:vAlign w:val="center"/>
          </w:tcPr>
          <w:p w14:paraId="74351D6C">
            <w:pPr>
              <w:snapToGrid w:val="0"/>
              <w:jc w:val="center"/>
              <w:rPr>
                <w:rFonts w:ascii="Times New Roman" w:hAnsi="Times New Roman" w:cs="Times New Roman"/>
                <w:sz w:val="15"/>
                <w:szCs w:val="15"/>
              </w:rPr>
            </w:pPr>
            <w:r>
              <w:rPr>
                <w:rFonts w:ascii="Times New Roman" w:hAnsi="Times New Roman" w:cs="Times New Roman"/>
                <w:sz w:val="15"/>
                <w:szCs w:val="15"/>
              </w:rPr>
              <w:t>非常洪水状况</w:t>
            </w:r>
          </w:p>
        </w:tc>
        <w:tc>
          <w:tcPr>
            <w:tcW w:w="1135" w:type="pct"/>
            <w:vAlign w:val="center"/>
          </w:tcPr>
          <w:p w14:paraId="5E8DF7BB">
            <w:pPr>
              <w:snapToGrid w:val="0"/>
              <w:jc w:val="center"/>
              <w:rPr>
                <w:rFonts w:ascii="Times New Roman" w:hAnsi="Times New Roman" w:cs="Times New Roman"/>
                <w:sz w:val="15"/>
                <w:szCs w:val="15"/>
              </w:rPr>
            </w:pPr>
            <w:r>
              <w:rPr>
                <w:rFonts w:ascii="Times New Roman" w:hAnsi="Times New Roman" w:cs="Times New Roman"/>
                <w:sz w:val="15"/>
                <w:szCs w:val="15"/>
              </w:rPr>
              <w:t>1.00</w:t>
            </w:r>
          </w:p>
        </w:tc>
      </w:tr>
      <w:tr w14:paraId="755310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09" w:type="pct"/>
            <w:vMerge w:val="continue"/>
            <w:vAlign w:val="center"/>
          </w:tcPr>
          <w:p w14:paraId="3091F150">
            <w:pPr>
              <w:snapToGrid w:val="0"/>
              <w:jc w:val="center"/>
              <w:rPr>
                <w:rFonts w:ascii="Times New Roman" w:hAnsi="Times New Roman" w:cs="Times New Roman"/>
                <w:sz w:val="15"/>
                <w:szCs w:val="15"/>
              </w:rPr>
            </w:pPr>
          </w:p>
        </w:tc>
        <w:tc>
          <w:tcPr>
            <w:tcW w:w="1056" w:type="pct"/>
            <w:vMerge w:val="continue"/>
            <w:vAlign w:val="center"/>
          </w:tcPr>
          <w:p w14:paraId="2147E56D">
            <w:pPr>
              <w:snapToGrid w:val="0"/>
              <w:jc w:val="center"/>
              <w:rPr>
                <w:rFonts w:ascii="Times New Roman" w:hAnsi="Times New Roman" w:cs="Times New Roman"/>
                <w:sz w:val="15"/>
                <w:szCs w:val="15"/>
              </w:rPr>
            </w:pPr>
          </w:p>
        </w:tc>
        <w:tc>
          <w:tcPr>
            <w:tcW w:w="845" w:type="pct"/>
            <w:vMerge w:val="continue"/>
            <w:vAlign w:val="center"/>
          </w:tcPr>
          <w:p w14:paraId="480EECE2">
            <w:pPr>
              <w:snapToGrid w:val="0"/>
              <w:jc w:val="center"/>
              <w:rPr>
                <w:rFonts w:ascii="Times New Roman" w:hAnsi="Times New Roman" w:cs="Times New Roman"/>
                <w:sz w:val="15"/>
                <w:szCs w:val="15"/>
              </w:rPr>
            </w:pPr>
          </w:p>
        </w:tc>
        <w:tc>
          <w:tcPr>
            <w:tcW w:w="1055" w:type="pct"/>
            <w:vAlign w:val="center"/>
          </w:tcPr>
          <w:p w14:paraId="268E549D">
            <w:pPr>
              <w:snapToGrid w:val="0"/>
              <w:jc w:val="center"/>
              <w:rPr>
                <w:rFonts w:ascii="Times New Roman" w:hAnsi="Times New Roman" w:cs="Times New Roman"/>
                <w:sz w:val="15"/>
                <w:szCs w:val="15"/>
              </w:rPr>
            </w:pPr>
            <w:r>
              <w:rPr>
                <w:rFonts w:ascii="Times New Roman" w:hAnsi="Times New Roman" w:cs="Times New Roman"/>
                <w:sz w:val="15"/>
                <w:szCs w:val="15"/>
              </w:rPr>
              <w:t>设计地震状况</w:t>
            </w:r>
          </w:p>
        </w:tc>
        <w:tc>
          <w:tcPr>
            <w:tcW w:w="1135" w:type="pct"/>
            <w:vAlign w:val="center"/>
          </w:tcPr>
          <w:p w14:paraId="65AEB294">
            <w:pPr>
              <w:snapToGrid w:val="0"/>
              <w:jc w:val="center"/>
              <w:rPr>
                <w:rFonts w:ascii="Times New Roman" w:hAnsi="Times New Roman" w:cs="Times New Roman"/>
                <w:sz w:val="15"/>
                <w:szCs w:val="15"/>
              </w:rPr>
            </w:pPr>
            <w:r>
              <w:rPr>
                <w:rFonts w:ascii="Times New Roman" w:hAnsi="Times New Roman" w:cs="Times New Roman"/>
                <w:sz w:val="15"/>
                <w:szCs w:val="15"/>
              </w:rPr>
              <w:t>1.00</w:t>
            </w:r>
          </w:p>
        </w:tc>
      </w:tr>
    </w:tbl>
    <w:p w14:paraId="2E8CCB74">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Ⅳ 塘坝和滚水坝</w:t>
      </w:r>
    </w:p>
    <w:p w14:paraId="7D7886F4">
      <w:pPr>
        <w:snapToGrid w:val="0"/>
        <w:spacing w:line="360" w:lineRule="auto"/>
        <w:rPr>
          <w:rFonts w:ascii="Times New Roman" w:hAnsi="Times New Roman" w:cs="Times New Roman"/>
          <w:b/>
          <w:sz w:val="24"/>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w:t>
      </w:r>
      <w:r>
        <w:rPr>
          <w:rFonts w:ascii="Times New Roman" w:hAnsi="Times New Roman" w:cs="Times New Roman"/>
          <w:b/>
          <w:sz w:val="21"/>
          <w:szCs w:val="21"/>
        </w:rPr>
        <w:t>.</w:t>
      </w:r>
      <w:r>
        <w:rPr>
          <w:rFonts w:ascii="Times New Roman" w:hAnsi="Times New Roman" w:eastAsia="黑体" w:cs="Times New Roman"/>
          <w:b/>
          <w:sz w:val="21"/>
          <w:szCs w:val="21"/>
        </w:rPr>
        <w:t>13</w:t>
      </w:r>
      <w:r>
        <w:rPr>
          <w:rFonts w:ascii="Times New Roman" w:hAnsi="Times New Roman" w:cs="Times New Roman"/>
          <w:sz w:val="21"/>
          <w:szCs w:val="21"/>
        </w:rPr>
        <w:t xml:space="preserve">  塘坝工程级别和防洪标准应符合下列规定：</w:t>
      </w:r>
    </w:p>
    <w:p w14:paraId="08F4CCF0">
      <w:pPr>
        <w:snapToGrid w:val="0"/>
        <w:spacing w:line="360" w:lineRule="auto"/>
        <w:ind w:firstLine="422" w:firstLineChars="200"/>
        <w:rPr>
          <w:rFonts w:ascii="Times New Roman" w:hAnsi="Times New Roman" w:cs="Times New Roman"/>
          <w:b/>
          <w:sz w:val="24"/>
          <w:szCs w:val="21"/>
        </w:rPr>
      </w:pPr>
      <w:r>
        <w:rPr>
          <w:rFonts w:ascii="Times New Roman" w:hAnsi="Times New Roman" w:eastAsia="黑体" w:cs="Times New Roman"/>
          <w:b/>
          <w:sz w:val="21"/>
          <w:szCs w:val="21"/>
        </w:rPr>
        <w:t>1</w:t>
      </w:r>
      <w:r>
        <w:rPr>
          <w:rFonts w:ascii="Times New Roman" w:hAnsi="Times New Roman" w:cs="Times New Roman"/>
          <w:sz w:val="21"/>
          <w:szCs w:val="21"/>
        </w:rPr>
        <w:t xml:space="preserve">  塘坝工程级别应按表</w:t>
      </w:r>
      <w:r>
        <w:rPr>
          <w:rFonts w:ascii="Times New Roman" w:hAnsi="Times New Roman" w:eastAsia="黑体" w:cs="Times New Roman"/>
          <w:sz w:val="21"/>
          <w:szCs w:val="21"/>
        </w:rPr>
        <w:t>4</w:t>
      </w:r>
      <w:r>
        <w:rPr>
          <w:rFonts w:ascii="Times New Roman" w:hAnsi="Times New Roman" w:cs="Times New Roman"/>
          <w:sz w:val="21"/>
          <w:szCs w:val="21"/>
        </w:rPr>
        <w:t>.</w:t>
      </w:r>
      <w:r>
        <w:rPr>
          <w:rFonts w:ascii="Times New Roman" w:hAnsi="Times New Roman" w:eastAsia="黑体" w:cs="Times New Roman"/>
          <w:sz w:val="21"/>
          <w:szCs w:val="21"/>
        </w:rPr>
        <w:t>2</w:t>
      </w:r>
      <w:r>
        <w:rPr>
          <w:rFonts w:ascii="Times New Roman" w:hAnsi="Times New Roman" w:cs="Times New Roman"/>
          <w:sz w:val="21"/>
          <w:szCs w:val="21"/>
        </w:rPr>
        <w:t>.</w:t>
      </w:r>
      <w:r>
        <w:rPr>
          <w:rFonts w:ascii="Times New Roman" w:hAnsi="Times New Roman" w:eastAsia="黑体" w:cs="Times New Roman"/>
          <w:sz w:val="21"/>
          <w:szCs w:val="21"/>
        </w:rPr>
        <w:t>13-1</w:t>
      </w:r>
      <w:r>
        <w:rPr>
          <w:rFonts w:ascii="Times New Roman" w:hAnsi="Times New Roman" w:cs="Times New Roman"/>
          <w:sz w:val="21"/>
          <w:szCs w:val="21"/>
        </w:rPr>
        <w:t>确定。</w:t>
      </w:r>
    </w:p>
    <w:p w14:paraId="2289857F">
      <w:pPr>
        <w:jc w:val="center"/>
        <w:rPr>
          <w:rFonts w:ascii="Times New Roman" w:hAnsi="Times New Roman" w:eastAsia="黑体" w:cs="Times New Roman"/>
          <w:b/>
          <w:sz w:val="18"/>
          <w:szCs w:val="18"/>
        </w:rPr>
      </w:pPr>
      <w:r>
        <w:rPr>
          <w:rFonts w:ascii="Times New Roman" w:hAnsi="Times New Roman" w:eastAsia="黑体" w:cs="Times New Roman"/>
          <w:sz w:val="18"/>
          <w:szCs w:val="18"/>
        </w:rPr>
        <w:t>表4.2.13-1  塘坝工程级别</w:t>
      </w:r>
    </w:p>
    <w:tbl>
      <w:tblPr>
        <w:tblStyle w:val="10"/>
        <w:tblW w:w="8510" w:type="dxa"/>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62"/>
        <w:gridCol w:w="2672"/>
        <w:gridCol w:w="2676"/>
      </w:tblGrid>
      <w:tr w14:paraId="56BD6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3162" w:type="dxa"/>
            <w:vMerge w:val="restart"/>
            <w:vAlign w:val="center"/>
          </w:tcPr>
          <w:p w14:paraId="6F60AEA7">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工程级别</w:t>
            </w:r>
          </w:p>
        </w:tc>
        <w:tc>
          <w:tcPr>
            <w:tcW w:w="5348" w:type="dxa"/>
            <w:gridSpan w:val="2"/>
            <w:vAlign w:val="center"/>
          </w:tcPr>
          <w:p w14:paraId="08AB15C7">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级别指标</w:t>
            </w:r>
          </w:p>
        </w:tc>
      </w:tr>
      <w:tr w14:paraId="22FEB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162" w:type="dxa"/>
            <w:vMerge w:val="continue"/>
            <w:vAlign w:val="center"/>
          </w:tcPr>
          <w:p w14:paraId="470491F1">
            <w:pPr>
              <w:adjustRightInd w:val="0"/>
              <w:snapToGrid w:val="0"/>
              <w:jc w:val="center"/>
              <w:rPr>
                <w:rFonts w:ascii="Times New Roman" w:hAnsi="Times New Roman" w:cs="Times New Roman"/>
                <w:b/>
                <w:sz w:val="15"/>
                <w:szCs w:val="15"/>
              </w:rPr>
            </w:pPr>
          </w:p>
        </w:tc>
        <w:tc>
          <w:tcPr>
            <w:tcW w:w="2672" w:type="dxa"/>
            <w:vAlign w:val="center"/>
          </w:tcPr>
          <w:p w14:paraId="31DBE6E4">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库容（10</w:t>
            </w:r>
            <w:r>
              <w:rPr>
                <w:rFonts w:ascii="Times New Roman" w:hAnsi="Times New Roman" w:cs="Times New Roman"/>
                <w:sz w:val="15"/>
                <w:szCs w:val="15"/>
                <w:vertAlign w:val="superscript"/>
              </w:rPr>
              <w:t>4</w:t>
            </w:r>
            <w:r>
              <w:rPr>
                <w:rFonts w:ascii="Times New Roman" w:hAnsi="Times New Roman" w:cs="Times New Roman"/>
                <w:sz w:val="15"/>
                <w:szCs w:val="15"/>
              </w:rPr>
              <w:t>m</w:t>
            </w:r>
            <w:r>
              <w:rPr>
                <w:rFonts w:ascii="Times New Roman" w:hAnsi="Times New Roman" w:cs="Times New Roman"/>
                <w:sz w:val="15"/>
                <w:szCs w:val="15"/>
                <w:vertAlign w:val="superscript"/>
              </w:rPr>
              <w:t>3</w:t>
            </w:r>
            <w:r>
              <w:rPr>
                <w:rFonts w:ascii="Times New Roman" w:hAnsi="Times New Roman" w:cs="Times New Roman"/>
                <w:sz w:val="15"/>
                <w:szCs w:val="15"/>
              </w:rPr>
              <w:t>）</w:t>
            </w:r>
          </w:p>
        </w:tc>
        <w:tc>
          <w:tcPr>
            <w:tcW w:w="2676" w:type="dxa"/>
            <w:vAlign w:val="center"/>
          </w:tcPr>
          <w:p w14:paraId="696C2FFE">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坝高（m）</w:t>
            </w:r>
          </w:p>
        </w:tc>
      </w:tr>
      <w:tr w14:paraId="2947B3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3162" w:type="dxa"/>
            <w:vAlign w:val="center"/>
          </w:tcPr>
          <w:p w14:paraId="23F99C1C">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1</w:t>
            </w:r>
          </w:p>
        </w:tc>
        <w:tc>
          <w:tcPr>
            <w:tcW w:w="2672" w:type="dxa"/>
            <w:vAlign w:val="center"/>
          </w:tcPr>
          <w:p w14:paraId="5D8576D1">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5～10</w:t>
            </w:r>
          </w:p>
        </w:tc>
        <w:tc>
          <w:tcPr>
            <w:tcW w:w="2676" w:type="dxa"/>
            <w:vAlign w:val="center"/>
          </w:tcPr>
          <w:p w14:paraId="0ACC5B6D">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5～10</w:t>
            </w:r>
          </w:p>
        </w:tc>
      </w:tr>
      <w:tr w14:paraId="58D6DA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3162" w:type="dxa"/>
            <w:vAlign w:val="center"/>
          </w:tcPr>
          <w:p w14:paraId="46D97CAD">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2</w:t>
            </w:r>
          </w:p>
        </w:tc>
        <w:tc>
          <w:tcPr>
            <w:tcW w:w="2672" w:type="dxa"/>
            <w:vAlign w:val="center"/>
          </w:tcPr>
          <w:p w14:paraId="1CAB391E">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＜5</w:t>
            </w:r>
          </w:p>
        </w:tc>
        <w:tc>
          <w:tcPr>
            <w:tcW w:w="2676" w:type="dxa"/>
            <w:vAlign w:val="center"/>
          </w:tcPr>
          <w:p w14:paraId="29BA0DF5">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＜5</w:t>
            </w:r>
          </w:p>
        </w:tc>
      </w:tr>
    </w:tbl>
    <w:p w14:paraId="2AD32E3A">
      <w:pPr>
        <w:snapToGrid w:val="0"/>
        <w:spacing w:before="156" w:beforeLines="50"/>
        <w:ind w:firstLine="450" w:firstLineChars="300"/>
        <w:rPr>
          <w:rFonts w:ascii="Times New Roman" w:hAnsi="Times New Roman" w:cs="Times New Roman"/>
          <w:b/>
          <w:sz w:val="15"/>
          <w:szCs w:val="15"/>
        </w:rPr>
      </w:pPr>
      <w:r>
        <w:rPr>
          <w:rFonts w:ascii="Times New Roman" w:hAnsi="Times New Roman" w:cs="Times New Roman"/>
          <w:sz w:val="15"/>
          <w:szCs w:val="15"/>
        </w:rPr>
        <w:t>注：根据库容和坝高确定工程级别不同时，按最高级别来确定。</w:t>
      </w:r>
    </w:p>
    <w:p w14:paraId="0D798A3A">
      <w:pPr>
        <w:spacing w:line="360" w:lineRule="auto"/>
        <w:ind w:firstLine="422" w:firstLineChars="200"/>
        <w:rPr>
          <w:rFonts w:ascii="Times New Roman" w:hAnsi="Times New Roman" w:cs="Times New Roman"/>
          <w:b/>
          <w:sz w:val="24"/>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塘坝的防洪标准应按表4.2.13-2确定。</w:t>
      </w:r>
    </w:p>
    <w:p w14:paraId="1ACE604C">
      <w:pPr>
        <w:jc w:val="center"/>
        <w:rPr>
          <w:rFonts w:ascii="Times New Roman" w:hAnsi="Times New Roman" w:eastAsia="黑体" w:cs="Times New Roman"/>
          <w:b/>
          <w:sz w:val="18"/>
          <w:szCs w:val="18"/>
        </w:rPr>
      </w:pPr>
      <w:r>
        <w:rPr>
          <w:rFonts w:ascii="Times New Roman" w:hAnsi="Times New Roman" w:eastAsia="黑体" w:cs="Times New Roman"/>
          <w:sz w:val="18"/>
          <w:szCs w:val="18"/>
        </w:rPr>
        <w:t>表4.2.13-2  塘坝工程防洪标准</w:t>
      </w:r>
    </w:p>
    <w:tbl>
      <w:tblPr>
        <w:tblStyle w:val="10"/>
        <w:tblW w:w="8522" w:type="dxa"/>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2913"/>
        <w:gridCol w:w="2909"/>
      </w:tblGrid>
      <w:tr w14:paraId="64CE2D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2700" w:type="dxa"/>
            <w:vMerge w:val="restart"/>
            <w:vAlign w:val="center"/>
          </w:tcPr>
          <w:p w14:paraId="76CC631B">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工程级别</w:t>
            </w:r>
          </w:p>
        </w:tc>
        <w:tc>
          <w:tcPr>
            <w:tcW w:w="5822" w:type="dxa"/>
            <w:gridSpan w:val="2"/>
            <w:vAlign w:val="center"/>
          </w:tcPr>
          <w:p w14:paraId="63B5A035">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防洪标准［重现期（年）］</w:t>
            </w:r>
          </w:p>
        </w:tc>
      </w:tr>
      <w:tr w14:paraId="48D2A2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00" w:type="dxa"/>
            <w:vMerge w:val="continue"/>
            <w:vAlign w:val="center"/>
          </w:tcPr>
          <w:p w14:paraId="226E8963">
            <w:pPr>
              <w:adjustRightInd w:val="0"/>
              <w:snapToGrid w:val="0"/>
              <w:jc w:val="center"/>
              <w:rPr>
                <w:rFonts w:ascii="Times New Roman" w:hAnsi="Times New Roman" w:cs="Times New Roman"/>
                <w:b/>
                <w:sz w:val="15"/>
                <w:szCs w:val="15"/>
              </w:rPr>
            </w:pPr>
          </w:p>
        </w:tc>
        <w:tc>
          <w:tcPr>
            <w:tcW w:w="2913" w:type="dxa"/>
            <w:vAlign w:val="center"/>
          </w:tcPr>
          <w:p w14:paraId="0C26E1FE">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设计</w:t>
            </w:r>
          </w:p>
        </w:tc>
        <w:tc>
          <w:tcPr>
            <w:tcW w:w="2909" w:type="dxa"/>
            <w:vAlign w:val="center"/>
          </w:tcPr>
          <w:p w14:paraId="738B95D3">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校核</w:t>
            </w:r>
          </w:p>
        </w:tc>
      </w:tr>
      <w:tr w14:paraId="3ECFD9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2700" w:type="dxa"/>
            <w:vAlign w:val="center"/>
          </w:tcPr>
          <w:p w14:paraId="11C7E529">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1</w:t>
            </w:r>
          </w:p>
        </w:tc>
        <w:tc>
          <w:tcPr>
            <w:tcW w:w="2913" w:type="dxa"/>
            <w:vAlign w:val="center"/>
          </w:tcPr>
          <w:p w14:paraId="65117C03">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10</w:t>
            </w:r>
          </w:p>
        </w:tc>
        <w:tc>
          <w:tcPr>
            <w:tcW w:w="2909" w:type="dxa"/>
            <w:vAlign w:val="center"/>
          </w:tcPr>
          <w:p w14:paraId="6AEAD203">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20</w:t>
            </w:r>
          </w:p>
        </w:tc>
      </w:tr>
      <w:tr w14:paraId="5B387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700" w:type="dxa"/>
            <w:vAlign w:val="center"/>
          </w:tcPr>
          <w:p w14:paraId="2DE421B8">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2</w:t>
            </w:r>
          </w:p>
        </w:tc>
        <w:tc>
          <w:tcPr>
            <w:tcW w:w="2913" w:type="dxa"/>
            <w:vAlign w:val="center"/>
          </w:tcPr>
          <w:p w14:paraId="060FE055">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5</w:t>
            </w:r>
          </w:p>
        </w:tc>
        <w:tc>
          <w:tcPr>
            <w:tcW w:w="2909" w:type="dxa"/>
            <w:vAlign w:val="center"/>
          </w:tcPr>
          <w:p w14:paraId="5F2BADC8">
            <w:pPr>
              <w:adjustRightInd w:val="0"/>
              <w:snapToGrid w:val="0"/>
              <w:jc w:val="center"/>
              <w:rPr>
                <w:rFonts w:ascii="Times New Roman" w:hAnsi="Times New Roman" w:cs="Times New Roman"/>
                <w:b/>
                <w:sz w:val="15"/>
                <w:szCs w:val="15"/>
              </w:rPr>
            </w:pPr>
            <w:r>
              <w:rPr>
                <w:rFonts w:ascii="Times New Roman" w:hAnsi="Times New Roman" w:cs="Times New Roman"/>
                <w:sz w:val="15"/>
                <w:szCs w:val="15"/>
              </w:rPr>
              <w:t>10</w:t>
            </w:r>
          </w:p>
        </w:tc>
      </w:tr>
    </w:tbl>
    <w:p w14:paraId="5F67E6D3">
      <w:pPr>
        <w:spacing w:line="360" w:lineRule="auto"/>
        <w:rPr>
          <w:rFonts w:ascii="Times New Roman" w:hAnsi="Times New Roman" w:cs="Times New Roman"/>
          <w:b/>
          <w:sz w:val="24"/>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w:t>
      </w:r>
      <w:r>
        <w:rPr>
          <w:rFonts w:ascii="Times New Roman" w:hAnsi="Times New Roman" w:cs="Times New Roman"/>
          <w:b/>
          <w:sz w:val="21"/>
          <w:szCs w:val="21"/>
        </w:rPr>
        <w:t>.</w:t>
      </w:r>
      <w:r>
        <w:rPr>
          <w:rFonts w:ascii="Times New Roman" w:hAnsi="Times New Roman" w:eastAsia="黑体" w:cs="Times New Roman"/>
          <w:b/>
          <w:sz w:val="21"/>
          <w:szCs w:val="21"/>
        </w:rPr>
        <w:t>14</w:t>
      </w:r>
      <w:r>
        <w:rPr>
          <w:rFonts w:ascii="Times New Roman" w:hAnsi="Times New Roman" w:cs="Times New Roman"/>
          <w:sz w:val="21"/>
          <w:szCs w:val="21"/>
        </w:rPr>
        <w:t xml:space="preserve">  滚水坝工程级别和防洪标准应符合下列规定：</w:t>
      </w:r>
    </w:p>
    <w:p w14:paraId="36AC0077">
      <w:pPr>
        <w:spacing w:line="360" w:lineRule="auto"/>
        <w:ind w:firstLine="422" w:firstLineChars="200"/>
        <w:rPr>
          <w:rFonts w:ascii="Times New Roman" w:hAnsi="Times New Roman" w:cs="Times New Roman"/>
          <w:b/>
          <w:sz w:val="24"/>
          <w:szCs w:val="21"/>
        </w:rPr>
      </w:pPr>
      <w:r>
        <w:rPr>
          <w:rFonts w:ascii="Times New Roman" w:hAnsi="Times New Roman" w:eastAsia="黑体" w:cs="Times New Roman"/>
          <w:b/>
          <w:sz w:val="21"/>
          <w:szCs w:val="21"/>
        </w:rPr>
        <w:t>1</w:t>
      </w:r>
      <w:r>
        <w:rPr>
          <w:rFonts w:ascii="Times New Roman" w:hAnsi="Times New Roman" w:cs="Times New Roman"/>
          <w:sz w:val="21"/>
          <w:szCs w:val="21"/>
        </w:rPr>
        <w:t xml:space="preserve">  滚水坝工程级别应按表4.2.1</w:t>
      </w:r>
      <w:r>
        <w:rPr>
          <w:rFonts w:hint="eastAsia" w:ascii="Times New Roman" w:hAnsi="Times New Roman" w:cs="Times New Roman"/>
          <w:sz w:val="21"/>
          <w:szCs w:val="21"/>
        </w:rPr>
        <w:t>4</w:t>
      </w:r>
      <w:r>
        <w:rPr>
          <w:rFonts w:ascii="Times New Roman" w:hAnsi="Times New Roman" w:cs="Times New Roman"/>
          <w:sz w:val="21"/>
          <w:szCs w:val="21"/>
        </w:rPr>
        <w:t>-1确定。</w:t>
      </w:r>
    </w:p>
    <w:p w14:paraId="37F9D540">
      <w:pPr>
        <w:jc w:val="center"/>
        <w:rPr>
          <w:rFonts w:ascii="Times New Roman" w:hAnsi="Times New Roman" w:eastAsia="黑体" w:cs="Times New Roman"/>
          <w:b/>
          <w:sz w:val="18"/>
          <w:szCs w:val="18"/>
        </w:rPr>
      </w:pPr>
      <w:r>
        <w:rPr>
          <w:rFonts w:ascii="Times New Roman" w:hAnsi="Times New Roman" w:eastAsia="黑体" w:cs="Times New Roman"/>
          <w:sz w:val="18"/>
          <w:szCs w:val="18"/>
        </w:rPr>
        <w:t>表4.2.1</w:t>
      </w:r>
      <w:r>
        <w:rPr>
          <w:rFonts w:hint="eastAsia" w:ascii="Times New Roman" w:hAnsi="Times New Roman" w:eastAsia="黑体" w:cs="Times New Roman"/>
          <w:sz w:val="18"/>
          <w:szCs w:val="18"/>
        </w:rPr>
        <w:t>4</w:t>
      </w:r>
      <w:r>
        <w:rPr>
          <w:rFonts w:ascii="Times New Roman" w:hAnsi="Times New Roman" w:eastAsia="黑体" w:cs="Times New Roman"/>
          <w:sz w:val="18"/>
          <w:szCs w:val="18"/>
        </w:rPr>
        <w:t>-1  滚水坝工程级别</w:t>
      </w:r>
    </w:p>
    <w:tbl>
      <w:tblPr>
        <w:tblStyle w:val="10"/>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530"/>
        <w:gridCol w:w="4744"/>
      </w:tblGrid>
      <w:tr w14:paraId="60F91E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2133" w:type="pct"/>
            <w:vAlign w:val="center"/>
          </w:tcPr>
          <w:p w14:paraId="011FEDC3">
            <w:pPr>
              <w:adjustRightInd w:val="0"/>
              <w:jc w:val="center"/>
              <w:rPr>
                <w:rFonts w:ascii="Times New Roman" w:hAnsi="Times New Roman" w:cs="Times New Roman"/>
                <w:b/>
                <w:sz w:val="15"/>
                <w:szCs w:val="15"/>
              </w:rPr>
            </w:pPr>
            <w:r>
              <w:rPr>
                <w:rFonts w:ascii="Times New Roman" w:hAnsi="Times New Roman" w:cs="Times New Roman"/>
                <w:sz w:val="15"/>
                <w:szCs w:val="15"/>
              </w:rPr>
              <w:t>工程级别</w:t>
            </w:r>
          </w:p>
        </w:tc>
        <w:tc>
          <w:tcPr>
            <w:tcW w:w="2866" w:type="pct"/>
            <w:vAlign w:val="center"/>
          </w:tcPr>
          <w:p w14:paraId="4B14218D">
            <w:pPr>
              <w:adjustRightInd w:val="0"/>
              <w:jc w:val="center"/>
              <w:rPr>
                <w:rFonts w:ascii="Times New Roman" w:hAnsi="Times New Roman" w:cs="Times New Roman"/>
                <w:b/>
                <w:sz w:val="15"/>
                <w:szCs w:val="15"/>
              </w:rPr>
            </w:pPr>
            <w:r>
              <w:rPr>
                <w:rFonts w:ascii="Times New Roman" w:hAnsi="Times New Roman" w:cs="Times New Roman"/>
                <w:sz w:val="15"/>
                <w:szCs w:val="15"/>
              </w:rPr>
              <w:t>坝高（m）</w:t>
            </w:r>
          </w:p>
        </w:tc>
      </w:tr>
      <w:tr w14:paraId="16A4AC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2133" w:type="pct"/>
            <w:vAlign w:val="center"/>
          </w:tcPr>
          <w:p w14:paraId="39762C9D">
            <w:pPr>
              <w:adjustRightInd w:val="0"/>
              <w:jc w:val="center"/>
              <w:rPr>
                <w:rFonts w:ascii="Times New Roman" w:hAnsi="Times New Roman" w:cs="Times New Roman"/>
                <w:b/>
                <w:sz w:val="15"/>
                <w:szCs w:val="15"/>
              </w:rPr>
            </w:pPr>
            <w:r>
              <w:rPr>
                <w:rFonts w:ascii="Times New Roman" w:hAnsi="Times New Roman" w:cs="Times New Roman"/>
                <w:sz w:val="15"/>
                <w:szCs w:val="15"/>
              </w:rPr>
              <w:t>1</w:t>
            </w:r>
          </w:p>
        </w:tc>
        <w:tc>
          <w:tcPr>
            <w:tcW w:w="2866" w:type="pct"/>
            <w:vAlign w:val="center"/>
          </w:tcPr>
          <w:p w14:paraId="2FA048BB">
            <w:pPr>
              <w:adjustRightInd w:val="0"/>
              <w:jc w:val="center"/>
              <w:rPr>
                <w:rFonts w:ascii="Times New Roman" w:hAnsi="Times New Roman" w:cs="Times New Roman"/>
                <w:b/>
                <w:sz w:val="15"/>
                <w:szCs w:val="15"/>
              </w:rPr>
            </w:pPr>
            <w:r>
              <w:rPr>
                <w:rFonts w:ascii="Times New Roman" w:hAnsi="Times New Roman" w:cs="Times New Roman"/>
                <w:sz w:val="15"/>
                <w:szCs w:val="15"/>
              </w:rPr>
              <w:t>5～10</w:t>
            </w:r>
          </w:p>
        </w:tc>
      </w:tr>
      <w:tr w14:paraId="0AEBB5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2133" w:type="pct"/>
            <w:vAlign w:val="center"/>
          </w:tcPr>
          <w:p w14:paraId="700ACAA2">
            <w:pPr>
              <w:adjustRightInd w:val="0"/>
              <w:jc w:val="center"/>
              <w:rPr>
                <w:rFonts w:ascii="Times New Roman" w:hAnsi="Times New Roman" w:cs="Times New Roman"/>
                <w:b/>
                <w:sz w:val="15"/>
                <w:szCs w:val="15"/>
              </w:rPr>
            </w:pPr>
            <w:r>
              <w:rPr>
                <w:rFonts w:ascii="Times New Roman" w:hAnsi="Times New Roman" w:cs="Times New Roman"/>
                <w:sz w:val="15"/>
                <w:szCs w:val="15"/>
              </w:rPr>
              <w:t>2</w:t>
            </w:r>
          </w:p>
        </w:tc>
        <w:tc>
          <w:tcPr>
            <w:tcW w:w="2866" w:type="pct"/>
            <w:vAlign w:val="center"/>
          </w:tcPr>
          <w:p w14:paraId="186767A8">
            <w:pPr>
              <w:adjustRightInd w:val="0"/>
              <w:jc w:val="center"/>
              <w:rPr>
                <w:rFonts w:ascii="Times New Roman" w:hAnsi="Times New Roman" w:cs="Times New Roman"/>
                <w:b/>
                <w:sz w:val="15"/>
                <w:szCs w:val="15"/>
              </w:rPr>
            </w:pPr>
            <w:r>
              <w:rPr>
                <w:rFonts w:ascii="Times New Roman" w:hAnsi="Times New Roman" w:cs="Times New Roman"/>
                <w:sz w:val="15"/>
                <w:szCs w:val="15"/>
              </w:rPr>
              <w:t>＜5</w:t>
            </w:r>
          </w:p>
        </w:tc>
      </w:tr>
    </w:tbl>
    <w:p w14:paraId="290D1E10">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滚水坝防洪标准应按表4.2.1</w:t>
      </w:r>
      <w:r>
        <w:rPr>
          <w:rFonts w:hint="eastAsia" w:ascii="Times New Roman" w:hAnsi="Times New Roman" w:cs="Times New Roman"/>
          <w:sz w:val="21"/>
          <w:szCs w:val="24"/>
        </w:rPr>
        <w:t>4</w:t>
      </w:r>
      <w:r>
        <w:rPr>
          <w:rFonts w:ascii="Times New Roman" w:hAnsi="Times New Roman" w:cs="Times New Roman"/>
          <w:sz w:val="21"/>
          <w:szCs w:val="24"/>
        </w:rPr>
        <w:t>-2确定。</w:t>
      </w:r>
    </w:p>
    <w:p w14:paraId="64C21410">
      <w:pPr>
        <w:jc w:val="center"/>
        <w:rPr>
          <w:rFonts w:ascii="Times New Roman" w:hAnsi="Times New Roman" w:eastAsia="黑体" w:cs="Times New Roman"/>
          <w:b/>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w:t>
      </w:r>
      <w:r>
        <w:rPr>
          <w:rFonts w:hint="eastAsia" w:ascii="Times New Roman" w:hAnsi="Times New Roman" w:eastAsia="黑体" w:cs="Times New Roman"/>
          <w:sz w:val="18"/>
          <w:szCs w:val="18"/>
        </w:rPr>
        <w:t>4</w:t>
      </w:r>
      <w:r>
        <w:rPr>
          <w:rFonts w:ascii="Times New Roman" w:hAnsi="Times New Roman" w:eastAsia="黑体" w:cs="Times New Roman"/>
          <w:sz w:val="18"/>
          <w:szCs w:val="18"/>
        </w:rPr>
        <w:t>-2  滚水坝工程防洪标准</w:t>
      </w:r>
    </w:p>
    <w:tbl>
      <w:tblPr>
        <w:tblStyle w:val="10"/>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621"/>
        <w:gridCol w:w="5653"/>
      </w:tblGrid>
      <w:tr w14:paraId="381280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584" w:type="pct"/>
            <w:vAlign w:val="center"/>
          </w:tcPr>
          <w:p w14:paraId="429B169C">
            <w:pPr>
              <w:adjustRightInd w:val="0"/>
              <w:jc w:val="center"/>
              <w:rPr>
                <w:rFonts w:ascii="Times New Roman" w:hAnsi="Times New Roman" w:cs="Times New Roman"/>
                <w:b/>
                <w:sz w:val="15"/>
                <w:szCs w:val="15"/>
              </w:rPr>
            </w:pPr>
            <w:r>
              <w:rPr>
                <w:rFonts w:ascii="Times New Roman" w:hAnsi="Times New Roman" w:cs="Times New Roman"/>
                <w:sz w:val="15"/>
                <w:szCs w:val="15"/>
              </w:rPr>
              <w:t>工程级别</w:t>
            </w:r>
          </w:p>
        </w:tc>
        <w:tc>
          <w:tcPr>
            <w:tcW w:w="3415" w:type="pct"/>
            <w:vAlign w:val="center"/>
          </w:tcPr>
          <w:p w14:paraId="4F029DF6">
            <w:pPr>
              <w:adjustRightInd w:val="0"/>
              <w:jc w:val="center"/>
              <w:rPr>
                <w:rFonts w:ascii="Times New Roman" w:hAnsi="Times New Roman" w:cs="Times New Roman"/>
                <w:b/>
                <w:sz w:val="15"/>
                <w:szCs w:val="15"/>
              </w:rPr>
            </w:pPr>
            <w:r>
              <w:rPr>
                <w:rFonts w:ascii="Times New Roman" w:hAnsi="Times New Roman" w:cs="Times New Roman"/>
                <w:sz w:val="15"/>
                <w:szCs w:val="15"/>
              </w:rPr>
              <w:t>防洪标准［重现期（年）］</w:t>
            </w:r>
          </w:p>
        </w:tc>
      </w:tr>
      <w:tr w14:paraId="1F448E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1584" w:type="pct"/>
            <w:vAlign w:val="center"/>
          </w:tcPr>
          <w:p w14:paraId="5DA0329F">
            <w:pPr>
              <w:adjustRightInd w:val="0"/>
              <w:jc w:val="center"/>
              <w:rPr>
                <w:rFonts w:ascii="Times New Roman" w:hAnsi="Times New Roman" w:cs="Times New Roman"/>
                <w:b/>
                <w:sz w:val="15"/>
                <w:szCs w:val="15"/>
              </w:rPr>
            </w:pPr>
            <w:r>
              <w:rPr>
                <w:rFonts w:ascii="Times New Roman" w:hAnsi="Times New Roman" w:cs="Times New Roman"/>
                <w:sz w:val="15"/>
                <w:szCs w:val="15"/>
              </w:rPr>
              <w:t>1</w:t>
            </w:r>
          </w:p>
        </w:tc>
        <w:tc>
          <w:tcPr>
            <w:tcW w:w="3415" w:type="pct"/>
            <w:vAlign w:val="center"/>
          </w:tcPr>
          <w:p w14:paraId="36247DAF">
            <w:pPr>
              <w:adjustRightInd w:val="0"/>
              <w:jc w:val="center"/>
              <w:rPr>
                <w:rFonts w:ascii="Times New Roman" w:hAnsi="Times New Roman" w:cs="Times New Roman"/>
                <w:b/>
                <w:sz w:val="15"/>
                <w:szCs w:val="15"/>
              </w:rPr>
            </w:pPr>
            <w:r>
              <w:rPr>
                <w:rFonts w:ascii="Times New Roman" w:hAnsi="Times New Roman" w:cs="Times New Roman"/>
                <w:sz w:val="15"/>
                <w:szCs w:val="15"/>
              </w:rPr>
              <w:t>10</w:t>
            </w:r>
          </w:p>
        </w:tc>
      </w:tr>
      <w:tr w14:paraId="253C1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1584" w:type="pct"/>
            <w:vAlign w:val="center"/>
          </w:tcPr>
          <w:p w14:paraId="2DBCAC3D">
            <w:pPr>
              <w:adjustRightInd w:val="0"/>
              <w:jc w:val="center"/>
              <w:rPr>
                <w:rFonts w:ascii="Times New Roman" w:hAnsi="Times New Roman" w:cs="Times New Roman"/>
                <w:b/>
                <w:sz w:val="15"/>
                <w:szCs w:val="15"/>
              </w:rPr>
            </w:pPr>
            <w:r>
              <w:rPr>
                <w:rFonts w:ascii="Times New Roman" w:hAnsi="Times New Roman" w:cs="Times New Roman"/>
                <w:sz w:val="15"/>
                <w:szCs w:val="15"/>
              </w:rPr>
              <w:t>2</w:t>
            </w:r>
          </w:p>
        </w:tc>
        <w:tc>
          <w:tcPr>
            <w:tcW w:w="3415" w:type="pct"/>
            <w:vAlign w:val="center"/>
          </w:tcPr>
          <w:p w14:paraId="5D5F6E21">
            <w:pPr>
              <w:adjustRightInd w:val="0"/>
              <w:jc w:val="center"/>
              <w:rPr>
                <w:rFonts w:ascii="Times New Roman" w:hAnsi="Times New Roman" w:cs="Times New Roman"/>
                <w:b/>
                <w:sz w:val="15"/>
                <w:szCs w:val="15"/>
              </w:rPr>
            </w:pPr>
            <w:r>
              <w:rPr>
                <w:rFonts w:ascii="Times New Roman" w:hAnsi="Times New Roman" w:cs="Times New Roman"/>
                <w:sz w:val="15"/>
                <w:szCs w:val="15"/>
              </w:rPr>
              <w:t>5</w:t>
            </w:r>
          </w:p>
        </w:tc>
      </w:tr>
    </w:tbl>
    <w:p w14:paraId="4C05ACB5">
      <w:pPr>
        <w:spacing w:line="360" w:lineRule="auto"/>
        <w:rPr>
          <w:rFonts w:ascii="Times New Roman" w:hAnsi="Times New Roman" w:cs="Times New Roman"/>
          <w:b/>
          <w:sz w:val="24"/>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w:t>
      </w:r>
      <w:r>
        <w:rPr>
          <w:rFonts w:ascii="Times New Roman" w:hAnsi="Times New Roman" w:cs="Times New Roman"/>
          <w:b/>
          <w:sz w:val="21"/>
          <w:szCs w:val="21"/>
        </w:rPr>
        <w:t>.</w:t>
      </w:r>
      <w:r>
        <w:rPr>
          <w:rFonts w:ascii="Times New Roman" w:hAnsi="Times New Roman" w:eastAsia="黑体" w:cs="Times New Roman"/>
          <w:b/>
          <w:sz w:val="21"/>
          <w:szCs w:val="21"/>
        </w:rPr>
        <w:t>15</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稳定计算标准应符合下列规定：</w:t>
      </w:r>
    </w:p>
    <w:p w14:paraId="00B6D0DC">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基底应力计算应满足下列要求：</w:t>
      </w:r>
    </w:p>
    <w:p w14:paraId="47CFAF45">
      <w:pPr>
        <w:numPr>
          <w:ilvl w:val="255"/>
          <w:numId w:val="0"/>
        </w:numPr>
        <w:spacing w:line="360" w:lineRule="auto"/>
        <w:ind w:left="302" w:leftChars="108" w:right="112" w:rightChars="40" w:firstLine="422" w:firstLineChars="200"/>
        <w:rPr>
          <w:rFonts w:ascii="Times New Roman" w:hAnsi="Times New Roman" w:cs="Times New Roman"/>
          <w:sz w:val="21"/>
          <w:szCs w:val="24"/>
        </w:rPr>
      </w:pPr>
      <w:r>
        <w:rPr>
          <w:rFonts w:hint="eastAsia" w:ascii="Times New Roman" w:hAnsi="Times New Roman" w:cs="Times New Roman"/>
          <w:b/>
          <w:bCs/>
          <w:sz w:val="21"/>
          <w:szCs w:val="24"/>
        </w:rPr>
        <w:t>1</w:t>
      </w:r>
      <w:r>
        <w:rPr>
          <w:rFonts w:hint="eastAsia" w:ascii="Times New Roman" w:hAnsi="Times New Roman" w:cs="Times New Roman"/>
          <w:sz w:val="21"/>
          <w:szCs w:val="24"/>
        </w:rPr>
        <w:t>）</w:t>
      </w:r>
      <w:r>
        <w:rPr>
          <w:rFonts w:ascii="Times New Roman" w:hAnsi="Times New Roman" w:cs="Times New Roman"/>
          <w:sz w:val="21"/>
          <w:szCs w:val="24"/>
        </w:rPr>
        <w:t>土质地基及软质岩石地基在各种计算情况下，平均基底应力不应大于地基允许承载力，最大基底应力不应大于地基允许承载力的1.2倍；基底应力的最大值和最小值之比不应大于表4.2.15-1规定的允许值。</w:t>
      </w:r>
    </w:p>
    <w:p w14:paraId="5C2660E2">
      <w:pPr>
        <w:jc w:val="center"/>
        <w:rPr>
          <w:rFonts w:ascii="Times New Roman" w:hAnsi="Times New Roman" w:eastAsia="黑体" w:cs="Times New Roman"/>
          <w:b/>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15-1  基底应力最大值与最小值之比的允许值</w:t>
      </w:r>
    </w:p>
    <w:tbl>
      <w:tblPr>
        <w:tblStyle w:val="10"/>
        <w:tblW w:w="8113" w:type="dxa"/>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01"/>
        <w:gridCol w:w="2705"/>
        <w:gridCol w:w="2707"/>
      </w:tblGrid>
      <w:tr w14:paraId="7686FA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701" w:type="dxa"/>
            <w:vMerge w:val="restart"/>
            <w:vAlign w:val="center"/>
          </w:tcPr>
          <w:p w14:paraId="53544D53">
            <w:pPr>
              <w:widowControl/>
              <w:jc w:val="center"/>
              <w:rPr>
                <w:rFonts w:ascii="Times New Roman" w:hAnsi="Times New Roman" w:cs="Times New Roman"/>
                <w:b/>
                <w:kern w:val="0"/>
                <w:sz w:val="15"/>
                <w:szCs w:val="15"/>
              </w:rPr>
            </w:pPr>
            <w:r>
              <w:rPr>
                <w:rFonts w:ascii="Times New Roman" w:hAnsi="Times New Roman" w:cs="Times New Roman"/>
                <w:kern w:val="0"/>
                <w:sz w:val="15"/>
                <w:szCs w:val="15"/>
              </w:rPr>
              <w:t>地基土质</w:t>
            </w:r>
          </w:p>
        </w:tc>
        <w:tc>
          <w:tcPr>
            <w:tcW w:w="5412" w:type="dxa"/>
            <w:gridSpan w:val="2"/>
            <w:vAlign w:val="center"/>
          </w:tcPr>
          <w:p w14:paraId="36C5A55C">
            <w:pPr>
              <w:widowControl/>
              <w:jc w:val="center"/>
              <w:rPr>
                <w:rFonts w:ascii="Times New Roman" w:hAnsi="Times New Roman" w:cs="Times New Roman"/>
                <w:b/>
                <w:kern w:val="0"/>
                <w:sz w:val="15"/>
                <w:szCs w:val="15"/>
              </w:rPr>
            </w:pPr>
            <w:r>
              <w:rPr>
                <w:rFonts w:ascii="Times New Roman" w:hAnsi="Times New Roman" w:cs="Times New Roman"/>
                <w:kern w:val="0"/>
                <w:sz w:val="15"/>
                <w:szCs w:val="15"/>
              </w:rPr>
              <w:t>荷载组合</w:t>
            </w:r>
          </w:p>
        </w:tc>
      </w:tr>
      <w:tr w14:paraId="00578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701" w:type="dxa"/>
            <w:vMerge w:val="continue"/>
            <w:vAlign w:val="center"/>
          </w:tcPr>
          <w:p w14:paraId="0CA56338">
            <w:pPr>
              <w:widowControl/>
              <w:jc w:val="center"/>
              <w:rPr>
                <w:rFonts w:ascii="Times New Roman" w:hAnsi="Times New Roman" w:cs="Times New Roman"/>
                <w:b/>
                <w:kern w:val="0"/>
                <w:sz w:val="15"/>
                <w:szCs w:val="15"/>
              </w:rPr>
            </w:pPr>
          </w:p>
        </w:tc>
        <w:tc>
          <w:tcPr>
            <w:tcW w:w="2705" w:type="dxa"/>
            <w:vAlign w:val="center"/>
          </w:tcPr>
          <w:p w14:paraId="3157E215">
            <w:pPr>
              <w:widowControl/>
              <w:jc w:val="center"/>
              <w:rPr>
                <w:rFonts w:ascii="Times New Roman" w:hAnsi="Times New Roman" w:cs="Times New Roman"/>
                <w:b/>
                <w:kern w:val="0"/>
                <w:sz w:val="15"/>
                <w:szCs w:val="15"/>
              </w:rPr>
            </w:pPr>
            <w:r>
              <w:rPr>
                <w:rFonts w:ascii="Times New Roman" w:hAnsi="Times New Roman" w:cs="Times New Roman"/>
                <w:kern w:val="0"/>
                <w:sz w:val="15"/>
                <w:szCs w:val="15"/>
              </w:rPr>
              <w:t>基本组合</w:t>
            </w:r>
          </w:p>
        </w:tc>
        <w:tc>
          <w:tcPr>
            <w:tcW w:w="2707" w:type="dxa"/>
            <w:vAlign w:val="center"/>
          </w:tcPr>
          <w:p w14:paraId="5E664F46">
            <w:pPr>
              <w:widowControl/>
              <w:jc w:val="center"/>
              <w:rPr>
                <w:rFonts w:ascii="Times New Roman" w:hAnsi="Times New Roman" w:cs="Times New Roman"/>
                <w:b/>
                <w:kern w:val="0"/>
                <w:sz w:val="15"/>
                <w:szCs w:val="15"/>
              </w:rPr>
            </w:pPr>
            <w:r>
              <w:rPr>
                <w:rFonts w:ascii="Times New Roman" w:hAnsi="Times New Roman" w:cs="Times New Roman"/>
                <w:kern w:val="0"/>
                <w:sz w:val="15"/>
                <w:szCs w:val="15"/>
              </w:rPr>
              <w:t>特殊组合</w:t>
            </w:r>
          </w:p>
        </w:tc>
      </w:tr>
      <w:tr w14:paraId="0510D2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701" w:type="dxa"/>
            <w:vAlign w:val="center"/>
          </w:tcPr>
          <w:p w14:paraId="4243AFD5">
            <w:pPr>
              <w:widowControl/>
              <w:jc w:val="center"/>
              <w:rPr>
                <w:rFonts w:ascii="Times New Roman" w:hAnsi="Times New Roman" w:cs="Times New Roman"/>
                <w:b/>
                <w:kern w:val="0"/>
                <w:sz w:val="15"/>
                <w:szCs w:val="15"/>
              </w:rPr>
            </w:pPr>
            <w:r>
              <w:rPr>
                <w:rFonts w:ascii="Times New Roman" w:hAnsi="Times New Roman" w:cs="Times New Roman"/>
                <w:kern w:val="0"/>
                <w:sz w:val="15"/>
                <w:szCs w:val="15"/>
              </w:rPr>
              <w:t>松软</w:t>
            </w:r>
          </w:p>
        </w:tc>
        <w:tc>
          <w:tcPr>
            <w:tcW w:w="2705" w:type="dxa"/>
            <w:vAlign w:val="center"/>
          </w:tcPr>
          <w:p w14:paraId="3407EAB8">
            <w:pPr>
              <w:widowControl/>
              <w:jc w:val="center"/>
              <w:rPr>
                <w:rFonts w:ascii="Times New Roman" w:hAnsi="Times New Roman" w:cs="Times New Roman"/>
                <w:b/>
                <w:kern w:val="0"/>
                <w:sz w:val="15"/>
                <w:szCs w:val="15"/>
              </w:rPr>
            </w:pPr>
            <w:r>
              <w:rPr>
                <w:rFonts w:ascii="Times New Roman" w:hAnsi="Times New Roman" w:cs="Times New Roman"/>
                <w:kern w:val="0"/>
                <w:sz w:val="15"/>
                <w:szCs w:val="15"/>
              </w:rPr>
              <w:t>1.50</w:t>
            </w:r>
          </w:p>
        </w:tc>
        <w:tc>
          <w:tcPr>
            <w:tcW w:w="2707" w:type="dxa"/>
            <w:vAlign w:val="center"/>
          </w:tcPr>
          <w:p w14:paraId="560663A0">
            <w:pPr>
              <w:widowControl/>
              <w:jc w:val="center"/>
              <w:rPr>
                <w:rFonts w:ascii="Times New Roman" w:hAnsi="Times New Roman" w:cs="Times New Roman"/>
                <w:b/>
                <w:kern w:val="0"/>
                <w:sz w:val="15"/>
                <w:szCs w:val="15"/>
              </w:rPr>
            </w:pPr>
            <w:r>
              <w:rPr>
                <w:rFonts w:ascii="Times New Roman" w:hAnsi="Times New Roman" w:cs="Times New Roman"/>
                <w:kern w:val="0"/>
                <w:sz w:val="15"/>
                <w:szCs w:val="15"/>
              </w:rPr>
              <w:t>2.00</w:t>
            </w:r>
          </w:p>
        </w:tc>
      </w:tr>
      <w:tr w14:paraId="405A55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701" w:type="dxa"/>
            <w:vAlign w:val="center"/>
          </w:tcPr>
          <w:p w14:paraId="5020E1A1">
            <w:pPr>
              <w:widowControl/>
              <w:jc w:val="center"/>
              <w:rPr>
                <w:rFonts w:ascii="Times New Roman" w:hAnsi="Times New Roman" w:cs="Times New Roman"/>
                <w:b/>
                <w:kern w:val="0"/>
                <w:sz w:val="15"/>
                <w:szCs w:val="15"/>
              </w:rPr>
            </w:pPr>
            <w:r>
              <w:rPr>
                <w:rFonts w:ascii="Times New Roman" w:hAnsi="Times New Roman" w:cs="Times New Roman"/>
                <w:kern w:val="0"/>
                <w:sz w:val="15"/>
                <w:szCs w:val="15"/>
              </w:rPr>
              <w:t>中等坚实</w:t>
            </w:r>
          </w:p>
        </w:tc>
        <w:tc>
          <w:tcPr>
            <w:tcW w:w="2705" w:type="dxa"/>
            <w:vAlign w:val="center"/>
          </w:tcPr>
          <w:p w14:paraId="2D4F6EE4">
            <w:pPr>
              <w:widowControl/>
              <w:jc w:val="center"/>
              <w:rPr>
                <w:rFonts w:ascii="Times New Roman" w:hAnsi="Times New Roman" w:cs="Times New Roman"/>
                <w:b/>
                <w:kern w:val="0"/>
                <w:sz w:val="15"/>
                <w:szCs w:val="15"/>
              </w:rPr>
            </w:pPr>
            <w:r>
              <w:rPr>
                <w:rFonts w:ascii="Times New Roman" w:hAnsi="Times New Roman" w:cs="Times New Roman"/>
                <w:kern w:val="0"/>
                <w:sz w:val="15"/>
                <w:szCs w:val="15"/>
              </w:rPr>
              <w:t>2.00</w:t>
            </w:r>
          </w:p>
        </w:tc>
        <w:tc>
          <w:tcPr>
            <w:tcW w:w="2707" w:type="dxa"/>
            <w:vAlign w:val="center"/>
          </w:tcPr>
          <w:p w14:paraId="3E4A5865">
            <w:pPr>
              <w:widowControl/>
              <w:jc w:val="center"/>
              <w:rPr>
                <w:rFonts w:ascii="Times New Roman" w:hAnsi="Times New Roman" w:cs="Times New Roman"/>
                <w:b/>
                <w:kern w:val="0"/>
                <w:sz w:val="15"/>
                <w:szCs w:val="15"/>
              </w:rPr>
            </w:pPr>
            <w:r>
              <w:rPr>
                <w:rFonts w:ascii="Times New Roman" w:hAnsi="Times New Roman" w:cs="Times New Roman"/>
                <w:kern w:val="0"/>
                <w:sz w:val="15"/>
                <w:szCs w:val="15"/>
              </w:rPr>
              <w:t>2.50</w:t>
            </w:r>
          </w:p>
        </w:tc>
      </w:tr>
      <w:tr w14:paraId="2D084B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701" w:type="dxa"/>
            <w:vAlign w:val="center"/>
          </w:tcPr>
          <w:p w14:paraId="736A0B35">
            <w:pPr>
              <w:widowControl/>
              <w:jc w:val="center"/>
              <w:rPr>
                <w:rFonts w:ascii="Times New Roman" w:hAnsi="Times New Roman" w:cs="Times New Roman"/>
                <w:b/>
                <w:kern w:val="0"/>
                <w:sz w:val="15"/>
                <w:szCs w:val="15"/>
              </w:rPr>
            </w:pPr>
            <w:r>
              <w:rPr>
                <w:rFonts w:ascii="Times New Roman" w:hAnsi="Times New Roman" w:cs="Times New Roman"/>
                <w:kern w:val="0"/>
                <w:sz w:val="15"/>
                <w:szCs w:val="15"/>
              </w:rPr>
              <w:t>坚实</w:t>
            </w:r>
          </w:p>
        </w:tc>
        <w:tc>
          <w:tcPr>
            <w:tcW w:w="2705" w:type="dxa"/>
            <w:vAlign w:val="center"/>
          </w:tcPr>
          <w:p w14:paraId="1E9E302A">
            <w:pPr>
              <w:widowControl/>
              <w:jc w:val="center"/>
              <w:rPr>
                <w:rFonts w:ascii="Times New Roman" w:hAnsi="Times New Roman" w:cs="Times New Roman"/>
                <w:b/>
                <w:kern w:val="0"/>
                <w:sz w:val="15"/>
                <w:szCs w:val="15"/>
              </w:rPr>
            </w:pPr>
            <w:r>
              <w:rPr>
                <w:rFonts w:ascii="Times New Roman" w:hAnsi="Times New Roman" w:cs="Times New Roman"/>
                <w:kern w:val="0"/>
                <w:sz w:val="15"/>
                <w:szCs w:val="15"/>
              </w:rPr>
              <w:t>2.50</w:t>
            </w:r>
          </w:p>
        </w:tc>
        <w:tc>
          <w:tcPr>
            <w:tcW w:w="2707" w:type="dxa"/>
            <w:vAlign w:val="center"/>
          </w:tcPr>
          <w:p w14:paraId="39C68C7A">
            <w:pPr>
              <w:widowControl/>
              <w:jc w:val="center"/>
              <w:rPr>
                <w:rFonts w:ascii="Times New Roman" w:hAnsi="Times New Roman" w:cs="Times New Roman"/>
                <w:b/>
                <w:kern w:val="0"/>
                <w:sz w:val="15"/>
                <w:szCs w:val="15"/>
              </w:rPr>
            </w:pPr>
            <w:r>
              <w:rPr>
                <w:rFonts w:ascii="Times New Roman" w:hAnsi="Times New Roman" w:cs="Times New Roman"/>
                <w:kern w:val="0"/>
                <w:sz w:val="15"/>
                <w:szCs w:val="15"/>
              </w:rPr>
              <w:t>3.00</w:t>
            </w:r>
          </w:p>
        </w:tc>
      </w:tr>
    </w:tbl>
    <w:p w14:paraId="49F1BF0F">
      <w:pPr>
        <w:spacing w:line="360" w:lineRule="auto"/>
        <w:ind w:firstLine="450" w:firstLineChars="300"/>
        <w:rPr>
          <w:rFonts w:ascii="Times New Roman" w:hAnsi="Times New Roman" w:cs="Times New Roman"/>
          <w:b/>
          <w:kern w:val="0"/>
          <w:sz w:val="15"/>
          <w:szCs w:val="15"/>
        </w:rPr>
      </w:pPr>
      <w:r>
        <w:rPr>
          <w:rFonts w:ascii="Times New Roman" w:hAnsi="Times New Roman" w:cs="Times New Roman"/>
          <w:kern w:val="0"/>
          <w:sz w:val="15"/>
          <w:szCs w:val="15"/>
        </w:rPr>
        <w:t>注：地震区基底应力最大值与最小值之比的允许值可按表列数值适当增大。</w:t>
      </w:r>
    </w:p>
    <w:p w14:paraId="78D0979D">
      <w:pPr>
        <w:spacing w:line="360" w:lineRule="auto"/>
        <w:ind w:left="1038" w:leftChars="258" w:hanging="316" w:hangingChars="150"/>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eastAsia="黑体" w:cs="Times New Roman"/>
          <w:bCs/>
          <w:sz w:val="21"/>
          <w:szCs w:val="24"/>
        </w:rPr>
        <w:t>）</w:t>
      </w:r>
      <w:r>
        <w:rPr>
          <w:rFonts w:ascii="Times New Roman" w:hAnsi="Times New Roman" w:cs="Times New Roman"/>
          <w:sz w:val="21"/>
          <w:szCs w:val="24"/>
        </w:rPr>
        <w:t>硬质岩石地基在各种计算情况下，最大基底应力不应大于地基允许承载力；除施工期和地震情况外，基底应力不应出现拉应力；在施工期和地震情况下，基底拉应力不应大于100kPa。</w:t>
      </w:r>
    </w:p>
    <w:p w14:paraId="171FD3E2">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均质土坝、土质防渗体土石坝、人工防渗体土石坝的稳定计算，</w:t>
      </w:r>
      <w:r>
        <w:rPr>
          <w:rFonts w:ascii="Times New Roman" w:hAnsi="Times New Roman" w:cs="Times New Roman"/>
          <w:sz w:val="21"/>
          <w:szCs w:val="21"/>
        </w:rPr>
        <w:t>采用计及条块间作用力方法时，</w:t>
      </w:r>
      <w:r>
        <w:rPr>
          <w:rFonts w:ascii="Times New Roman" w:hAnsi="Times New Roman" w:cs="Times New Roman"/>
          <w:sz w:val="21"/>
          <w:szCs w:val="24"/>
        </w:rPr>
        <w:t>其坝坡抗滑稳定安全系数不应小于表4.2.15-2规定的数值。</w:t>
      </w:r>
    </w:p>
    <w:p w14:paraId="07E0870A">
      <w:pPr>
        <w:jc w:val="center"/>
        <w:rPr>
          <w:rFonts w:ascii="Times New Roman" w:hAnsi="Times New Roman" w:eastAsia="黑体" w:cs="Times New Roman"/>
          <w:b/>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15-2  土石坝坝坡抗滑稳定安全系数</w:t>
      </w:r>
    </w:p>
    <w:tbl>
      <w:tblPr>
        <w:tblStyle w:val="10"/>
        <w:tblW w:w="8094" w:type="dxa"/>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98"/>
        <w:gridCol w:w="2782"/>
        <w:gridCol w:w="3414"/>
      </w:tblGrid>
      <w:tr w14:paraId="69BBCE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4680" w:type="dxa"/>
            <w:gridSpan w:val="2"/>
            <w:vAlign w:val="center"/>
          </w:tcPr>
          <w:p w14:paraId="354F2C2D">
            <w:pPr>
              <w:jc w:val="center"/>
              <w:rPr>
                <w:rFonts w:ascii="Times New Roman" w:hAnsi="Times New Roman" w:cs="Times New Roman"/>
                <w:b/>
                <w:sz w:val="15"/>
                <w:szCs w:val="15"/>
              </w:rPr>
            </w:pPr>
            <w:r>
              <w:rPr>
                <w:rFonts w:ascii="Times New Roman" w:hAnsi="Times New Roman" w:cs="Times New Roman"/>
                <w:sz w:val="15"/>
                <w:szCs w:val="15"/>
              </w:rPr>
              <w:t>运用条件</w:t>
            </w:r>
          </w:p>
        </w:tc>
        <w:tc>
          <w:tcPr>
            <w:tcW w:w="3414" w:type="dxa"/>
            <w:vAlign w:val="center"/>
          </w:tcPr>
          <w:p w14:paraId="37853C12">
            <w:pPr>
              <w:jc w:val="center"/>
              <w:rPr>
                <w:rFonts w:ascii="Times New Roman" w:hAnsi="Times New Roman" w:cs="Times New Roman"/>
                <w:b/>
                <w:sz w:val="15"/>
                <w:szCs w:val="15"/>
              </w:rPr>
            </w:pPr>
            <w:r>
              <w:rPr>
                <w:rFonts w:ascii="Times New Roman" w:hAnsi="Times New Roman" w:cs="Times New Roman"/>
                <w:sz w:val="15"/>
                <w:szCs w:val="15"/>
              </w:rPr>
              <w:t>1、2级坝</w:t>
            </w:r>
            <w:r>
              <w:rPr>
                <w:rFonts w:ascii="Times New Roman" w:hAnsi="Times New Roman" w:cs="Times New Roman"/>
                <w:kern w:val="0"/>
                <w:sz w:val="15"/>
                <w:szCs w:val="15"/>
              </w:rPr>
              <w:t>最小安全系数</w:t>
            </w:r>
          </w:p>
        </w:tc>
      </w:tr>
      <w:tr w14:paraId="6474C7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898" w:type="dxa"/>
            <w:vMerge w:val="restart"/>
            <w:vAlign w:val="center"/>
          </w:tcPr>
          <w:p w14:paraId="6F40FD5F">
            <w:pPr>
              <w:jc w:val="center"/>
              <w:rPr>
                <w:rFonts w:ascii="Times New Roman" w:hAnsi="Times New Roman" w:cs="Times New Roman"/>
                <w:b/>
                <w:sz w:val="15"/>
                <w:szCs w:val="15"/>
              </w:rPr>
            </w:pPr>
            <w:r>
              <w:rPr>
                <w:rFonts w:ascii="Times New Roman" w:hAnsi="Times New Roman" w:cs="Times New Roman"/>
                <w:sz w:val="15"/>
                <w:szCs w:val="15"/>
              </w:rPr>
              <w:t>正常运用</w:t>
            </w:r>
          </w:p>
        </w:tc>
        <w:tc>
          <w:tcPr>
            <w:tcW w:w="2782" w:type="dxa"/>
            <w:vAlign w:val="center"/>
          </w:tcPr>
          <w:p w14:paraId="2B36EFD9">
            <w:pPr>
              <w:jc w:val="center"/>
              <w:rPr>
                <w:rFonts w:ascii="Times New Roman" w:hAnsi="Times New Roman" w:cs="Times New Roman"/>
                <w:b/>
                <w:sz w:val="15"/>
                <w:szCs w:val="15"/>
              </w:rPr>
            </w:pPr>
            <w:r>
              <w:rPr>
                <w:rFonts w:ascii="Times New Roman" w:hAnsi="Times New Roman" w:cs="Times New Roman"/>
                <w:kern w:val="0"/>
                <w:sz w:val="15"/>
                <w:szCs w:val="15"/>
              </w:rPr>
              <w:t>稳定渗流期</w:t>
            </w:r>
          </w:p>
        </w:tc>
        <w:tc>
          <w:tcPr>
            <w:tcW w:w="3414" w:type="dxa"/>
            <w:vMerge w:val="restart"/>
            <w:vAlign w:val="center"/>
          </w:tcPr>
          <w:p w14:paraId="1DA0F532">
            <w:pPr>
              <w:jc w:val="center"/>
              <w:rPr>
                <w:rFonts w:ascii="Times New Roman" w:hAnsi="Times New Roman" w:cs="Times New Roman"/>
                <w:b/>
                <w:sz w:val="15"/>
                <w:szCs w:val="15"/>
              </w:rPr>
            </w:pPr>
            <w:r>
              <w:rPr>
                <w:rFonts w:ascii="Times New Roman" w:hAnsi="Times New Roman" w:cs="Times New Roman"/>
                <w:sz w:val="15"/>
                <w:szCs w:val="15"/>
              </w:rPr>
              <w:t>1.25</w:t>
            </w:r>
          </w:p>
        </w:tc>
      </w:tr>
      <w:tr w14:paraId="778B82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898" w:type="dxa"/>
            <w:vMerge w:val="continue"/>
            <w:vAlign w:val="center"/>
          </w:tcPr>
          <w:p w14:paraId="013E0906">
            <w:pPr>
              <w:jc w:val="center"/>
              <w:rPr>
                <w:rFonts w:ascii="Times New Roman" w:hAnsi="Times New Roman" w:cs="Times New Roman"/>
                <w:b/>
                <w:sz w:val="15"/>
                <w:szCs w:val="15"/>
              </w:rPr>
            </w:pPr>
          </w:p>
        </w:tc>
        <w:tc>
          <w:tcPr>
            <w:tcW w:w="2782" w:type="dxa"/>
            <w:vAlign w:val="center"/>
          </w:tcPr>
          <w:p w14:paraId="7D4EFEB3">
            <w:pPr>
              <w:jc w:val="center"/>
              <w:rPr>
                <w:rFonts w:ascii="Times New Roman" w:hAnsi="Times New Roman" w:cs="Times New Roman"/>
                <w:b/>
                <w:sz w:val="15"/>
                <w:szCs w:val="15"/>
              </w:rPr>
            </w:pPr>
            <w:r>
              <w:rPr>
                <w:rFonts w:ascii="Times New Roman" w:hAnsi="Times New Roman" w:cs="Times New Roman"/>
                <w:kern w:val="0"/>
                <w:sz w:val="15"/>
                <w:szCs w:val="15"/>
              </w:rPr>
              <w:t>库水位正常降落</w:t>
            </w:r>
          </w:p>
        </w:tc>
        <w:tc>
          <w:tcPr>
            <w:tcW w:w="3414" w:type="dxa"/>
            <w:vMerge w:val="continue"/>
            <w:vAlign w:val="center"/>
          </w:tcPr>
          <w:p w14:paraId="63217AE2">
            <w:pPr>
              <w:jc w:val="center"/>
              <w:rPr>
                <w:rFonts w:ascii="Times New Roman" w:hAnsi="Times New Roman" w:cs="Times New Roman"/>
                <w:b/>
                <w:sz w:val="15"/>
                <w:szCs w:val="15"/>
              </w:rPr>
            </w:pPr>
          </w:p>
        </w:tc>
      </w:tr>
      <w:tr w14:paraId="44F989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898" w:type="dxa"/>
            <w:vMerge w:val="restart"/>
            <w:vAlign w:val="center"/>
          </w:tcPr>
          <w:p w14:paraId="692705F0">
            <w:pPr>
              <w:jc w:val="center"/>
              <w:rPr>
                <w:rFonts w:ascii="Times New Roman" w:hAnsi="Times New Roman" w:cs="Times New Roman"/>
                <w:b/>
                <w:sz w:val="15"/>
                <w:szCs w:val="15"/>
              </w:rPr>
            </w:pPr>
            <w:r>
              <w:rPr>
                <w:rFonts w:ascii="Times New Roman" w:hAnsi="Times New Roman" w:cs="Times New Roman"/>
                <w:sz w:val="15"/>
                <w:szCs w:val="15"/>
              </w:rPr>
              <w:t>非正常运用</w:t>
            </w:r>
          </w:p>
        </w:tc>
        <w:tc>
          <w:tcPr>
            <w:tcW w:w="2782" w:type="dxa"/>
            <w:vAlign w:val="center"/>
          </w:tcPr>
          <w:p w14:paraId="104FCEE1">
            <w:pPr>
              <w:jc w:val="center"/>
              <w:rPr>
                <w:rFonts w:ascii="Times New Roman" w:hAnsi="Times New Roman" w:cs="Times New Roman"/>
                <w:b/>
                <w:sz w:val="15"/>
                <w:szCs w:val="15"/>
              </w:rPr>
            </w:pPr>
            <w:r>
              <w:rPr>
                <w:rFonts w:ascii="Times New Roman" w:hAnsi="Times New Roman" w:cs="Times New Roman"/>
                <w:kern w:val="0"/>
                <w:sz w:val="15"/>
                <w:szCs w:val="15"/>
              </w:rPr>
              <w:t>施工期</w:t>
            </w:r>
          </w:p>
        </w:tc>
        <w:tc>
          <w:tcPr>
            <w:tcW w:w="3414" w:type="dxa"/>
            <w:vMerge w:val="restart"/>
            <w:vAlign w:val="center"/>
          </w:tcPr>
          <w:p w14:paraId="4F01250D">
            <w:pPr>
              <w:jc w:val="center"/>
              <w:rPr>
                <w:rFonts w:ascii="Times New Roman" w:hAnsi="Times New Roman" w:cs="Times New Roman"/>
                <w:b/>
                <w:sz w:val="15"/>
                <w:szCs w:val="15"/>
              </w:rPr>
            </w:pPr>
            <w:r>
              <w:rPr>
                <w:rFonts w:ascii="Times New Roman" w:hAnsi="Times New Roman" w:cs="Times New Roman"/>
                <w:sz w:val="15"/>
                <w:szCs w:val="15"/>
              </w:rPr>
              <w:t>1.15</w:t>
            </w:r>
          </w:p>
        </w:tc>
      </w:tr>
      <w:tr w14:paraId="1400C8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898" w:type="dxa"/>
            <w:vMerge w:val="continue"/>
            <w:vAlign w:val="center"/>
          </w:tcPr>
          <w:p w14:paraId="0B2A8F01">
            <w:pPr>
              <w:jc w:val="center"/>
              <w:rPr>
                <w:rFonts w:ascii="Times New Roman" w:hAnsi="Times New Roman" w:cs="Times New Roman"/>
                <w:b/>
                <w:sz w:val="15"/>
                <w:szCs w:val="15"/>
              </w:rPr>
            </w:pPr>
          </w:p>
        </w:tc>
        <w:tc>
          <w:tcPr>
            <w:tcW w:w="2782" w:type="dxa"/>
            <w:vAlign w:val="center"/>
          </w:tcPr>
          <w:p w14:paraId="1E3F624F">
            <w:pPr>
              <w:jc w:val="center"/>
              <w:rPr>
                <w:rFonts w:ascii="Times New Roman" w:hAnsi="Times New Roman" w:cs="Times New Roman"/>
                <w:b/>
                <w:sz w:val="15"/>
                <w:szCs w:val="15"/>
              </w:rPr>
            </w:pPr>
            <w:r>
              <w:rPr>
                <w:rFonts w:ascii="Times New Roman" w:hAnsi="Times New Roman" w:cs="Times New Roman"/>
                <w:kern w:val="0"/>
                <w:sz w:val="15"/>
                <w:szCs w:val="15"/>
              </w:rPr>
              <w:t>库水位非常降落</w:t>
            </w:r>
          </w:p>
        </w:tc>
        <w:tc>
          <w:tcPr>
            <w:tcW w:w="3414" w:type="dxa"/>
            <w:vMerge w:val="continue"/>
            <w:vAlign w:val="center"/>
          </w:tcPr>
          <w:p w14:paraId="17CEE767">
            <w:pPr>
              <w:jc w:val="center"/>
              <w:rPr>
                <w:rFonts w:ascii="Times New Roman" w:hAnsi="Times New Roman" w:cs="Times New Roman"/>
                <w:b/>
                <w:sz w:val="15"/>
                <w:szCs w:val="15"/>
              </w:rPr>
            </w:pPr>
          </w:p>
        </w:tc>
      </w:tr>
      <w:tr w14:paraId="1D83D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1898" w:type="dxa"/>
            <w:vMerge w:val="continue"/>
            <w:vAlign w:val="center"/>
          </w:tcPr>
          <w:p w14:paraId="51D8F87D">
            <w:pPr>
              <w:jc w:val="center"/>
              <w:rPr>
                <w:rFonts w:ascii="Times New Roman" w:hAnsi="Times New Roman" w:cs="Times New Roman"/>
                <w:b/>
                <w:sz w:val="15"/>
                <w:szCs w:val="15"/>
              </w:rPr>
            </w:pPr>
          </w:p>
        </w:tc>
        <w:tc>
          <w:tcPr>
            <w:tcW w:w="2782" w:type="dxa"/>
            <w:vAlign w:val="center"/>
          </w:tcPr>
          <w:p w14:paraId="72A45A5D">
            <w:pPr>
              <w:jc w:val="center"/>
              <w:rPr>
                <w:rFonts w:ascii="Times New Roman" w:hAnsi="Times New Roman" w:cs="Times New Roman"/>
                <w:b/>
                <w:sz w:val="15"/>
                <w:szCs w:val="15"/>
              </w:rPr>
            </w:pPr>
            <w:r>
              <w:rPr>
                <w:rFonts w:ascii="Times New Roman" w:hAnsi="Times New Roman" w:cs="Times New Roman"/>
                <w:kern w:val="0"/>
                <w:sz w:val="15"/>
                <w:szCs w:val="15"/>
              </w:rPr>
              <w:t>正常运用条件加地震</w:t>
            </w:r>
          </w:p>
        </w:tc>
        <w:tc>
          <w:tcPr>
            <w:tcW w:w="3414" w:type="dxa"/>
            <w:vAlign w:val="center"/>
          </w:tcPr>
          <w:p w14:paraId="7FBE7D7D">
            <w:pPr>
              <w:jc w:val="center"/>
              <w:rPr>
                <w:rFonts w:ascii="Times New Roman" w:hAnsi="Times New Roman" w:cs="Times New Roman"/>
                <w:b/>
                <w:sz w:val="15"/>
                <w:szCs w:val="15"/>
              </w:rPr>
            </w:pPr>
            <w:r>
              <w:rPr>
                <w:rFonts w:ascii="Times New Roman" w:hAnsi="Times New Roman" w:cs="Times New Roman"/>
                <w:sz w:val="15"/>
                <w:szCs w:val="15"/>
              </w:rPr>
              <w:t>1.10</w:t>
            </w:r>
          </w:p>
        </w:tc>
      </w:tr>
    </w:tbl>
    <w:p w14:paraId="6034A219">
      <w:pPr>
        <w:spacing w:before="156" w:beforeLines="50"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重力坝（滚水坝）坝体抗滑稳定按抗剪断强度和按抗剪强度计算时，其抗滑稳定安全系数不应小于表4.2.15-3规定的数值。</w:t>
      </w:r>
    </w:p>
    <w:p w14:paraId="18ABB1A8">
      <w:pPr>
        <w:jc w:val="center"/>
        <w:rPr>
          <w:rFonts w:ascii="Times New Roman" w:hAnsi="Times New Roman" w:eastAsia="黑体" w:cs="Times New Roman"/>
          <w:b/>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15-3  重力坝（滚水坝）抗滑稳定安全系数</w:t>
      </w:r>
    </w:p>
    <w:tbl>
      <w:tblPr>
        <w:tblStyle w:val="10"/>
        <w:tblW w:w="8132" w:type="dxa"/>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10"/>
        <w:gridCol w:w="1394"/>
        <w:gridCol w:w="2094"/>
        <w:gridCol w:w="2334"/>
      </w:tblGrid>
      <w:tr w14:paraId="6ADFA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310" w:type="dxa"/>
            <w:vAlign w:val="center"/>
          </w:tcPr>
          <w:p w14:paraId="164C7E67">
            <w:pPr>
              <w:jc w:val="center"/>
              <w:rPr>
                <w:rFonts w:ascii="Times New Roman" w:hAnsi="Times New Roman" w:cs="Times New Roman"/>
                <w:b/>
                <w:sz w:val="15"/>
                <w:szCs w:val="15"/>
              </w:rPr>
            </w:pPr>
            <w:r>
              <w:rPr>
                <w:rFonts w:ascii="Times New Roman" w:hAnsi="Times New Roman" w:cs="Times New Roman"/>
                <w:sz w:val="15"/>
                <w:szCs w:val="15"/>
              </w:rPr>
              <w:t>安全系数名称</w:t>
            </w:r>
          </w:p>
        </w:tc>
        <w:tc>
          <w:tcPr>
            <w:tcW w:w="3488" w:type="dxa"/>
            <w:gridSpan w:val="2"/>
            <w:vAlign w:val="center"/>
          </w:tcPr>
          <w:p w14:paraId="52786CCD">
            <w:pPr>
              <w:jc w:val="center"/>
              <w:rPr>
                <w:rFonts w:ascii="Times New Roman" w:hAnsi="Times New Roman" w:cs="Times New Roman"/>
                <w:b/>
                <w:sz w:val="15"/>
                <w:szCs w:val="15"/>
              </w:rPr>
            </w:pPr>
            <w:r>
              <w:rPr>
                <w:rFonts w:ascii="Times New Roman" w:hAnsi="Times New Roman" w:cs="Times New Roman"/>
                <w:sz w:val="15"/>
                <w:szCs w:val="15"/>
              </w:rPr>
              <w:t>荷载组合</w:t>
            </w:r>
          </w:p>
        </w:tc>
        <w:tc>
          <w:tcPr>
            <w:tcW w:w="2334" w:type="dxa"/>
            <w:vAlign w:val="center"/>
          </w:tcPr>
          <w:p w14:paraId="1F21AAD5">
            <w:pPr>
              <w:jc w:val="center"/>
              <w:rPr>
                <w:rFonts w:ascii="Times New Roman" w:hAnsi="Times New Roman" w:cs="Times New Roman"/>
                <w:b/>
                <w:sz w:val="15"/>
                <w:szCs w:val="15"/>
              </w:rPr>
            </w:pPr>
            <w:r>
              <w:rPr>
                <w:rFonts w:ascii="Times New Roman" w:hAnsi="Times New Roman" w:cs="Times New Roman"/>
                <w:sz w:val="15"/>
                <w:szCs w:val="15"/>
              </w:rPr>
              <w:t>1、2级坝</w:t>
            </w:r>
            <w:r>
              <w:rPr>
                <w:rFonts w:ascii="Times New Roman" w:hAnsi="Times New Roman" w:cs="Times New Roman"/>
                <w:kern w:val="0"/>
                <w:sz w:val="15"/>
                <w:szCs w:val="15"/>
              </w:rPr>
              <w:t>安全系数</w:t>
            </w:r>
          </w:p>
        </w:tc>
      </w:tr>
      <w:tr w14:paraId="0313E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310" w:type="dxa"/>
            <w:vMerge w:val="restart"/>
            <w:vAlign w:val="center"/>
          </w:tcPr>
          <w:p w14:paraId="765C7DAB">
            <w:pPr>
              <w:jc w:val="center"/>
              <w:rPr>
                <w:rFonts w:ascii="Times New Roman" w:hAnsi="Times New Roman" w:cs="Times New Roman"/>
                <w:b/>
                <w:sz w:val="15"/>
                <w:szCs w:val="15"/>
              </w:rPr>
            </w:pPr>
            <w:r>
              <w:rPr>
                <w:rFonts w:ascii="Times New Roman" w:hAnsi="Times New Roman" w:cs="Times New Roman"/>
                <w:kern w:val="0"/>
                <w:sz w:val="15"/>
                <w:szCs w:val="15"/>
              </w:rPr>
              <w:t>抗剪断稳定安全系数</w:t>
            </w:r>
          </w:p>
        </w:tc>
        <w:tc>
          <w:tcPr>
            <w:tcW w:w="3488" w:type="dxa"/>
            <w:gridSpan w:val="2"/>
            <w:vAlign w:val="center"/>
          </w:tcPr>
          <w:p w14:paraId="561FEA46">
            <w:pPr>
              <w:jc w:val="center"/>
              <w:rPr>
                <w:rFonts w:ascii="Times New Roman" w:hAnsi="Times New Roman" w:cs="Times New Roman"/>
                <w:b/>
                <w:sz w:val="15"/>
                <w:szCs w:val="15"/>
              </w:rPr>
            </w:pPr>
            <w:r>
              <w:rPr>
                <w:rFonts w:ascii="Times New Roman" w:hAnsi="Times New Roman" w:cs="Times New Roman"/>
                <w:sz w:val="15"/>
                <w:szCs w:val="15"/>
              </w:rPr>
              <w:t>基本</w:t>
            </w:r>
          </w:p>
        </w:tc>
        <w:tc>
          <w:tcPr>
            <w:tcW w:w="2334" w:type="dxa"/>
            <w:vAlign w:val="center"/>
          </w:tcPr>
          <w:p w14:paraId="5A2D0E94">
            <w:pPr>
              <w:jc w:val="center"/>
              <w:rPr>
                <w:rFonts w:ascii="Times New Roman" w:hAnsi="Times New Roman" w:cs="Times New Roman"/>
                <w:b/>
                <w:sz w:val="15"/>
                <w:szCs w:val="15"/>
              </w:rPr>
            </w:pPr>
            <w:r>
              <w:rPr>
                <w:rFonts w:ascii="Times New Roman" w:hAnsi="Times New Roman" w:cs="Times New Roman"/>
                <w:sz w:val="15"/>
                <w:szCs w:val="15"/>
              </w:rPr>
              <w:t>3.00</w:t>
            </w:r>
          </w:p>
        </w:tc>
      </w:tr>
      <w:tr w14:paraId="269003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310" w:type="dxa"/>
            <w:vMerge w:val="continue"/>
            <w:vAlign w:val="center"/>
          </w:tcPr>
          <w:p w14:paraId="287A6A4B">
            <w:pPr>
              <w:jc w:val="center"/>
              <w:rPr>
                <w:rFonts w:ascii="Times New Roman" w:hAnsi="Times New Roman" w:cs="Times New Roman"/>
                <w:b/>
                <w:sz w:val="15"/>
                <w:szCs w:val="15"/>
              </w:rPr>
            </w:pPr>
          </w:p>
        </w:tc>
        <w:tc>
          <w:tcPr>
            <w:tcW w:w="1394" w:type="dxa"/>
            <w:vMerge w:val="restart"/>
            <w:vAlign w:val="center"/>
          </w:tcPr>
          <w:p w14:paraId="4A70B87F">
            <w:pPr>
              <w:jc w:val="center"/>
              <w:rPr>
                <w:rFonts w:ascii="Times New Roman" w:hAnsi="Times New Roman" w:cs="Times New Roman"/>
                <w:b/>
                <w:sz w:val="15"/>
                <w:szCs w:val="15"/>
              </w:rPr>
            </w:pPr>
            <w:r>
              <w:rPr>
                <w:rFonts w:ascii="Times New Roman" w:hAnsi="Times New Roman" w:cs="Times New Roman"/>
                <w:sz w:val="15"/>
                <w:szCs w:val="15"/>
              </w:rPr>
              <w:t>特殊</w:t>
            </w:r>
          </w:p>
        </w:tc>
        <w:tc>
          <w:tcPr>
            <w:tcW w:w="2094" w:type="dxa"/>
            <w:vAlign w:val="center"/>
          </w:tcPr>
          <w:p w14:paraId="1C2D0923">
            <w:pPr>
              <w:jc w:val="center"/>
              <w:rPr>
                <w:rFonts w:ascii="Times New Roman" w:hAnsi="Times New Roman" w:cs="Times New Roman"/>
                <w:b/>
                <w:sz w:val="15"/>
                <w:szCs w:val="15"/>
              </w:rPr>
            </w:pPr>
            <w:r>
              <w:rPr>
                <w:rFonts w:ascii="Times New Roman" w:hAnsi="Times New Roman" w:cs="Times New Roman"/>
                <w:sz w:val="15"/>
                <w:szCs w:val="15"/>
              </w:rPr>
              <w:t>校核洪水情况</w:t>
            </w:r>
          </w:p>
        </w:tc>
        <w:tc>
          <w:tcPr>
            <w:tcW w:w="2334" w:type="dxa"/>
            <w:vAlign w:val="center"/>
          </w:tcPr>
          <w:p w14:paraId="2418DFFE">
            <w:pPr>
              <w:jc w:val="center"/>
              <w:rPr>
                <w:rFonts w:ascii="Times New Roman" w:hAnsi="Times New Roman" w:cs="Times New Roman"/>
                <w:b/>
                <w:sz w:val="15"/>
                <w:szCs w:val="15"/>
              </w:rPr>
            </w:pPr>
            <w:r>
              <w:rPr>
                <w:rFonts w:ascii="Times New Roman" w:hAnsi="Times New Roman" w:cs="Times New Roman"/>
                <w:sz w:val="15"/>
                <w:szCs w:val="15"/>
              </w:rPr>
              <w:t>2.50</w:t>
            </w:r>
          </w:p>
        </w:tc>
      </w:tr>
      <w:tr w14:paraId="107A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310" w:type="dxa"/>
            <w:vMerge w:val="continue"/>
            <w:vAlign w:val="center"/>
          </w:tcPr>
          <w:p w14:paraId="332DE768">
            <w:pPr>
              <w:jc w:val="center"/>
              <w:rPr>
                <w:rFonts w:ascii="Times New Roman" w:hAnsi="Times New Roman" w:cs="Times New Roman"/>
                <w:b/>
                <w:sz w:val="15"/>
                <w:szCs w:val="15"/>
              </w:rPr>
            </w:pPr>
          </w:p>
        </w:tc>
        <w:tc>
          <w:tcPr>
            <w:tcW w:w="1394" w:type="dxa"/>
            <w:vMerge w:val="continue"/>
            <w:vAlign w:val="center"/>
          </w:tcPr>
          <w:p w14:paraId="1312F1D6">
            <w:pPr>
              <w:jc w:val="center"/>
              <w:rPr>
                <w:rFonts w:ascii="Times New Roman" w:hAnsi="Times New Roman" w:cs="Times New Roman"/>
                <w:b/>
                <w:sz w:val="15"/>
                <w:szCs w:val="15"/>
              </w:rPr>
            </w:pPr>
          </w:p>
        </w:tc>
        <w:tc>
          <w:tcPr>
            <w:tcW w:w="2094" w:type="dxa"/>
            <w:vAlign w:val="center"/>
          </w:tcPr>
          <w:p w14:paraId="4C1B7AE6">
            <w:pPr>
              <w:jc w:val="center"/>
              <w:rPr>
                <w:rFonts w:ascii="Times New Roman" w:hAnsi="Times New Roman" w:cs="Times New Roman"/>
                <w:b/>
                <w:sz w:val="15"/>
                <w:szCs w:val="15"/>
              </w:rPr>
            </w:pPr>
            <w:r>
              <w:rPr>
                <w:rFonts w:ascii="Times New Roman" w:hAnsi="Times New Roman" w:cs="Times New Roman"/>
                <w:sz w:val="15"/>
                <w:szCs w:val="15"/>
              </w:rPr>
              <w:t>地震状况</w:t>
            </w:r>
          </w:p>
        </w:tc>
        <w:tc>
          <w:tcPr>
            <w:tcW w:w="2334" w:type="dxa"/>
            <w:vAlign w:val="center"/>
          </w:tcPr>
          <w:p w14:paraId="16371B27">
            <w:pPr>
              <w:jc w:val="center"/>
              <w:rPr>
                <w:rFonts w:ascii="Times New Roman" w:hAnsi="Times New Roman" w:cs="Times New Roman"/>
                <w:b/>
                <w:sz w:val="15"/>
                <w:szCs w:val="15"/>
              </w:rPr>
            </w:pPr>
            <w:r>
              <w:rPr>
                <w:rFonts w:ascii="Times New Roman" w:hAnsi="Times New Roman" w:cs="Times New Roman"/>
                <w:sz w:val="15"/>
                <w:szCs w:val="15"/>
              </w:rPr>
              <w:t>2.30</w:t>
            </w:r>
          </w:p>
        </w:tc>
      </w:tr>
      <w:tr w14:paraId="569AC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310" w:type="dxa"/>
            <w:vMerge w:val="restart"/>
            <w:vAlign w:val="center"/>
          </w:tcPr>
          <w:p w14:paraId="55CD57A4">
            <w:pPr>
              <w:jc w:val="center"/>
              <w:rPr>
                <w:rFonts w:ascii="Times New Roman" w:hAnsi="Times New Roman" w:cs="Times New Roman"/>
                <w:b/>
                <w:sz w:val="15"/>
                <w:szCs w:val="15"/>
              </w:rPr>
            </w:pPr>
            <w:r>
              <w:rPr>
                <w:rFonts w:ascii="Times New Roman" w:hAnsi="Times New Roman" w:cs="Times New Roman"/>
                <w:kern w:val="0"/>
                <w:sz w:val="15"/>
                <w:szCs w:val="15"/>
              </w:rPr>
              <w:t>抗剪稳定安全系数</w:t>
            </w:r>
          </w:p>
        </w:tc>
        <w:tc>
          <w:tcPr>
            <w:tcW w:w="3488" w:type="dxa"/>
            <w:gridSpan w:val="2"/>
            <w:vAlign w:val="center"/>
          </w:tcPr>
          <w:p w14:paraId="20DD6A35">
            <w:pPr>
              <w:jc w:val="center"/>
              <w:rPr>
                <w:rFonts w:ascii="Times New Roman" w:hAnsi="Times New Roman" w:cs="Times New Roman"/>
                <w:b/>
                <w:sz w:val="15"/>
                <w:szCs w:val="15"/>
              </w:rPr>
            </w:pPr>
            <w:r>
              <w:rPr>
                <w:rFonts w:ascii="Times New Roman" w:hAnsi="Times New Roman" w:cs="Times New Roman"/>
                <w:sz w:val="15"/>
                <w:szCs w:val="15"/>
              </w:rPr>
              <w:t>基本</w:t>
            </w:r>
          </w:p>
        </w:tc>
        <w:tc>
          <w:tcPr>
            <w:tcW w:w="2334" w:type="dxa"/>
            <w:vAlign w:val="center"/>
          </w:tcPr>
          <w:p w14:paraId="0BA72B0D">
            <w:pPr>
              <w:jc w:val="center"/>
              <w:rPr>
                <w:rFonts w:ascii="Times New Roman" w:hAnsi="Times New Roman" w:cs="Times New Roman"/>
                <w:b/>
                <w:sz w:val="15"/>
                <w:szCs w:val="15"/>
              </w:rPr>
            </w:pPr>
            <w:r>
              <w:rPr>
                <w:rFonts w:ascii="Times New Roman" w:hAnsi="Times New Roman" w:cs="Times New Roman"/>
                <w:sz w:val="15"/>
                <w:szCs w:val="15"/>
              </w:rPr>
              <w:t>1.05</w:t>
            </w:r>
          </w:p>
        </w:tc>
      </w:tr>
      <w:tr w14:paraId="4EAB3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310" w:type="dxa"/>
            <w:vMerge w:val="continue"/>
            <w:vAlign w:val="center"/>
          </w:tcPr>
          <w:p w14:paraId="1EE30C8D">
            <w:pPr>
              <w:jc w:val="center"/>
              <w:rPr>
                <w:rFonts w:ascii="Times New Roman" w:hAnsi="Times New Roman" w:cs="Times New Roman"/>
                <w:b/>
                <w:sz w:val="15"/>
                <w:szCs w:val="15"/>
              </w:rPr>
            </w:pPr>
          </w:p>
        </w:tc>
        <w:tc>
          <w:tcPr>
            <w:tcW w:w="1394" w:type="dxa"/>
            <w:vMerge w:val="restart"/>
            <w:vAlign w:val="center"/>
          </w:tcPr>
          <w:p w14:paraId="23353C8C">
            <w:pPr>
              <w:jc w:val="center"/>
              <w:rPr>
                <w:rFonts w:ascii="Times New Roman" w:hAnsi="Times New Roman" w:cs="Times New Roman"/>
                <w:b/>
                <w:sz w:val="15"/>
                <w:szCs w:val="15"/>
              </w:rPr>
            </w:pPr>
            <w:r>
              <w:rPr>
                <w:rFonts w:ascii="Times New Roman" w:hAnsi="Times New Roman" w:cs="Times New Roman"/>
                <w:sz w:val="15"/>
                <w:szCs w:val="15"/>
              </w:rPr>
              <w:t>特殊</w:t>
            </w:r>
          </w:p>
        </w:tc>
        <w:tc>
          <w:tcPr>
            <w:tcW w:w="2094" w:type="dxa"/>
            <w:vAlign w:val="center"/>
          </w:tcPr>
          <w:p w14:paraId="77B63381">
            <w:pPr>
              <w:jc w:val="center"/>
              <w:rPr>
                <w:rFonts w:ascii="Times New Roman" w:hAnsi="Times New Roman" w:cs="Times New Roman"/>
                <w:b/>
                <w:sz w:val="15"/>
                <w:szCs w:val="15"/>
              </w:rPr>
            </w:pPr>
            <w:r>
              <w:rPr>
                <w:rFonts w:ascii="Times New Roman" w:hAnsi="Times New Roman" w:cs="Times New Roman"/>
                <w:sz w:val="15"/>
                <w:szCs w:val="15"/>
              </w:rPr>
              <w:t>校核洪水状况</w:t>
            </w:r>
          </w:p>
        </w:tc>
        <w:tc>
          <w:tcPr>
            <w:tcW w:w="2334" w:type="dxa"/>
            <w:vAlign w:val="center"/>
          </w:tcPr>
          <w:p w14:paraId="31C1FBD6">
            <w:pPr>
              <w:jc w:val="center"/>
              <w:rPr>
                <w:rFonts w:ascii="Times New Roman" w:hAnsi="Times New Roman" w:cs="Times New Roman"/>
                <w:b/>
                <w:sz w:val="15"/>
                <w:szCs w:val="15"/>
              </w:rPr>
            </w:pPr>
            <w:r>
              <w:rPr>
                <w:rFonts w:ascii="Times New Roman" w:hAnsi="Times New Roman" w:cs="Times New Roman"/>
                <w:sz w:val="15"/>
                <w:szCs w:val="15"/>
              </w:rPr>
              <w:t>1.00</w:t>
            </w:r>
          </w:p>
        </w:tc>
      </w:tr>
      <w:tr w14:paraId="0B06CC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2310" w:type="dxa"/>
            <w:vMerge w:val="continue"/>
            <w:vAlign w:val="center"/>
          </w:tcPr>
          <w:p w14:paraId="7A423342">
            <w:pPr>
              <w:jc w:val="center"/>
              <w:rPr>
                <w:rFonts w:ascii="Times New Roman" w:hAnsi="Times New Roman" w:cs="Times New Roman"/>
                <w:b/>
                <w:sz w:val="15"/>
                <w:szCs w:val="15"/>
              </w:rPr>
            </w:pPr>
          </w:p>
        </w:tc>
        <w:tc>
          <w:tcPr>
            <w:tcW w:w="1394" w:type="dxa"/>
            <w:vMerge w:val="continue"/>
            <w:vAlign w:val="center"/>
          </w:tcPr>
          <w:p w14:paraId="2CFDE448">
            <w:pPr>
              <w:jc w:val="center"/>
              <w:rPr>
                <w:rFonts w:ascii="Times New Roman" w:hAnsi="Times New Roman" w:cs="Times New Roman"/>
                <w:b/>
                <w:sz w:val="15"/>
                <w:szCs w:val="15"/>
              </w:rPr>
            </w:pPr>
          </w:p>
        </w:tc>
        <w:tc>
          <w:tcPr>
            <w:tcW w:w="2094" w:type="dxa"/>
            <w:vAlign w:val="center"/>
          </w:tcPr>
          <w:p w14:paraId="6851515D">
            <w:pPr>
              <w:jc w:val="center"/>
              <w:rPr>
                <w:rFonts w:ascii="Times New Roman" w:hAnsi="Times New Roman" w:cs="Times New Roman"/>
                <w:b/>
                <w:sz w:val="15"/>
                <w:szCs w:val="15"/>
              </w:rPr>
            </w:pPr>
            <w:r>
              <w:rPr>
                <w:rFonts w:ascii="Times New Roman" w:hAnsi="Times New Roman" w:cs="Times New Roman"/>
                <w:sz w:val="15"/>
                <w:szCs w:val="15"/>
              </w:rPr>
              <w:t>地震状况</w:t>
            </w:r>
          </w:p>
        </w:tc>
        <w:tc>
          <w:tcPr>
            <w:tcW w:w="2334" w:type="dxa"/>
            <w:vAlign w:val="center"/>
          </w:tcPr>
          <w:p w14:paraId="2405C1E0">
            <w:pPr>
              <w:jc w:val="center"/>
              <w:rPr>
                <w:rFonts w:ascii="Times New Roman" w:hAnsi="Times New Roman" w:cs="Times New Roman"/>
                <w:b/>
                <w:sz w:val="15"/>
                <w:szCs w:val="15"/>
              </w:rPr>
            </w:pPr>
            <w:r>
              <w:rPr>
                <w:rFonts w:ascii="Times New Roman" w:hAnsi="Times New Roman" w:cs="Times New Roman"/>
                <w:sz w:val="15"/>
                <w:szCs w:val="15"/>
              </w:rPr>
              <w:t>1.00</w:t>
            </w:r>
          </w:p>
        </w:tc>
      </w:tr>
    </w:tbl>
    <w:p w14:paraId="64CAEFA3">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Ⅴ 沟道滩岸防护工程</w:t>
      </w:r>
    </w:p>
    <w:p w14:paraId="1742C6D0">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16</w:t>
      </w:r>
      <w:r>
        <w:rPr>
          <w:rFonts w:ascii="Times New Roman" w:hAnsi="Times New Roman" w:cs="Times New Roman"/>
          <w:sz w:val="21"/>
          <w:szCs w:val="24"/>
        </w:rPr>
        <w:t xml:space="preserve">  沟道滩岸防护工程的防洪标准应根据防护区耕地面积和所在区域划分为两个级别，相应防洪标准应按表4.2.16的规定确定。</w:t>
      </w:r>
    </w:p>
    <w:p w14:paraId="6E1D8DDA">
      <w:pPr>
        <w:jc w:val="center"/>
        <w:rPr>
          <w:rFonts w:ascii="Times New Roman" w:hAnsi="Times New Roman" w:eastAsia="黑体" w:cs="Times New Roman"/>
          <w:sz w:val="18"/>
          <w:szCs w:val="18"/>
        </w:rPr>
      </w:pPr>
      <w:r>
        <w:rPr>
          <w:rFonts w:ascii="Times New Roman" w:hAnsi="Times New Roman" w:eastAsia="黑体" w:cs="Times New Roman"/>
          <w:sz w:val="18"/>
          <w:szCs w:val="18"/>
        </w:rPr>
        <w:t>表4.2.16  沟道滩岸防护区的级别和防洪标准</w:t>
      </w:r>
    </w:p>
    <w:tbl>
      <w:tblPr>
        <w:tblStyle w:val="10"/>
        <w:tblW w:w="849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264"/>
        <w:gridCol w:w="1948"/>
        <w:gridCol w:w="1503"/>
        <w:gridCol w:w="1776"/>
      </w:tblGrid>
      <w:tr w14:paraId="2F6B2C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5212" w:type="dxa"/>
            <w:gridSpan w:val="2"/>
            <w:vAlign w:val="center"/>
          </w:tcPr>
          <w:p w14:paraId="77C2620D">
            <w:pPr>
              <w:adjustRightInd w:val="0"/>
              <w:jc w:val="center"/>
              <w:rPr>
                <w:rFonts w:ascii="Times New Roman" w:hAnsi="Times New Roman" w:cs="Times New Roman"/>
                <w:sz w:val="15"/>
                <w:szCs w:val="15"/>
              </w:rPr>
            </w:pPr>
            <w:r>
              <w:rPr>
                <w:rFonts w:ascii="Times New Roman" w:hAnsi="Times New Roman" w:cs="Times New Roman"/>
                <w:sz w:val="15"/>
                <w:szCs w:val="15"/>
              </w:rPr>
              <w:t>级  别</w:t>
            </w:r>
          </w:p>
        </w:tc>
        <w:tc>
          <w:tcPr>
            <w:tcW w:w="1503" w:type="dxa"/>
            <w:vAlign w:val="center"/>
          </w:tcPr>
          <w:p w14:paraId="3B80CA6B">
            <w:pPr>
              <w:jc w:val="center"/>
              <w:rPr>
                <w:rFonts w:ascii="Times New Roman" w:hAnsi="Times New Roman" w:cs="Times New Roman"/>
                <w:sz w:val="15"/>
                <w:szCs w:val="15"/>
              </w:rPr>
            </w:pPr>
            <w:r>
              <w:rPr>
                <w:rFonts w:ascii="Times New Roman" w:hAnsi="Times New Roman" w:cs="Times New Roman"/>
                <w:b/>
                <w:sz w:val="15"/>
                <w:szCs w:val="15"/>
              </w:rPr>
              <w:t>1</w:t>
            </w:r>
          </w:p>
        </w:tc>
        <w:tc>
          <w:tcPr>
            <w:tcW w:w="1776" w:type="dxa"/>
            <w:vAlign w:val="center"/>
          </w:tcPr>
          <w:p w14:paraId="44EB0A29">
            <w:pPr>
              <w:jc w:val="center"/>
              <w:rPr>
                <w:rFonts w:ascii="Times New Roman" w:hAnsi="Times New Roman" w:cs="Times New Roman"/>
                <w:sz w:val="15"/>
                <w:szCs w:val="15"/>
              </w:rPr>
            </w:pPr>
            <w:r>
              <w:rPr>
                <w:rFonts w:ascii="Times New Roman" w:hAnsi="Times New Roman" w:cs="Times New Roman"/>
                <w:b/>
                <w:sz w:val="15"/>
                <w:szCs w:val="15"/>
              </w:rPr>
              <w:t>2</w:t>
            </w:r>
          </w:p>
        </w:tc>
      </w:tr>
      <w:tr w14:paraId="24F693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3264" w:type="dxa"/>
            <w:vMerge w:val="restart"/>
            <w:vAlign w:val="center"/>
          </w:tcPr>
          <w:p w14:paraId="50EE05A7">
            <w:pPr>
              <w:spacing w:line="360" w:lineRule="auto"/>
              <w:jc w:val="center"/>
              <w:rPr>
                <w:rFonts w:ascii="Times New Roman" w:hAnsi="Times New Roman" w:cs="Times New Roman"/>
                <w:sz w:val="15"/>
                <w:szCs w:val="15"/>
              </w:rPr>
            </w:pPr>
            <w:r>
              <w:rPr>
                <w:rFonts w:ascii="Times New Roman" w:hAnsi="Times New Roman" w:cs="Times New Roman"/>
                <w:sz w:val="15"/>
                <w:szCs w:val="15"/>
              </w:rPr>
              <w:t>防护区耕地面积/所在区域（hm</w:t>
            </w:r>
            <w:r>
              <w:rPr>
                <w:rFonts w:ascii="Times New Roman" w:hAnsi="Times New Roman" w:cs="Times New Roman"/>
                <w:sz w:val="15"/>
                <w:szCs w:val="15"/>
                <w:vertAlign w:val="superscript"/>
              </w:rPr>
              <w:t>2</w:t>
            </w:r>
            <w:r>
              <w:rPr>
                <w:rFonts w:ascii="Times New Roman" w:hAnsi="Times New Roman" w:cs="Times New Roman"/>
                <w:sz w:val="15"/>
                <w:szCs w:val="15"/>
              </w:rPr>
              <w:t>）</w:t>
            </w:r>
          </w:p>
        </w:tc>
        <w:tc>
          <w:tcPr>
            <w:tcW w:w="1948" w:type="dxa"/>
            <w:vAlign w:val="center"/>
          </w:tcPr>
          <w:p w14:paraId="2645CDD0">
            <w:pPr>
              <w:adjustRightInd w:val="0"/>
              <w:jc w:val="center"/>
              <w:rPr>
                <w:rFonts w:ascii="Times New Roman" w:hAnsi="Times New Roman" w:cs="Times New Roman"/>
                <w:sz w:val="15"/>
                <w:szCs w:val="15"/>
              </w:rPr>
            </w:pPr>
            <w:r>
              <w:rPr>
                <w:rFonts w:ascii="Times New Roman" w:hAnsi="Times New Roman" w:cs="Times New Roman"/>
                <w:bCs/>
                <w:sz w:val="15"/>
                <w:szCs w:val="15"/>
              </w:rPr>
              <w:t>Ⅰ</w:t>
            </w:r>
            <w:r>
              <w:rPr>
                <w:rFonts w:ascii="Times New Roman" w:hAnsi="Times New Roman" w:cs="Times New Roman"/>
                <w:b/>
                <w:sz w:val="15"/>
                <w:szCs w:val="15"/>
              </w:rPr>
              <w:t xml:space="preserve"> </w:t>
            </w:r>
            <w:r>
              <w:rPr>
                <w:rFonts w:ascii="Times New Roman" w:hAnsi="Times New Roman" w:cs="Times New Roman"/>
                <w:sz w:val="15"/>
                <w:szCs w:val="15"/>
              </w:rPr>
              <w:t>区</w:t>
            </w:r>
          </w:p>
        </w:tc>
        <w:tc>
          <w:tcPr>
            <w:tcW w:w="1503" w:type="dxa"/>
            <w:vAlign w:val="center"/>
          </w:tcPr>
          <w:p w14:paraId="56F943DD">
            <w:pPr>
              <w:adjustRightInd w:val="0"/>
              <w:jc w:val="center"/>
              <w:rPr>
                <w:rFonts w:ascii="Times New Roman" w:hAnsi="Times New Roman" w:cs="Times New Roman"/>
                <w:sz w:val="15"/>
                <w:szCs w:val="15"/>
              </w:rPr>
            </w:pPr>
            <w:r>
              <w:rPr>
                <w:rFonts w:ascii="Times New Roman" w:hAnsi="Times New Roman" w:cs="Times New Roman"/>
                <w:sz w:val="15"/>
                <w:szCs w:val="15"/>
              </w:rPr>
              <w:t>≥100</w:t>
            </w:r>
          </w:p>
        </w:tc>
        <w:tc>
          <w:tcPr>
            <w:tcW w:w="1776" w:type="dxa"/>
            <w:vAlign w:val="center"/>
          </w:tcPr>
          <w:p w14:paraId="069CC0BC">
            <w:pPr>
              <w:adjustRightInd w:val="0"/>
              <w:jc w:val="center"/>
              <w:rPr>
                <w:rFonts w:ascii="Times New Roman" w:hAnsi="Times New Roman" w:cs="Times New Roman"/>
                <w:sz w:val="15"/>
                <w:szCs w:val="15"/>
              </w:rPr>
            </w:pPr>
            <w:r>
              <w:rPr>
                <w:rFonts w:ascii="Times New Roman" w:hAnsi="Times New Roman" w:cs="Times New Roman"/>
                <w:sz w:val="15"/>
                <w:szCs w:val="15"/>
              </w:rPr>
              <w:t>&lt;100</w:t>
            </w:r>
          </w:p>
        </w:tc>
      </w:tr>
      <w:tr w14:paraId="151B1A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3264" w:type="dxa"/>
            <w:vMerge w:val="continue"/>
            <w:vAlign w:val="center"/>
          </w:tcPr>
          <w:p w14:paraId="7909B8B1">
            <w:pPr>
              <w:adjustRightInd w:val="0"/>
              <w:jc w:val="center"/>
              <w:rPr>
                <w:rFonts w:ascii="Times New Roman" w:hAnsi="Times New Roman" w:cs="Times New Roman"/>
                <w:sz w:val="15"/>
                <w:szCs w:val="15"/>
              </w:rPr>
            </w:pPr>
          </w:p>
        </w:tc>
        <w:tc>
          <w:tcPr>
            <w:tcW w:w="1948" w:type="dxa"/>
            <w:vAlign w:val="center"/>
          </w:tcPr>
          <w:p w14:paraId="19B72F7D">
            <w:pPr>
              <w:adjustRightInd w:val="0"/>
              <w:jc w:val="center"/>
              <w:rPr>
                <w:rFonts w:ascii="Times New Roman" w:hAnsi="Times New Roman" w:cs="Times New Roman"/>
                <w:sz w:val="15"/>
                <w:szCs w:val="15"/>
              </w:rPr>
            </w:pPr>
            <w:r>
              <w:rPr>
                <w:rFonts w:ascii="Times New Roman" w:hAnsi="Times New Roman" w:cs="Times New Roman"/>
                <w:bCs/>
                <w:sz w:val="15"/>
                <w:szCs w:val="15"/>
              </w:rPr>
              <w:t>Ⅱ</w:t>
            </w:r>
            <w:r>
              <w:rPr>
                <w:rFonts w:ascii="Times New Roman" w:hAnsi="Times New Roman" w:cs="Times New Roman"/>
                <w:b/>
                <w:sz w:val="15"/>
                <w:szCs w:val="15"/>
              </w:rPr>
              <w:t xml:space="preserve"> </w:t>
            </w:r>
            <w:r>
              <w:rPr>
                <w:rFonts w:ascii="Times New Roman" w:hAnsi="Times New Roman" w:cs="Times New Roman"/>
                <w:sz w:val="15"/>
                <w:szCs w:val="15"/>
              </w:rPr>
              <w:t>区</w:t>
            </w:r>
          </w:p>
        </w:tc>
        <w:tc>
          <w:tcPr>
            <w:tcW w:w="1503" w:type="dxa"/>
            <w:vAlign w:val="center"/>
          </w:tcPr>
          <w:p w14:paraId="2C7C94B1">
            <w:pPr>
              <w:adjustRightInd w:val="0"/>
              <w:jc w:val="center"/>
              <w:rPr>
                <w:rFonts w:ascii="Times New Roman" w:hAnsi="Times New Roman" w:cs="Times New Roman"/>
                <w:sz w:val="15"/>
                <w:szCs w:val="15"/>
              </w:rPr>
            </w:pPr>
            <w:r>
              <w:rPr>
                <w:rFonts w:ascii="Times New Roman" w:hAnsi="Times New Roman" w:cs="Times New Roman"/>
                <w:sz w:val="15"/>
                <w:szCs w:val="15"/>
              </w:rPr>
              <w:t>≥10</w:t>
            </w:r>
          </w:p>
        </w:tc>
        <w:tc>
          <w:tcPr>
            <w:tcW w:w="1776" w:type="dxa"/>
            <w:vAlign w:val="center"/>
          </w:tcPr>
          <w:p w14:paraId="511DCBA0">
            <w:pPr>
              <w:adjustRightInd w:val="0"/>
              <w:jc w:val="center"/>
              <w:rPr>
                <w:rFonts w:ascii="Times New Roman" w:hAnsi="Times New Roman" w:cs="Times New Roman"/>
                <w:sz w:val="15"/>
                <w:szCs w:val="15"/>
              </w:rPr>
            </w:pPr>
            <w:r>
              <w:rPr>
                <w:rFonts w:ascii="Times New Roman" w:hAnsi="Times New Roman" w:cs="Times New Roman"/>
                <w:sz w:val="15"/>
                <w:szCs w:val="15"/>
              </w:rPr>
              <w:t>&lt;10</w:t>
            </w:r>
          </w:p>
        </w:tc>
      </w:tr>
      <w:tr w14:paraId="560D28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3264" w:type="dxa"/>
            <w:vMerge w:val="continue"/>
            <w:vAlign w:val="center"/>
          </w:tcPr>
          <w:p w14:paraId="56D43260">
            <w:pPr>
              <w:adjustRightInd w:val="0"/>
              <w:jc w:val="center"/>
              <w:rPr>
                <w:rFonts w:ascii="Times New Roman" w:hAnsi="Times New Roman" w:cs="Times New Roman"/>
                <w:sz w:val="15"/>
                <w:szCs w:val="15"/>
              </w:rPr>
            </w:pPr>
          </w:p>
        </w:tc>
        <w:tc>
          <w:tcPr>
            <w:tcW w:w="1948" w:type="dxa"/>
            <w:vAlign w:val="center"/>
          </w:tcPr>
          <w:p w14:paraId="73A4FF0D">
            <w:pPr>
              <w:adjustRightInd w:val="0"/>
              <w:jc w:val="center"/>
              <w:rPr>
                <w:rFonts w:ascii="Times New Roman" w:hAnsi="Times New Roman" w:cs="Times New Roman"/>
                <w:sz w:val="15"/>
                <w:szCs w:val="15"/>
              </w:rPr>
            </w:pPr>
            <w:r>
              <w:rPr>
                <w:rFonts w:ascii="Times New Roman" w:hAnsi="Times New Roman" w:cs="Times New Roman"/>
                <w:sz w:val="15"/>
                <w:szCs w:val="15"/>
              </w:rPr>
              <w:t>其他区</w:t>
            </w:r>
          </w:p>
        </w:tc>
        <w:tc>
          <w:tcPr>
            <w:tcW w:w="1503" w:type="dxa"/>
            <w:vAlign w:val="center"/>
          </w:tcPr>
          <w:p w14:paraId="121D9F68">
            <w:pPr>
              <w:adjustRightInd w:val="0"/>
              <w:jc w:val="center"/>
              <w:rPr>
                <w:rFonts w:ascii="Times New Roman" w:hAnsi="Times New Roman" w:cs="Times New Roman"/>
                <w:sz w:val="15"/>
                <w:szCs w:val="15"/>
              </w:rPr>
            </w:pPr>
            <w:r>
              <w:rPr>
                <w:rFonts w:ascii="Times New Roman" w:hAnsi="Times New Roman" w:cs="Times New Roman"/>
                <w:sz w:val="15"/>
                <w:szCs w:val="15"/>
              </w:rPr>
              <w:t>≥5</w:t>
            </w:r>
          </w:p>
        </w:tc>
        <w:tc>
          <w:tcPr>
            <w:tcW w:w="1776" w:type="dxa"/>
            <w:vAlign w:val="center"/>
          </w:tcPr>
          <w:p w14:paraId="12F32476">
            <w:pPr>
              <w:adjustRightInd w:val="0"/>
              <w:jc w:val="center"/>
              <w:rPr>
                <w:rFonts w:ascii="Times New Roman" w:hAnsi="Times New Roman" w:cs="Times New Roman"/>
                <w:sz w:val="15"/>
                <w:szCs w:val="15"/>
              </w:rPr>
            </w:pPr>
            <w:r>
              <w:rPr>
                <w:rFonts w:ascii="Times New Roman" w:hAnsi="Times New Roman" w:cs="Times New Roman"/>
                <w:sz w:val="15"/>
                <w:szCs w:val="15"/>
              </w:rPr>
              <w:t>&lt;5</w:t>
            </w:r>
          </w:p>
        </w:tc>
      </w:tr>
      <w:tr w14:paraId="016FCD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5212" w:type="dxa"/>
            <w:gridSpan w:val="2"/>
            <w:vAlign w:val="center"/>
          </w:tcPr>
          <w:p w14:paraId="14CF0037">
            <w:pPr>
              <w:adjustRightInd w:val="0"/>
              <w:jc w:val="center"/>
              <w:rPr>
                <w:rFonts w:ascii="Times New Roman" w:hAnsi="Times New Roman" w:cs="Times New Roman"/>
                <w:sz w:val="15"/>
                <w:szCs w:val="15"/>
              </w:rPr>
            </w:pPr>
            <w:r>
              <w:rPr>
                <w:rFonts w:ascii="Times New Roman" w:hAnsi="Times New Roman" w:cs="Times New Roman"/>
                <w:sz w:val="15"/>
                <w:szCs w:val="15"/>
              </w:rPr>
              <w:t>防洪标准［重现期（年）］</w:t>
            </w:r>
          </w:p>
        </w:tc>
        <w:tc>
          <w:tcPr>
            <w:tcW w:w="1503" w:type="dxa"/>
            <w:vAlign w:val="center"/>
          </w:tcPr>
          <w:p w14:paraId="22A9F8C8">
            <w:pPr>
              <w:adjustRightInd w:val="0"/>
              <w:jc w:val="center"/>
              <w:rPr>
                <w:rFonts w:ascii="Times New Roman" w:hAnsi="Times New Roman" w:cs="Times New Roman"/>
                <w:sz w:val="15"/>
                <w:szCs w:val="15"/>
              </w:rPr>
            </w:pPr>
            <w:r>
              <w:rPr>
                <w:rFonts w:ascii="Times New Roman" w:hAnsi="Times New Roman" w:cs="Times New Roman"/>
                <w:sz w:val="15"/>
                <w:szCs w:val="15"/>
              </w:rPr>
              <w:t>10</w:t>
            </w:r>
          </w:p>
        </w:tc>
        <w:tc>
          <w:tcPr>
            <w:tcW w:w="1776" w:type="dxa"/>
            <w:vAlign w:val="center"/>
          </w:tcPr>
          <w:p w14:paraId="539497E9">
            <w:pPr>
              <w:adjustRightInd w:val="0"/>
              <w:jc w:val="center"/>
              <w:rPr>
                <w:rFonts w:ascii="Times New Roman" w:hAnsi="Times New Roman" w:cs="Times New Roman"/>
                <w:sz w:val="15"/>
                <w:szCs w:val="15"/>
              </w:rPr>
            </w:pPr>
            <w:r>
              <w:rPr>
                <w:rFonts w:ascii="Times New Roman" w:hAnsi="Times New Roman" w:cs="Times New Roman"/>
                <w:sz w:val="15"/>
                <w:szCs w:val="15"/>
              </w:rPr>
              <w:t>5</w:t>
            </w:r>
          </w:p>
        </w:tc>
      </w:tr>
    </w:tbl>
    <w:p w14:paraId="4E2E0767">
      <w:pPr>
        <w:ind w:firstLine="300" w:firstLineChars="200"/>
        <w:rPr>
          <w:rFonts w:ascii="Times New Roman" w:hAnsi="Times New Roman" w:cs="Times New Roman"/>
          <w:sz w:val="15"/>
          <w:szCs w:val="15"/>
        </w:rPr>
      </w:pPr>
      <w:r>
        <w:rPr>
          <w:rFonts w:ascii="Times New Roman" w:hAnsi="Times New Roman" w:cs="Times New Roman"/>
          <w:sz w:val="15"/>
          <w:szCs w:val="15"/>
        </w:rPr>
        <w:t xml:space="preserve">注：1 </w:t>
      </w:r>
      <w:r>
        <w:rPr>
          <w:rFonts w:hint="eastAsia" w:ascii="Times New Roman" w:hAnsi="Times New Roman" w:cs="Times New Roman"/>
          <w:sz w:val="15"/>
          <w:szCs w:val="15"/>
        </w:rPr>
        <w:t xml:space="preserve"> </w:t>
      </w:r>
      <w:r>
        <w:rPr>
          <w:rFonts w:ascii="Times New Roman" w:hAnsi="Times New Roman" w:cs="Times New Roman"/>
          <w:sz w:val="15"/>
          <w:szCs w:val="15"/>
        </w:rPr>
        <w:t>涉及到影响人口时，可适当调高标准；</w:t>
      </w:r>
    </w:p>
    <w:p w14:paraId="308CEAFD">
      <w:pPr>
        <w:ind w:firstLine="600" w:firstLineChars="400"/>
        <w:rPr>
          <w:rFonts w:ascii="Times New Roman" w:hAnsi="Times New Roman" w:cs="Times New Roman"/>
          <w:sz w:val="15"/>
          <w:szCs w:val="15"/>
        </w:rPr>
      </w:pPr>
      <w:r>
        <w:rPr>
          <w:rFonts w:ascii="Times New Roman" w:hAnsi="Times New Roman" w:cs="Times New Roman"/>
          <w:sz w:val="15"/>
          <w:szCs w:val="15"/>
        </w:rPr>
        <w:t xml:space="preserve">2 </w:t>
      </w:r>
      <w:r>
        <w:rPr>
          <w:rFonts w:hint="eastAsia" w:ascii="Times New Roman" w:hAnsi="Times New Roman" w:cs="Times New Roman"/>
          <w:sz w:val="15"/>
          <w:szCs w:val="15"/>
        </w:rPr>
        <w:t xml:space="preserve"> </w:t>
      </w:r>
      <w:r>
        <w:rPr>
          <w:rFonts w:ascii="Times New Roman" w:hAnsi="Times New Roman" w:cs="Times New Roman"/>
          <w:sz w:val="15"/>
          <w:szCs w:val="15"/>
        </w:rPr>
        <w:t>汇水面积在50km</w:t>
      </w:r>
      <w:r>
        <w:rPr>
          <w:rFonts w:ascii="Times New Roman" w:hAnsi="Times New Roman" w:cs="Times New Roman"/>
          <w:sz w:val="15"/>
          <w:szCs w:val="15"/>
          <w:vertAlign w:val="superscript"/>
        </w:rPr>
        <w:t>2</w:t>
      </w:r>
      <w:r>
        <w:rPr>
          <w:rFonts w:ascii="Times New Roman" w:hAnsi="Times New Roman" w:cs="Times New Roman"/>
          <w:sz w:val="15"/>
          <w:szCs w:val="15"/>
        </w:rPr>
        <w:t>以下小流域采用此标准，其他采用堤防标准；</w:t>
      </w:r>
    </w:p>
    <w:p w14:paraId="40128DF6">
      <w:pPr>
        <w:ind w:firstLine="600" w:firstLineChars="400"/>
        <w:rPr>
          <w:rFonts w:ascii="Times New Roman" w:hAnsi="Times New Roman" w:cs="Times New Roman"/>
          <w:sz w:val="15"/>
          <w:szCs w:val="15"/>
        </w:rPr>
      </w:pPr>
      <w:r>
        <w:rPr>
          <w:rFonts w:ascii="Times New Roman" w:hAnsi="Times New Roman" w:cs="Times New Roman"/>
          <w:sz w:val="15"/>
          <w:szCs w:val="15"/>
        </w:rPr>
        <w:t>3</w:t>
      </w:r>
      <w:r>
        <w:rPr>
          <w:rFonts w:hint="eastAsia" w:ascii="Times New Roman" w:hAnsi="Times New Roman" w:cs="Times New Roman"/>
          <w:sz w:val="15"/>
          <w:szCs w:val="15"/>
        </w:rPr>
        <w:t xml:space="preserve"> </w:t>
      </w:r>
      <w:r>
        <w:rPr>
          <w:rFonts w:ascii="Times New Roman" w:hAnsi="Times New Roman" w:cs="Times New Roman"/>
          <w:sz w:val="15"/>
          <w:szCs w:val="15"/>
        </w:rPr>
        <w:t xml:space="preserve"> Ⅰ 区是指东北黑土区，Ⅱ 区是指北方土石山区、南方红壤区和四川盆地周边丘陵区及其类似区域。</w:t>
      </w:r>
    </w:p>
    <w:p w14:paraId="79E934F3">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17</w:t>
      </w:r>
      <w:r>
        <w:rPr>
          <w:rFonts w:ascii="Times New Roman" w:hAnsi="Times New Roman" w:cs="Times New Roman"/>
          <w:sz w:val="21"/>
          <w:szCs w:val="24"/>
        </w:rPr>
        <w:t xml:space="preserve">  护地堤级别应符合表4.2.17的规定。护地堤上的闸、涵、泵站等建筑物及其他构筑物的设计防洪标准不应低于护地堤的防洪标准。</w:t>
      </w:r>
    </w:p>
    <w:p w14:paraId="3E2EA0E4">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17  护地堤级别</w:t>
      </w:r>
    </w:p>
    <w:tbl>
      <w:tblPr>
        <w:tblStyle w:val="1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2494"/>
        <w:gridCol w:w="2495"/>
      </w:tblGrid>
      <w:tr w14:paraId="21502C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33" w:type="dxa"/>
            <w:vAlign w:val="center"/>
          </w:tcPr>
          <w:p w14:paraId="5A6BBBE5">
            <w:pPr>
              <w:jc w:val="center"/>
              <w:rPr>
                <w:rFonts w:ascii="Times New Roman" w:hAnsi="Times New Roman" w:cs="Times New Roman"/>
                <w:sz w:val="15"/>
                <w:szCs w:val="15"/>
              </w:rPr>
            </w:pPr>
            <w:r>
              <w:rPr>
                <w:rFonts w:ascii="Times New Roman" w:hAnsi="Times New Roman" w:cs="Times New Roman"/>
                <w:sz w:val="15"/>
                <w:szCs w:val="15"/>
              </w:rPr>
              <w:t>防洪标准［重现期（年）］</w:t>
            </w:r>
          </w:p>
        </w:tc>
        <w:tc>
          <w:tcPr>
            <w:tcW w:w="2494" w:type="dxa"/>
            <w:vAlign w:val="center"/>
          </w:tcPr>
          <w:p w14:paraId="0320F8E0">
            <w:pPr>
              <w:jc w:val="center"/>
              <w:rPr>
                <w:rFonts w:ascii="Times New Roman" w:hAnsi="Times New Roman" w:cs="Times New Roman"/>
                <w:sz w:val="15"/>
                <w:szCs w:val="15"/>
              </w:rPr>
            </w:pPr>
            <w:r>
              <w:rPr>
                <w:rFonts w:ascii="Times New Roman" w:hAnsi="Times New Roman" w:cs="Times New Roman"/>
                <w:sz w:val="15"/>
                <w:szCs w:val="15"/>
              </w:rPr>
              <w:t>10</w:t>
            </w:r>
          </w:p>
        </w:tc>
        <w:tc>
          <w:tcPr>
            <w:tcW w:w="2495" w:type="dxa"/>
            <w:vAlign w:val="center"/>
          </w:tcPr>
          <w:p w14:paraId="245BBF84">
            <w:pPr>
              <w:jc w:val="center"/>
              <w:rPr>
                <w:rFonts w:ascii="Times New Roman" w:hAnsi="Times New Roman" w:cs="Times New Roman"/>
                <w:sz w:val="15"/>
                <w:szCs w:val="15"/>
              </w:rPr>
            </w:pPr>
            <w:r>
              <w:rPr>
                <w:rFonts w:ascii="Times New Roman" w:hAnsi="Times New Roman" w:cs="Times New Roman"/>
                <w:sz w:val="15"/>
                <w:szCs w:val="15"/>
              </w:rPr>
              <w:t>5</w:t>
            </w:r>
          </w:p>
        </w:tc>
      </w:tr>
      <w:tr w14:paraId="641583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33" w:type="dxa"/>
            <w:vAlign w:val="center"/>
          </w:tcPr>
          <w:p w14:paraId="16E5EE1F">
            <w:pPr>
              <w:jc w:val="center"/>
              <w:rPr>
                <w:rFonts w:ascii="Times New Roman" w:hAnsi="Times New Roman" w:cs="Times New Roman"/>
                <w:sz w:val="15"/>
                <w:szCs w:val="15"/>
              </w:rPr>
            </w:pPr>
            <w:r>
              <w:rPr>
                <w:rFonts w:ascii="Times New Roman" w:hAnsi="Times New Roman" w:cs="Times New Roman"/>
                <w:sz w:val="15"/>
                <w:szCs w:val="15"/>
              </w:rPr>
              <w:t>护地堤级别</w:t>
            </w:r>
          </w:p>
        </w:tc>
        <w:tc>
          <w:tcPr>
            <w:tcW w:w="2494" w:type="dxa"/>
            <w:vAlign w:val="center"/>
          </w:tcPr>
          <w:p w14:paraId="22C752C9">
            <w:pPr>
              <w:jc w:val="center"/>
              <w:rPr>
                <w:rFonts w:ascii="Times New Roman" w:hAnsi="Times New Roman" w:cs="Times New Roman"/>
                <w:sz w:val="15"/>
                <w:szCs w:val="15"/>
              </w:rPr>
            </w:pPr>
            <w:r>
              <w:rPr>
                <w:rFonts w:ascii="Times New Roman" w:hAnsi="Times New Roman" w:cs="Times New Roman"/>
                <w:sz w:val="15"/>
                <w:szCs w:val="15"/>
              </w:rPr>
              <w:t>1</w:t>
            </w:r>
          </w:p>
        </w:tc>
        <w:tc>
          <w:tcPr>
            <w:tcW w:w="2495" w:type="dxa"/>
            <w:vAlign w:val="center"/>
          </w:tcPr>
          <w:p w14:paraId="4106E076">
            <w:pPr>
              <w:jc w:val="center"/>
              <w:rPr>
                <w:rFonts w:ascii="Times New Roman" w:hAnsi="Times New Roman" w:cs="Times New Roman"/>
                <w:sz w:val="15"/>
                <w:szCs w:val="15"/>
              </w:rPr>
            </w:pPr>
            <w:r>
              <w:rPr>
                <w:rFonts w:ascii="Times New Roman" w:hAnsi="Times New Roman" w:cs="Times New Roman"/>
                <w:sz w:val="15"/>
                <w:szCs w:val="15"/>
              </w:rPr>
              <w:t>2</w:t>
            </w:r>
          </w:p>
        </w:tc>
      </w:tr>
    </w:tbl>
    <w:p w14:paraId="7A2FFCD2">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 xml:space="preserve">18 </w:t>
      </w:r>
      <w:r>
        <w:rPr>
          <w:rFonts w:ascii="Times New Roman" w:hAnsi="Times New Roman" w:cs="Times New Roman"/>
          <w:sz w:val="21"/>
          <w:szCs w:val="24"/>
        </w:rPr>
        <w:t xml:space="preserve"> 土堤抗滑稳定安全系数不应小于表4.2.18的规定。</w:t>
      </w:r>
    </w:p>
    <w:p w14:paraId="0CDFEAF1">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18  土堤抗滑稳定安全系数</w:t>
      </w:r>
    </w:p>
    <w:tbl>
      <w:tblPr>
        <w:tblStyle w:val="1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071"/>
        <w:gridCol w:w="3451"/>
      </w:tblGrid>
      <w:tr w14:paraId="599B27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71" w:type="dxa"/>
            <w:vAlign w:val="center"/>
          </w:tcPr>
          <w:p w14:paraId="3DBD427F">
            <w:pPr>
              <w:jc w:val="center"/>
              <w:rPr>
                <w:rFonts w:ascii="Times New Roman" w:hAnsi="Times New Roman" w:cs="Times New Roman"/>
                <w:sz w:val="15"/>
                <w:szCs w:val="15"/>
              </w:rPr>
            </w:pPr>
            <w:r>
              <w:rPr>
                <w:rFonts w:ascii="Times New Roman" w:hAnsi="Times New Roman" w:cs="Times New Roman"/>
                <w:sz w:val="15"/>
                <w:szCs w:val="15"/>
              </w:rPr>
              <w:t>护地堤级别</w:t>
            </w:r>
          </w:p>
        </w:tc>
        <w:tc>
          <w:tcPr>
            <w:tcW w:w="3451" w:type="dxa"/>
            <w:vAlign w:val="center"/>
          </w:tcPr>
          <w:p w14:paraId="3252DE0D">
            <w:pPr>
              <w:jc w:val="center"/>
              <w:rPr>
                <w:rFonts w:ascii="Times New Roman" w:hAnsi="Times New Roman" w:cs="Times New Roman"/>
                <w:sz w:val="15"/>
                <w:szCs w:val="15"/>
              </w:rPr>
            </w:pPr>
            <w:r>
              <w:rPr>
                <w:rFonts w:ascii="Times New Roman" w:hAnsi="Times New Roman" w:cs="Times New Roman"/>
                <w:sz w:val="15"/>
                <w:szCs w:val="15"/>
              </w:rPr>
              <w:t>1、2</w:t>
            </w:r>
          </w:p>
        </w:tc>
      </w:tr>
      <w:tr w14:paraId="2F8576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71" w:type="dxa"/>
            <w:vAlign w:val="center"/>
          </w:tcPr>
          <w:p w14:paraId="6C7BB276">
            <w:pPr>
              <w:jc w:val="center"/>
              <w:rPr>
                <w:rFonts w:ascii="Times New Roman" w:hAnsi="Times New Roman" w:cs="Times New Roman"/>
                <w:sz w:val="15"/>
                <w:szCs w:val="15"/>
              </w:rPr>
            </w:pPr>
            <w:r>
              <w:rPr>
                <w:rFonts w:ascii="Times New Roman" w:hAnsi="Times New Roman" w:cs="Times New Roman"/>
                <w:sz w:val="15"/>
                <w:szCs w:val="15"/>
              </w:rPr>
              <w:t>安全系数</w:t>
            </w:r>
          </w:p>
        </w:tc>
        <w:tc>
          <w:tcPr>
            <w:tcW w:w="3451" w:type="dxa"/>
            <w:vAlign w:val="center"/>
          </w:tcPr>
          <w:p w14:paraId="4D1A112A">
            <w:pPr>
              <w:jc w:val="center"/>
              <w:rPr>
                <w:rFonts w:ascii="Times New Roman" w:hAnsi="Times New Roman" w:cs="Times New Roman"/>
                <w:sz w:val="15"/>
                <w:szCs w:val="15"/>
              </w:rPr>
            </w:pPr>
            <w:r>
              <w:rPr>
                <w:rFonts w:ascii="Times New Roman" w:hAnsi="Times New Roman" w:cs="Times New Roman"/>
                <w:sz w:val="15"/>
                <w:szCs w:val="15"/>
              </w:rPr>
              <w:t>1.10</w:t>
            </w:r>
          </w:p>
        </w:tc>
      </w:tr>
    </w:tbl>
    <w:p w14:paraId="0770084A">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19</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防洪墙抗滑稳定安全系数不应小于表4.2.19的规定。</w:t>
      </w:r>
    </w:p>
    <w:p w14:paraId="6F662384">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19  防洪墙抗滑稳定安全系数</w:t>
      </w:r>
    </w:p>
    <w:tbl>
      <w:tblPr>
        <w:tblStyle w:val="1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2840"/>
        <w:gridCol w:w="3336"/>
      </w:tblGrid>
      <w:tr w14:paraId="6717F6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346" w:type="dxa"/>
            <w:vAlign w:val="center"/>
          </w:tcPr>
          <w:p w14:paraId="05EF9613">
            <w:pPr>
              <w:jc w:val="center"/>
              <w:rPr>
                <w:rFonts w:ascii="Times New Roman" w:hAnsi="Times New Roman" w:cs="Times New Roman"/>
                <w:sz w:val="15"/>
                <w:szCs w:val="15"/>
              </w:rPr>
            </w:pPr>
            <w:r>
              <w:rPr>
                <w:rFonts w:ascii="Times New Roman" w:hAnsi="Times New Roman" w:cs="Times New Roman"/>
                <w:sz w:val="15"/>
                <w:szCs w:val="15"/>
              </w:rPr>
              <w:t>地基性质</w:t>
            </w:r>
          </w:p>
        </w:tc>
        <w:tc>
          <w:tcPr>
            <w:tcW w:w="2840" w:type="dxa"/>
            <w:vAlign w:val="center"/>
          </w:tcPr>
          <w:p w14:paraId="070D6548">
            <w:pPr>
              <w:jc w:val="center"/>
              <w:rPr>
                <w:rFonts w:ascii="Times New Roman" w:hAnsi="Times New Roman" w:cs="Times New Roman"/>
                <w:sz w:val="15"/>
                <w:szCs w:val="15"/>
              </w:rPr>
            </w:pPr>
            <w:r>
              <w:rPr>
                <w:rFonts w:ascii="Times New Roman" w:hAnsi="Times New Roman" w:cs="Times New Roman"/>
                <w:sz w:val="15"/>
                <w:szCs w:val="15"/>
              </w:rPr>
              <w:t>岩基</w:t>
            </w:r>
          </w:p>
        </w:tc>
        <w:tc>
          <w:tcPr>
            <w:tcW w:w="3336" w:type="dxa"/>
            <w:vAlign w:val="center"/>
          </w:tcPr>
          <w:p w14:paraId="5E43F4B1">
            <w:pPr>
              <w:jc w:val="center"/>
              <w:rPr>
                <w:rFonts w:ascii="Times New Roman" w:hAnsi="Times New Roman" w:cs="Times New Roman"/>
                <w:sz w:val="15"/>
                <w:szCs w:val="15"/>
              </w:rPr>
            </w:pPr>
            <w:r>
              <w:rPr>
                <w:rFonts w:ascii="Times New Roman" w:hAnsi="Times New Roman" w:cs="Times New Roman"/>
                <w:sz w:val="15"/>
                <w:szCs w:val="15"/>
              </w:rPr>
              <w:t>土基</w:t>
            </w:r>
          </w:p>
        </w:tc>
      </w:tr>
      <w:tr w14:paraId="117972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346" w:type="dxa"/>
            <w:vAlign w:val="center"/>
          </w:tcPr>
          <w:p w14:paraId="3DC12F19">
            <w:pPr>
              <w:jc w:val="center"/>
              <w:rPr>
                <w:rFonts w:ascii="Times New Roman" w:hAnsi="Times New Roman" w:cs="Times New Roman"/>
                <w:sz w:val="15"/>
                <w:szCs w:val="15"/>
              </w:rPr>
            </w:pPr>
            <w:r>
              <w:rPr>
                <w:rFonts w:ascii="Times New Roman" w:hAnsi="Times New Roman" w:cs="Times New Roman"/>
                <w:sz w:val="15"/>
                <w:szCs w:val="15"/>
              </w:rPr>
              <w:t>护地堤级别</w:t>
            </w:r>
          </w:p>
        </w:tc>
        <w:tc>
          <w:tcPr>
            <w:tcW w:w="2840" w:type="dxa"/>
            <w:vAlign w:val="center"/>
          </w:tcPr>
          <w:p w14:paraId="6A14AF90">
            <w:pPr>
              <w:jc w:val="center"/>
              <w:rPr>
                <w:rFonts w:ascii="Times New Roman" w:hAnsi="Times New Roman" w:cs="Times New Roman"/>
                <w:sz w:val="15"/>
                <w:szCs w:val="15"/>
              </w:rPr>
            </w:pPr>
            <w:r>
              <w:rPr>
                <w:rFonts w:ascii="Times New Roman" w:hAnsi="Times New Roman" w:cs="Times New Roman"/>
                <w:sz w:val="15"/>
                <w:szCs w:val="15"/>
              </w:rPr>
              <w:t>1、2</w:t>
            </w:r>
          </w:p>
        </w:tc>
        <w:tc>
          <w:tcPr>
            <w:tcW w:w="3336" w:type="dxa"/>
            <w:vAlign w:val="center"/>
          </w:tcPr>
          <w:p w14:paraId="521B0893">
            <w:pPr>
              <w:jc w:val="center"/>
              <w:rPr>
                <w:rFonts w:ascii="Times New Roman" w:hAnsi="Times New Roman" w:cs="Times New Roman"/>
                <w:sz w:val="15"/>
                <w:szCs w:val="15"/>
              </w:rPr>
            </w:pPr>
            <w:r>
              <w:rPr>
                <w:rFonts w:ascii="Times New Roman" w:hAnsi="Times New Roman" w:cs="Times New Roman"/>
                <w:sz w:val="15"/>
                <w:szCs w:val="15"/>
              </w:rPr>
              <w:t>1、2</w:t>
            </w:r>
          </w:p>
        </w:tc>
      </w:tr>
      <w:tr w14:paraId="4B2D6F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346" w:type="dxa"/>
            <w:vAlign w:val="center"/>
          </w:tcPr>
          <w:p w14:paraId="7BA02590">
            <w:pPr>
              <w:jc w:val="center"/>
              <w:rPr>
                <w:rFonts w:ascii="Times New Roman" w:hAnsi="Times New Roman" w:cs="Times New Roman"/>
                <w:sz w:val="15"/>
                <w:szCs w:val="15"/>
              </w:rPr>
            </w:pPr>
            <w:r>
              <w:rPr>
                <w:rFonts w:ascii="Times New Roman" w:hAnsi="Times New Roman" w:cs="Times New Roman"/>
                <w:sz w:val="15"/>
                <w:szCs w:val="15"/>
              </w:rPr>
              <w:t>安全系数</w:t>
            </w:r>
          </w:p>
        </w:tc>
        <w:tc>
          <w:tcPr>
            <w:tcW w:w="2840" w:type="dxa"/>
            <w:vAlign w:val="center"/>
          </w:tcPr>
          <w:p w14:paraId="369C5934">
            <w:pPr>
              <w:jc w:val="center"/>
              <w:rPr>
                <w:rFonts w:ascii="Times New Roman" w:hAnsi="Times New Roman" w:cs="Times New Roman"/>
                <w:sz w:val="15"/>
                <w:szCs w:val="15"/>
              </w:rPr>
            </w:pPr>
            <w:r>
              <w:rPr>
                <w:rFonts w:ascii="Times New Roman" w:hAnsi="Times New Roman" w:cs="Times New Roman"/>
                <w:sz w:val="15"/>
                <w:szCs w:val="15"/>
              </w:rPr>
              <w:t>1.00</w:t>
            </w:r>
          </w:p>
        </w:tc>
        <w:tc>
          <w:tcPr>
            <w:tcW w:w="3336" w:type="dxa"/>
            <w:vAlign w:val="center"/>
          </w:tcPr>
          <w:p w14:paraId="39EF8C11">
            <w:pPr>
              <w:jc w:val="center"/>
              <w:rPr>
                <w:rFonts w:ascii="Times New Roman" w:hAnsi="Times New Roman" w:cs="Times New Roman"/>
                <w:sz w:val="15"/>
                <w:szCs w:val="15"/>
              </w:rPr>
            </w:pPr>
            <w:r>
              <w:rPr>
                <w:rFonts w:ascii="Times New Roman" w:hAnsi="Times New Roman" w:cs="Times New Roman"/>
                <w:sz w:val="15"/>
                <w:szCs w:val="15"/>
              </w:rPr>
              <w:t>1.15</w:t>
            </w:r>
          </w:p>
        </w:tc>
      </w:tr>
    </w:tbl>
    <w:p w14:paraId="7140673E">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20</w:t>
      </w:r>
      <w:r>
        <w:rPr>
          <w:rFonts w:ascii="Times New Roman" w:hAnsi="Times New Roman" w:cs="Times New Roman"/>
          <w:sz w:val="21"/>
          <w:szCs w:val="24"/>
        </w:rPr>
        <w:t xml:space="preserve">  防洪墙抗倾稳定安全系数不应小于表4.2.20的规定。</w:t>
      </w:r>
    </w:p>
    <w:p w14:paraId="6E345447">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20  防洪墙抗倾稳定安全系数</w:t>
      </w:r>
    </w:p>
    <w:tbl>
      <w:tblPr>
        <w:tblStyle w:val="1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996"/>
        <w:gridCol w:w="3526"/>
      </w:tblGrid>
      <w:tr w14:paraId="68D1A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6" w:type="dxa"/>
            <w:vAlign w:val="center"/>
          </w:tcPr>
          <w:p w14:paraId="0990D3DD">
            <w:pPr>
              <w:jc w:val="center"/>
              <w:rPr>
                <w:rFonts w:ascii="Times New Roman" w:hAnsi="Times New Roman" w:cs="Times New Roman"/>
                <w:sz w:val="15"/>
                <w:szCs w:val="15"/>
              </w:rPr>
            </w:pPr>
            <w:r>
              <w:rPr>
                <w:rFonts w:ascii="Times New Roman" w:hAnsi="Times New Roman" w:cs="Times New Roman"/>
                <w:sz w:val="15"/>
                <w:szCs w:val="15"/>
              </w:rPr>
              <w:t>护地堤级别</w:t>
            </w:r>
          </w:p>
        </w:tc>
        <w:tc>
          <w:tcPr>
            <w:tcW w:w="3526" w:type="dxa"/>
            <w:vAlign w:val="center"/>
          </w:tcPr>
          <w:p w14:paraId="3AD47F3D">
            <w:pPr>
              <w:jc w:val="center"/>
              <w:rPr>
                <w:rFonts w:ascii="Times New Roman" w:hAnsi="Times New Roman" w:cs="Times New Roman"/>
                <w:sz w:val="15"/>
                <w:szCs w:val="15"/>
              </w:rPr>
            </w:pPr>
            <w:r>
              <w:rPr>
                <w:rFonts w:ascii="Times New Roman" w:hAnsi="Times New Roman" w:cs="Times New Roman"/>
                <w:sz w:val="15"/>
                <w:szCs w:val="15"/>
              </w:rPr>
              <w:t>1、2</w:t>
            </w:r>
          </w:p>
        </w:tc>
      </w:tr>
      <w:tr w14:paraId="24D0C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96" w:type="dxa"/>
            <w:vAlign w:val="center"/>
          </w:tcPr>
          <w:p w14:paraId="1F37A83C">
            <w:pPr>
              <w:jc w:val="center"/>
              <w:rPr>
                <w:rFonts w:ascii="Times New Roman" w:hAnsi="Times New Roman" w:cs="Times New Roman"/>
                <w:sz w:val="15"/>
                <w:szCs w:val="15"/>
              </w:rPr>
            </w:pPr>
            <w:r>
              <w:rPr>
                <w:rFonts w:ascii="Times New Roman" w:hAnsi="Times New Roman" w:cs="Times New Roman"/>
                <w:sz w:val="15"/>
                <w:szCs w:val="15"/>
              </w:rPr>
              <w:t>安全系数</w:t>
            </w:r>
          </w:p>
        </w:tc>
        <w:tc>
          <w:tcPr>
            <w:tcW w:w="3526" w:type="dxa"/>
            <w:vAlign w:val="center"/>
          </w:tcPr>
          <w:p w14:paraId="77F46B1A">
            <w:pPr>
              <w:jc w:val="center"/>
              <w:rPr>
                <w:rFonts w:ascii="Times New Roman" w:hAnsi="Times New Roman" w:cs="Times New Roman"/>
                <w:sz w:val="15"/>
                <w:szCs w:val="15"/>
              </w:rPr>
            </w:pPr>
            <w:r>
              <w:rPr>
                <w:rFonts w:ascii="Times New Roman" w:hAnsi="Times New Roman" w:cs="Times New Roman"/>
                <w:sz w:val="15"/>
                <w:szCs w:val="15"/>
              </w:rPr>
              <w:t>1.40</w:t>
            </w:r>
          </w:p>
        </w:tc>
      </w:tr>
    </w:tbl>
    <w:p w14:paraId="051AE652">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Ⅵ 坡面截排水工程</w:t>
      </w:r>
    </w:p>
    <w:p w14:paraId="248F2A5C">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21</w:t>
      </w:r>
      <w:r>
        <w:rPr>
          <w:rFonts w:ascii="Times New Roman" w:hAnsi="Times New Roman" w:cs="Times New Roman"/>
          <w:sz w:val="21"/>
          <w:szCs w:val="24"/>
        </w:rPr>
        <w:t xml:space="preserve">  坡面截排水工程的等级应包括下列三级：</w:t>
      </w:r>
    </w:p>
    <w:p w14:paraId="0CFE8E3C">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1级：配置在坡地上具有生产功能的1级林草工程、1级梯田工程的截排水沟。</w:t>
      </w:r>
    </w:p>
    <w:p w14:paraId="1A8DC1C1">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2级：配置在坡地上具有生产功能的2级林草工程、2级梯田工程的截排水沟。</w:t>
      </w:r>
    </w:p>
    <w:p w14:paraId="5B0BC154">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3级：配置在坡地上具有生产功能的3级林草工程、3级梯田工程以及其他设施的截排水沟。</w:t>
      </w:r>
    </w:p>
    <w:p w14:paraId="52C92011">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22</w:t>
      </w:r>
      <w:r>
        <w:rPr>
          <w:rFonts w:ascii="Times New Roman" w:hAnsi="Times New Roman" w:cs="Times New Roman"/>
          <w:sz w:val="21"/>
          <w:szCs w:val="24"/>
        </w:rPr>
        <w:t xml:space="preserve">  坡面截排水工程设计标准应按表4.2.22确定。</w:t>
      </w:r>
    </w:p>
    <w:p w14:paraId="0932D7AE">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22  坡面截排水工程设计标准</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10"/>
        <w:gridCol w:w="3744"/>
        <w:gridCol w:w="3022"/>
      </w:tblGrid>
      <w:tr w14:paraId="043A9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912" w:type="pct"/>
            <w:vAlign w:val="center"/>
          </w:tcPr>
          <w:p w14:paraId="74656A65">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级别</w:t>
            </w:r>
          </w:p>
        </w:tc>
        <w:tc>
          <w:tcPr>
            <w:tcW w:w="2262" w:type="pct"/>
            <w:vAlign w:val="center"/>
          </w:tcPr>
          <w:p w14:paraId="0ABF52F0">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排水标准</w:t>
            </w:r>
          </w:p>
        </w:tc>
        <w:tc>
          <w:tcPr>
            <w:tcW w:w="1826" w:type="pct"/>
            <w:vAlign w:val="center"/>
          </w:tcPr>
          <w:p w14:paraId="45A6C3E3">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超高（m）</w:t>
            </w:r>
          </w:p>
        </w:tc>
      </w:tr>
      <w:tr w14:paraId="28C5A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912" w:type="pct"/>
            <w:vAlign w:val="center"/>
          </w:tcPr>
          <w:p w14:paraId="47EC3178">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2262" w:type="pct"/>
            <w:vAlign w:val="center"/>
          </w:tcPr>
          <w:p w14:paraId="605EF5A6">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5年一遇~10年一遇短历时暴雨</w:t>
            </w:r>
          </w:p>
        </w:tc>
        <w:tc>
          <w:tcPr>
            <w:tcW w:w="1826" w:type="pct"/>
            <w:vAlign w:val="center"/>
          </w:tcPr>
          <w:p w14:paraId="16317A2D">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0.3</w:t>
            </w:r>
          </w:p>
        </w:tc>
      </w:tr>
      <w:tr w14:paraId="43359F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912" w:type="pct"/>
            <w:vAlign w:val="center"/>
          </w:tcPr>
          <w:p w14:paraId="1B7C5172">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2262" w:type="pct"/>
            <w:vAlign w:val="center"/>
          </w:tcPr>
          <w:p w14:paraId="55D5B421">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3年一遇~5年一遇短历时暴雨</w:t>
            </w:r>
          </w:p>
        </w:tc>
        <w:tc>
          <w:tcPr>
            <w:tcW w:w="1826" w:type="pct"/>
            <w:vAlign w:val="center"/>
          </w:tcPr>
          <w:p w14:paraId="1ECEEB60">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0.2</w:t>
            </w:r>
          </w:p>
        </w:tc>
      </w:tr>
      <w:tr w14:paraId="430244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912" w:type="pct"/>
            <w:vAlign w:val="center"/>
          </w:tcPr>
          <w:p w14:paraId="76248A76">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2262" w:type="pct"/>
            <w:vAlign w:val="center"/>
          </w:tcPr>
          <w:p w14:paraId="4AAD288A">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3年一遇短历时暴雨</w:t>
            </w:r>
          </w:p>
        </w:tc>
        <w:tc>
          <w:tcPr>
            <w:tcW w:w="1826" w:type="pct"/>
            <w:vAlign w:val="center"/>
          </w:tcPr>
          <w:p w14:paraId="6E5E49E3">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0.2</w:t>
            </w:r>
          </w:p>
        </w:tc>
      </w:tr>
    </w:tbl>
    <w:p w14:paraId="793795FE">
      <w:pPr>
        <w:keepNext/>
        <w:keepLines/>
        <w:spacing w:before="260" w:after="260"/>
        <w:jc w:val="center"/>
        <w:outlineLvl w:val="2"/>
        <w:rPr>
          <w:rFonts w:ascii="Times New Roman" w:hAnsi="Times New Roman" w:eastAsia="黑体" w:cs="Times New Roman"/>
          <w:bCs/>
          <w:sz w:val="24"/>
          <w:szCs w:val="24"/>
        </w:rPr>
      </w:pPr>
      <w:bookmarkStart w:id="68" w:name="OLE_LINK3"/>
      <w:r>
        <w:rPr>
          <w:rFonts w:ascii="Times New Roman" w:hAnsi="Times New Roman" w:eastAsia="黑体" w:cs="Times New Roman"/>
          <w:bCs/>
          <w:sz w:val="24"/>
          <w:szCs w:val="24"/>
        </w:rPr>
        <w:t xml:space="preserve">Ⅶ </w:t>
      </w:r>
      <w:r>
        <w:rPr>
          <w:rFonts w:ascii="Times New Roman" w:hAnsi="Times New Roman" w:eastAsia="黑体" w:cs="Times New Roman"/>
          <w:sz w:val="24"/>
          <w:szCs w:val="24"/>
        </w:rPr>
        <w:t>引洪漫地和引水拉沙工程</w:t>
      </w:r>
    </w:p>
    <w:bookmarkEnd w:id="68"/>
    <w:p w14:paraId="73342871">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2</w:t>
      </w:r>
      <w:r>
        <w:rPr>
          <w:rFonts w:hint="eastAsia" w:ascii="Times New Roman" w:hAnsi="Times New Roman" w:eastAsia="黑体" w:cs="Times New Roman"/>
          <w:b/>
          <w:sz w:val="21"/>
          <w:szCs w:val="24"/>
        </w:rPr>
        <w:t>3</w:t>
      </w:r>
      <w:r>
        <w:rPr>
          <w:rFonts w:ascii="Times New Roman" w:hAnsi="Times New Roman" w:cs="Times New Roman"/>
          <w:sz w:val="21"/>
          <w:szCs w:val="21"/>
        </w:rPr>
        <w:t xml:space="preserve">  引洪漫地工程级别划分应按表</w:t>
      </w:r>
      <w:r>
        <w:rPr>
          <w:rFonts w:ascii="Times New Roman" w:hAnsi="Times New Roman" w:cs="Times New Roman"/>
          <w:sz w:val="21"/>
          <w:szCs w:val="24"/>
        </w:rPr>
        <w:t>4.2.2</w:t>
      </w:r>
      <w:r>
        <w:rPr>
          <w:rFonts w:hint="eastAsia" w:ascii="Times New Roman" w:hAnsi="Times New Roman" w:cs="Times New Roman"/>
          <w:sz w:val="21"/>
          <w:szCs w:val="24"/>
        </w:rPr>
        <w:t>3</w:t>
      </w:r>
      <w:r>
        <w:rPr>
          <w:rFonts w:ascii="Times New Roman" w:hAnsi="Times New Roman" w:cs="Times New Roman"/>
          <w:sz w:val="21"/>
          <w:szCs w:val="21"/>
        </w:rPr>
        <w:t>规定确定。</w:t>
      </w:r>
    </w:p>
    <w:p w14:paraId="13647317">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2</w:t>
      </w:r>
      <w:r>
        <w:rPr>
          <w:rFonts w:hint="eastAsia" w:ascii="Times New Roman" w:hAnsi="Times New Roman" w:eastAsia="黑体" w:cs="Times New Roman"/>
          <w:sz w:val="18"/>
          <w:szCs w:val="18"/>
        </w:rPr>
        <w:t>3</w:t>
      </w:r>
      <w:r>
        <w:rPr>
          <w:rFonts w:ascii="Times New Roman" w:hAnsi="Times New Roman" w:eastAsia="黑体" w:cs="Times New Roman"/>
          <w:sz w:val="18"/>
          <w:szCs w:val="18"/>
        </w:rPr>
        <w:t xml:space="preserve">  引洪漫地工程级别</w:t>
      </w:r>
    </w:p>
    <w:tbl>
      <w:tblPr>
        <w:tblStyle w:val="10"/>
        <w:tblW w:w="497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3093"/>
        <w:gridCol w:w="3854"/>
      </w:tblGrid>
      <w:tr w14:paraId="7FF355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782" w:type="pct"/>
            <w:vAlign w:val="center"/>
          </w:tcPr>
          <w:p w14:paraId="288105BB">
            <w:pPr>
              <w:jc w:val="center"/>
              <w:rPr>
                <w:rFonts w:ascii="Times New Roman" w:hAnsi="Times New Roman" w:cs="Times New Roman"/>
                <w:sz w:val="15"/>
                <w:szCs w:val="15"/>
              </w:rPr>
            </w:pPr>
            <w:r>
              <w:rPr>
                <w:rFonts w:ascii="Times New Roman" w:hAnsi="Times New Roman" w:cs="Times New Roman"/>
                <w:sz w:val="15"/>
                <w:szCs w:val="15"/>
              </w:rPr>
              <w:t>工程级别</w:t>
            </w:r>
          </w:p>
        </w:tc>
        <w:tc>
          <w:tcPr>
            <w:tcW w:w="1878" w:type="pct"/>
            <w:vAlign w:val="center"/>
          </w:tcPr>
          <w:p w14:paraId="1EBC5A92">
            <w:pPr>
              <w:jc w:val="center"/>
              <w:rPr>
                <w:rFonts w:ascii="Times New Roman" w:hAnsi="Times New Roman" w:cs="Times New Roman"/>
                <w:sz w:val="15"/>
                <w:szCs w:val="15"/>
              </w:rPr>
            </w:pPr>
            <w:r>
              <w:rPr>
                <w:rFonts w:ascii="Times New Roman" w:hAnsi="Times New Roman" w:cs="Times New Roman"/>
                <w:sz w:val="15"/>
                <w:szCs w:val="15"/>
              </w:rPr>
              <w:t>淤漫面积（hm</w:t>
            </w:r>
            <w:r>
              <w:rPr>
                <w:rFonts w:ascii="Times New Roman" w:hAnsi="Times New Roman" w:cs="Times New Roman"/>
                <w:sz w:val="15"/>
                <w:szCs w:val="15"/>
                <w:vertAlign w:val="superscript"/>
              </w:rPr>
              <w:t>2</w:t>
            </w:r>
            <w:r>
              <w:rPr>
                <w:rFonts w:ascii="Times New Roman" w:hAnsi="Times New Roman" w:cs="Times New Roman"/>
                <w:sz w:val="15"/>
                <w:szCs w:val="15"/>
              </w:rPr>
              <w:t>）</w:t>
            </w:r>
          </w:p>
        </w:tc>
        <w:tc>
          <w:tcPr>
            <w:tcW w:w="2340" w:type="pct"/>
            <w:vAlign w:val="center"/>
          </w:tcPr>
          <w:p w14:paraId="0EA707F6">
            <w:pPr>
              <w:jc w:val="center"/>
              <w:rPr>
                <w:rFonts w:ascii="Times New Roman" w:hAnsi="Times New Roman" w:cs="Times New Roman"/>
                <w:sz w:val="15"/>
                <w:szCs w:val="15"/>
              </w:rPr>
            </w:pPr>
            <w:r>
              <w:rPr>
                <w:rFonts w:ascii="Times New Roman" w:hAnsi="Times New Roman" w:cs="Times New Roman"/>
                <w:sz w:val="15"/>
                <w:szCs w:val="15"/>
              </w:rPr>
              <w:t>设计洪水标准（年）</w:t>
            </w:r>
          </w:p>
        </w:tc>
      </w:tr>
      <w:tr w14:paraId="3582AD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 w:hRule="atLeast"/>
        </w:trPr>
        <w:tc>
          <w:tcPr>
            <w:tcW w:w="782" w:type="pct"/>
            <w:vAlign w:val="center"/>
          </w:tcPr>
          <w:p w14:paraId="5138A3AE">
            <w:pPr>
              <w:jc w:val="center"/>
              <w:rPr>
                <w:rFonts w:ascii="Times New Roman" w:hAnsi="Times New Roman" w:cs="Times New Roman"/>
                <w:sz w:val="15"/>
                <w:szCs w:val="15"/>
              </w:rPr>
            </w:pPr>
            <w:r>
              <w:rPr>
                <w:rFonts w:ascii="Times New Roman" w:hAnsi="Times New Roman" w:cs="Times New Roman"/>
                <w:sz w:val="15"/>
                <w:szCs w:val="15"/>
              </w:rPr>
              <w:t>1</w:t>
            </w:r>
          </w:p>
        </w:tc>
        <w:tc>
          <w:tcPr>
            <w:tcW w:w="1878" w:type="pct"/>
            <w:vAlign w:val="center"/>
          </w:tcPr>
          <w:p w14:paraId="6E4E0BF9">
            <w:pPr>
              <w:jc w:val="center"/>
              <w:rPr>
                <w:rFonts w:ascii="Times New Roman" w:hAnsi="Times New Roman" w:cs="Times New Roman"/>
                <w:sz w:val="15"/>
                <w:szCs w:val="15"/>
              </w:rPr>
            </w:pPr>
            <w:r>
              <w:rPr>
                <w:rFonts w:ascii="Times New Roman" w:hAnsi="Times New Roman" w:cs="Times New Roman"/>
                <w:sz w:val="15"/>
                <w:szCs w:val="15"/>
              </w:rPr>
              <w:t>5～20</w:t>
            </w:r>
          </w:p>
        </w:tc>
        <w:tc>
          <w:tcPr>
            <w:tcW w:w="2340" w:type="pct"/>
            <w:vAlign w:val="center"/>
          </w:tcPr>
          <w:p w14:paraId="4B40ABCB">
            <w:pPr>
              <w:jc w:val="center"/>
              <w:rPr>
                <w:rFonts w:ascii="Times New Roman" w:hAnsi="Times New Roman" w:cs="Times New Roman"/>
                <w:sz w:val="15"/>
                <w:szCs w:val="15"/>
              </w:rPr>
            </w:pPr>
            <w:r>
              <w:rPr>
                <w:rFonts w:ascii="Times New Roman" w:hAnsi="Times New Roman" w:cs="Times New Roman"/>
                <w:sz w:val="15"/>
                <w:szCs w:val="15"/>
              </w:rPr>
              <w:t>10～20</w:t>
            </w:r>
          </w:p>
        </w:tc>
      </w:tr>
      <w:tr w14:paraId="4A3562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6" w:hRule="atLeast"/>
        </w:trPr>
        <w:tc>
          <w:tcPr>
            <w:tcW w:w="782" w:type="pct"/>
            <w:vAlign w:val="center"/>
          </w:tcPr>
          <w:p w14:paraId="67AAF3EB">
            <w:pPr>
              <w:jc w:val="center"/>
              <w:rPr>
                <w:rFonts w:ascii="Times New Roman" w:hAnsi="Times New Roman" w:cs="Times New Roman"/>
                <w:sz w:val="15"/>
                <w:szCs w:val="15"/>
              </w:rPr>
            </w:pPr>
            <w:r>
              <w:rPr>
                <w:rFonts w:ascii="Times New Roman" w:hAnsi="Times New Roman" w:cs="Times New Roman"/>
                <w:sz w:val="15"/>
                <w:szCs w:val="15"/>
              </w:rPr>
              <w:t>2</w:t>
            </w:r>
          </w:p>
        </w:tc>
        <w:tc>
          <w:tcPr>
            <w:tcW w:w="1878" w:type="pct"/>
            <w:vAlign w:val="center"/>
          </w:tcPr>
          <w:p w14:paraId="3C64B9FA">
            <w:pPr>
              <w:jc w:val="center"/>
              <w:rPr>
                <w:rFonts w:ascii="Times New Roman" w:hAnsi="Times New Roman" w:cs="Times New Roman"/>
                <w:sz w:val="15"/>
                <w:szCs w:val="15"/>
              </w:rPr>
            </w:pPr>
            <w:r>
              <w:rPr>
                <w:rFonts w:ascii="Times New Roman" w:hAnsi="Times New Roman" w:cs="Times New Roman"/>
                <w:sz w:val="15"/>
                <w:szCs w:val="15"/>
              </w:rPr>
              <w:t>＜5</w:t>
            </w:r>
          </w:p>
        </w:tc>
        <w:tc>
          <w:tcPr>
            <w:tcW w:w="2340" w:type="pct"/>
            <w:vAlign w:val="center"/>
          </w:tcPr>
          <w:p w14:paraId="641490BA">
            <w:pPr>
              <w:jc w:val="center"/>
              <w:rPr>
                <w:rFonts w:ascii="Times New Roman" w:hAnsi="Times New Roman" w:cs="Times New Roman"/>
                <w:sz w:val="15"/>
                <w:szCs w:val="15"/>
              </w:rPr>
            </w:pPr>
            <w:r>
              <w:rPr>
                <w:rFonts w:ascii="Times New Roman" w:hAnsi="Times New Roman" w:cs="Times New Roman"/>
                <w:sz w:val="15"/>
                <w:szCs w:val="15"/>
              </w:rPr>
              <w:t>5～10</w:t>
            </w:r>
          </w:p>
        </w:tc>
      </w:tr>
    </w:tbl>
    <w:p w14:paraId="132D94FB">
      <w:pPr>
        <w:ind w:firstLine="300" w:firstLineChars="200"/>
        <w:rPr>
          <w:rFonts w:ascii="Times New Roman" w:hAnsi="Times New Roman" w:cs="Times New Roman"/>
          <w:sz w:val="15"/>
          <w:szCs w:val="15"/>
        </w:rPr>
      </w:pPr>
      <w:r>
        <w:rPr>
          <w:rFonts w:ascii="Times New Roman" w:hAnsi="Times New Roman" w:cs="Times New Roman"/>
          <w:sz w:val="15"/>
          <w:szCs w:val="15"/>
        </w:rPr>
        <w:t>注：引坡洪漫地时可控制引用的集水面积宜在1km</w:t>
      </w:r>
      <w:r>
        <w:rPr>
          <w:rFonts w:ascii="Times New Roman" w:hAnsi="Times New Roman" w:cs="Times New Roman"/>
          <w:sz w:val="15"/>
          <w:szCs w:val="15"/>
          <w:vertAlign w:val="superscript"/>
        </w:rPr>
        <w:t>2</w:t>
      </w:r>
      <w:r>
        <w:rPr>
          <w:rFonts w:ascii="Times New Roman" w:hAnsi="Times New Roman" w:cs="Times New Roman"/>
          <w:sz w:val="15"/>
          <w:szCs w:val="15"/>
        </w:rPr>
        <w:t>～2km</w:t>
      </w:r>
      <w:r>
        <w:rPr>
          <w:rFonts w:ascii="Times New Roman" w:hAnsi="Times New Roman" w:cs="Times New Roman"/>
          <w:sz w:val="15"/>
          <w:szCs w:val="15"/>
          <w:vertAlign w:val="superscript"/>
        </w:rPr>
        <w:t>2</w:t>
      </w:r>
      <w:r>
        <w:rPr>
          <w:rFonts w:ascii="Times New Roman" w:hAnsi="Times New Roman" w:cs="Times New Roman"/>
          <w:sz w:val="15"/>
          <w:szCs w:val="15"/>
        </w:rPr>
        <w:t>以下；引河洪漫地时宜引用中、小河流。</w:t>
      </w:r>
    </w:p>
    <w:p w14:paraId="2653AA4D">
      <w:pPr>
        <w:spacing w:before="156" w:beforeLines="50"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2</w:t>
      </w:r>
      <w:r>
        <w:rPr>
          <w:rFonts w:hint="eastAsia" w:ascii="Times New Roman" w:hAnsi="Times New Roman" w:eastAsia="黑体" w:cs="Times New Roman"/>
          <w:b/>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引水拉沙造地工程级别划分，应根据工程的规模及工程所在区域防洪安全和水土保持重要性划分为3级，并应按表</w:t>
      </w:r>
      <w:r>
        <w:rPr>
          <w:rFonts w:ascii="Times New Roman" w:hAnsi="Times New Roman" w:cs="Times New Roman"/>
          <w:sz w:val="21"/>
          <w:szCs w:val="24"/>
        </w:rPr>
        <w:t>4.2.2</w:t>
      </w:r>
      <w:r>
        <w:rPr>
          <w:rFonts w:hint="eastAsia" w:ascii="Times New Roman" w:hAnsi="Times New Roman" w:cs="Times New Roman"/>
          <w:sz w:val="21"/>
          <w:szCs w:val="24"/>
        </w:rPr>
        <w:t>4</w:t>
      </w:r>
      <w:r>
        <w:rPr>
          <w:rFonts w:ascii="Times New Roman" w:hAnsi="Times New Roman" w:cs="Times New Roman"/>
          <w:sz w:val="21"/>
          <w:szCs w:val="21"/>
        </w:rPr>
        <w:t>的规定确定。</w:t>
      </w:r>
    </w:p>
    <w:p w14:paraId="75539996">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2</w:t>
      </w:r>
      <w:r>
        <w:rPr>
          <w:rFonts w:hint="eastAsia" w:ascii="Times New Roman" w:hAnsi="Times New Roman" w:eastAsia="黑体" w:cs="Times New Roman"/>
          <w:sz w:val="18"/>
          <w:szCs w:val="18"/>
        </w:rPr>
        <w:t>4</w:t>
      </w:r>
      <w:r>
        <w:rPr>
          <w:rFonts w:ascii="Times New Roman" w:hAnsi="Times New Roman" w:eastAsia="黑体" w:cs="Times New Roman"/>
          <w:sz w:val="18"/>
          <w:szCs w:val="18"/>
        </w:rPr>
        <w:t xml:space="preserve">  引水拉沙造地工程级别</w:t>
      </w:r>
    </w:p>
    <w:tbl>
      <w:tblPr>
        <w:tblStyle w:val="10"/>
        <w:tblW w:w="495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89"/>
        <w:gridCol w:w="3098"/>
        <w:gridCol w:w="3813"/>
      </w:tblGrid>
      <w:tr w14:paraId="7C3FC6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786" w:type="pct"/>
            <w:vMerge w:val="restart"/>
            <w:vAlign w:val="center"/>
          </w:tcPr>
          <w:p w14:paraId="7B801B7C">
            <w:pPr>
              <w:jc w:val="center"/>
              <w:rPr>
                <w:rFonts w:ascii="Times New Roman" w:hAnsi="Times New Roman" w:cs="Times New Roman"/>
                <w:sz w:val="15"/>
                <w:szCs w:val="15"/>
              </w:rPr>
            </w:pPr>
            <w:r>
              <w:rPr>
                <w:rFonts w:ascii="Times New Roman" w:hAnsi="Times New Roman" w:cs="Times New Roman"/>
                <w:sz w:val="15"/>
                <w:szCs w:val="15"/>
              </w:rPr>
              <w:t>工程级别</w:t>
            </w:r>
          </w:p>
        </w:tc>
        <w:tc>
          <w:tcPr>
            <w:tcW w:w="4214" w:type="pct"/>
            <w:gridSpan w:val="2"/>
            <w:vAlign w:val="center"/>
          </w:tcPr>
          <w:p w14:paraId="05D8081D">
            <w:pPr>
              <w:jc w:val="center"/>
              <w:rPr>
                <w:rFonts w:ascii="Times New Roman" w:hAnsi="Times New Roman" w:cs="Times New Roman"/>
                <w:sz w:val="15"/>
                <w:szCs w:val="15"/>
              </w:rPr>
            </w:pPr>
            <w:r>
              <w:rPr>
                <w:rFonts w:ascii="Times New Roman" w:hAnsi="Times New Roman" w:cs="Times New Roman"/>
                <w:sz w:val="15"/>
                <w:szCs w:val="15"/>
              </w:rPr>
              <w:t>造地面积（hm</w:t>
            </w:r>
            <w:r>
              <w:rPr>
                <w:rFonts w:ascii="Times New Roman" w:hAnsi="Times New Roman" w:cs="Times New Roman"/>
                <w:sz w:val="15"/>
                <w:szCs w:val="15"/>
                <w:vertAlign w:val="superscript"/>
              </w:rPr>
              <w:t>2</w:t>
            </w:r>
            <w:r>
              <w:rPr>
                <w:rFonts w:ascii="Times New Roman" w:hAnsi="Times New Roman" w:cs="Times New Roman"/>
                <w:sz w:val="15"/>
                <w:szCs w:val="15"/>
              </w:rPr>
              <w:t>）</w:t>
            </w:r>
          </w:p>
        </w:tc>
      </w:tr>
      <w:tr w14:paraId="0878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86" w:type="pct"/>
            <w:vMerge w:val="continue"/>
            <w:vAlign w:val="center"/>
          </w:tcPr>
          <w:p w14:paraId="33DA07FF">
            <w:pPr>
              <w:jc w:val="center"/>
              <w:rPr>
                <w:rFonts w:ascii="Times New Roman" w:hAnsi="Times New Roman" w:cs="Times New Roman"/>
                <w:sz w:val="15"/>
                <w:szCs w:val="15"/>
              </w:rPr>
            </w:pPr>
          </w:p>
        </w:tc>
        <w:tc>
          <w:tcPr>
            <w:tcW w:w="1889" w:type="pct"/>
            <w:vAlign w:val="center"/>
          </w:tcPr>
          <w:p w14:paraId="38AAE17E">
            <w:pPr>
              <w:jc w:val="center"/>
              <w:rPr>
                <w:rFonts w:ascii="Times New Roman" w:hAnsi="Times New Roman" w:cs="Times New Roman"/>
                <w:sz w:val="15"/>
                <w:szCs w:val="15"/>
              </w:rPr>
            </w:pPr>
            <w:r>
              <w:rPr>
                <w:rFonts w:ascii="Times New Roman" w:hAnsi="Times New Roman" w:cs="Times New Roman"/>
                <w:sz w:val="15"/>
                <w:szCs w:val="15"/>
              </w:rPr>
              <w:t>风沙区</w:t>
            </w:r>
          </w:p>
        </w:tc>
        <w:tc>
          <w:tcPr>
            <w:tcW w:w="2324" w:type="pct"/>
            <w:vAlign w:val="center"/>
          </w:tcPr>
          <w:p w14:paraId="2E0870AF">
            <w:pPr>
              <w:jc w:val="center"/>
              <w:rPr>
                <w:rFonts w:ascii="Times New Roman" w:hAnsi="Times New Roman" w:cs="Times New Roman"/>
                <w:sz w:val="15"/>
                <w:szCs w:val="15"/>
              </w:rPr>
            </w:pPr>
            <w:r>
              <w:rPr>
                <w:rFonts w:ascii="Times New Roman" w:hAnsi="Times New Roman" w:cs="Times New Roman"/>
                <w:sz w:val="15"/>
                <w:szCs w:val="15"/>
              </w:rPr>
              <w:t>河流滩地</w:t>
            </w:r>
          </w:p>
        </w:tc>
      </w:tr>
      <w:tr w14:paraId="403E4D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786" w:type="pct"/>
            <w:vAlign w:val="center"/>
          </w:tcPr>
          <w:p w14:paraId="78210633">
            <w:pPr>
              <w:jc w:val="center"/>
              <w:rPr>
                <w:rFonts w:ascii="Times New Roman" w:hAnsi="Times New Roman" w:cs="Times New Roman"/>
                <w:sz w:val="15"/>
                <w:szCs w:val="15"/>
              </w:rPr>
            </w:pPr>
            <w:r>
              <w:rPr>
                <w:rFonts w:ascii="Times New Roman" w:hAnsi="Times New Roman" w:cs="Times New Roman"/>
                <w:sz w:val="15"/>
                <w:szCs w:val="15"/>
              </w:rPr>
              <w:t>1</w:t>
            </w:r>
          </w:p>
        </w:tc>
        <w:tc>
          <w:tcPr>
            <w:tcW w:w="1889" w:type="pct"/>
            <w:vAlign w:val="center"/>
          </w:tcPr>
          <w:p w14:paraId="580BD237">
            <w:pPr>
              <w:jc w:val="center"/>
              <w:rPr>
                <w:rFonts w:ascii="Times New Roman" w:hAnsi="Times New Roman" w:cs="Times New Roman"/>
                <w:sz w:val="15"/>
                <w:szCs w:val="15"/>
              </w:rPr>
            </w:pPr>
            <w:r>
              <w:rPr>
                <w:rFonts w:ascii="Times New Roman" w:hAnsi="Times New Roman" w:cs="Times New Roman"/>
                <w:sz w:val="15"/>
                <w:szCs w:val="15"/>
              </w:rPr>
              <w:t>≥100</w:t>
            </w:r>
          </w:p>
        </w:tc>
        <w:tc>
          <w:tcPr>
            <w:tcW w:w="2324" w:type="pct"/>
            <w:vAlign w:val="center"/>
          </w:tcPr>
          <w:p w14:paraId="5E88B6A5">
            <w:pPr>
              <w:jc w:val="center"/>
              <w:rPr>
                <w:rFonts w:ascii="Times New Roman" w:hAnsi="Times New Roman" w:cs="Times New Roman"/>
                <w:sz w:val="15"/>
                <w:szCs w:val="15"/>
              </w:rPr>
            </w:pPr>
            <w:r>
              <w:rPr>
                <w:rFonts w:ascii="Times New Roman" w:hAnsi="Times New Roman" w:cs="Times New Roman"/>
                <w:sz w:val="15"/>
                <w:szCs w:val="15"/>
              </w:rPr>
              <w:t>≥50</w:t>
            </w:r>
          </w:p>
        </w:tc>
      </w:tr>
      <w:tr w14:paraId="4EA30E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786" w:type="pct"/>
            <w:vAlign w:val="center"/>
          </w:tcPr>
          <w:p w14:paraId="314797CF">
            <w:pPr>
              <w:jc w:val="center"/>
              <w:rPr>
                <w:rFonts w:ascii="Times New Roman" w:hAnsi="Times New Roman" w:cs="Times New Roman"/>
                <w:sz w:val="15"/>
                <w:szCs w:val="15"/>
              </w:rPr>
            </w:pPr>
            <w:r>
              <w:rPr>
                <w:rFonts w:ascii="Times New Roman" w:hAnsi="Times New Roman" w:cs="Times New Roman"/>
                <w:sz w:val="15"/>
                <w:szCs w:val="15"/>
              </w:rPr>
              <w:t>2</w:t>
            </w:r>
          </w:p>
        </w:tc>
        <w:tc>
          <w:tcPr>
            <w:tcW w:w="1889" w:type="pct"/>
            <w:vAlign w:val="center"/>
          </w:tcPr>
          <w:p w14:paraId="346ECEBC">
            <w:pPr>
              <w:jc w:val="center"/>
              <w:rPr>
                <w:rFonts w:ascii="Times New Roman" w:hAnsi="Times New Roman" w:cs="Times New Roman"/>
                <w:sz w:val="15"/>
                <w:szCs w:val="15"/>
              </w:rPr>
            </w:pPr>
            <w:r>
              <w:rPr>
                <w:rFonts w:ascii="Times New Roman" w:hAnsi="Times New Roman" w:cs="Times New Roman"/>
                <w:sz w:val="15"/>
                <w:szCs w:val="15"/>
              </w:rPr>
              <w:t>100～30</w:t>
            </w:r>
          </w:p>
        </w:tc>
        <w:tc>
          <w:tcPr>
            <w:tcW w:w="2324" w:type="pct"/>
            <w:vAlign w:val="center"/>
          </w:tcPr>
          <w:p w14:paraId="6631B30B">
            <w:pPr>
              <w:jc w:val="center"/>
              <w:rPr>
                <w:rFonts w:ascii="Times New Roman" w:hAnsi="Times New Roman" w:cs="Times New Roman"/>
                <w:sz w:val="15"/>
                <w:szCs w:val="15"/>
              </w:rPr>
            </w:pPr>
            <w:r>
              <w:rPr>
                <w:rFonts w:ascii="Times New Roman" w:hAnsi="Times New Roman" w:cs="Times New Roman"/>
                <w:sz w:val="15"/>
                <w:szCs w:val="15"/>
              </w:rPr>
              <w:t>50～10</w:t>
            </w:r>
          </w:p>
        </w:tc>
      </w:tr>
      <w:tr w14:paraId="34DC8B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786" w:type="pct"/>
            <w:vAlign w:val="center"/>
          </w:tcPr>
          <w:p w14:paraId="4370570C">
            <w:pPr>
              <w:jc w:val="center"/>
              <w:rPr>
                <w:rFonts w:ascii="Times New Roman" w:hAnsi="Times New Roman" w:cs="Times New Roman"/>
                <w:sz w:val="15"/>
                <w:szCs w:val="15"/>
              </w:rPr>
            </w:pPr>
            <w:r>
              <w:rPr>
                <w:rFonts w:ascii="Times New Roman" w:hAnsi="Times New Roman" w:cs="Times New Roman"/>
                <w:sz w:val="15"/>
                <w:szCs w:val="15"/>
              </w:rPr>
              <w:t>3</w:t>
            </w:r>
          </w:p>
        </w:tc>
        <w:tc>
          <w:tcPr>
            <w:tcW w:w="1889" w:type="pct"/>
            <w:vAlign w:val="center"/>
          </w:tcPr>
          <w:p w14:paraId="1C61F4CD">
            <w:pPr>
              <w:jc w:val="center"/>
              <w:rPr>
                <w:rFonts w:ascii="Times New Roman" w:hAnsi="Times New Roman" w:cs="Times New Roman"/>
                <w:sz w:val="15"/>
                <w:szCs w:val="15"/>
              </w:rPr>
            </w:pPr>
            <w:r>
              <w:rPr>
                <w:rFonts w:ascii="Times New Roman" w:hAnsi="Times New Roman" w:cs="Times New Roman"/>
                <w:sz w:val="15"/>
                <w:szCs w:val="15"/>
              </w:rPr>
              <w:t>＜30</w:t>
            </w:r>
          </w:p>
        </w:tc>
        <w:tc>
          <w:tcPr>
            <w:tcW w:w="2324" w:type="pct"/>
            <w:vAlign w:val="center"/>
          </w:tcPr>
          <w:p w14:paraId="1B036D3D">
            <w:pPr>
              <w:jc w:val="center"/>
              <w:rPr>
                <w:rFonts w:ascii="Times New Roman" w:hAnsi="Times New Roman" w:cs="Times New Roman"/>
                <w:sz w:val="15"/>
                <w:szCs w:val="15"/>
              </w:rPr>
            </w:pPr>
            <w:r>
              <w:rPr>
                <w:rFonts w:ascii="Times New Roman" w:hAnsi="Times New Roman" w:cs="Times New Roman"/>
                <w:sz w:val="15"/>
                <w:szCs w:val="15"/>
              </w:rPr>
              <w:t>＜10</w:t>
            </w:r>
          </w:p>
        </w:tc>
      </w:tr>
    </w:tbl>
    <w:p w14:paraId="68640B31">
      <w:pPr>
        <w:ind w:firstLine="300" w:firstLineChars="200"/>
        <w:rPr>
          <w:rFonts w:ascii="Times New Roman" w:hAnsi="Times New Roman" w:cs="Times New Roman"/>
          <w:sz w:val="15"/>
          <w:szCs w:val="15"/>
        </w:rPr>
      </w:pPr>
      <w:r>
        <w:rPr>
          <w:rFonts w:ascii="Times New Roman" w:hAnsi="Times New Roman" w:cs="Times New Roman"/>
          <w:sz w:val="15"/>
          <w:szCs w:val="15"/>
        </w:rPr>
        <w:t>注：1  2、3级工程所在区域为国家水土流失重点防治区时，级别相应提高1级；</w:t>
      </w:r>
    </w:p>
    <w:p w14:paraId="65F3B56C">
      <w:pPr>
        <w:ind w:firstLine="600" w:firstLineChars="400"/>
        <w:rPr>
          <w:rFonts w:ascii="Times New Roman" w:hAnsi="Times New Roman" w:eastAsia="黑体" w:cs="Times New Roman"/>
          <w:sz w:val="21"/>
          <w:szCs w:val="24"/>
        </w:rPr>
      </w:pPr>
      <w:r>
        <w:rPr>
          <w:rFonts w:ascii="Times New Roman" w:hAnsi="Times New Roman" w:cs="Times New Roman"/>
          <w:sz w:val="15"/>
          <w:szCs w:val="15"/>
        </w:rPr>
        <w:t>2  2、3级的工程，所在区域防洪安全特别重要时，级别相应提高1级。</w:t>
      </w:r>
    </w:p>
    <w:p w14:paraId="0BBD6467">
      <w:pPr>
        <w:spacing w:before="156" w:beforeLines="50"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2</w:t>
      </w:r>
      <w:r>
        <w:rPr>
          <w:rFonts w:hint="eastAsia" w:ascii="Times New Roman" w:hAnsi="Times New Roman" w:eastAsia="黑体" w:cs="Times New Roman"/>
          <w:b/>
          <w:sz w:val="21"/>
          <w:szCs w:val="24"/>
        </w:rPr>
        <w:t>5</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1"/>
        </w:rPr>
        <w:t>各级别引水拉沙造地工程设计应符合下列要求：</w:t>
      </w:r>
    </w:p>
    <w:p w14:paraId="4B5526D2">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1级：田块布设和道路设计应满足大型机械化生产的要求，水利灌溉及防洪设施完善，工程区及其周边防风防沙林带全面配置。</w:t>
      </w:r>
    </w:p>
    <w:p w14:paraId="26421D6D">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cs="Times New Roman"/>
          <w:sz w:val="21"/>
          <w:szCs w:val="21"/>
        </w:rPr>
        <w:t xml:space="preserve">  2级：田块布设和道路设计应基本满足机械化生产的要求，因地制宜配套水利灌溉设施，工程区内防风、防沙、防洪措施完善，并应结合周边地域的风沙防护。</w:t>
      </w:r>
    </w:p>
    <w:p w14:paraId="6D8E52E0">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3</w:t>
      </w:r>
      <w:r>
        <w:rPr>
          <w:rFonts w:ascii="Times New Roman" w:hAnsi="Times New Roman" w:cs="Times New Roman"/>
          <w:sz w:val="21"/>
          <w:szCs w:val="21"/>
        </w:rPr>
        <w:t xml:space="preserve">  3级：应满足工程区内的防洪要求，配套田块内外生产道路及防护林带。</w:t>
      </w:r>
    </w:p>
    <w:p w14:paraId="0BB46DD9">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sz w:val="21"/>
          <w:szCs w:val="21"/>
        </w:rPr>
        <w:t xml:space="preserve">  河流滩地引水拉沙造地的防洪堤设计洪水标准应按表4.2.26确定。</w:t>
      </w:r>
    </w:p>
    <w:p w14:paraId="08A73B0B">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2</w:t>
      </w:r>
      <w:r>
        <w:rPr>
          <w:rFonts w:hint="eastAsia" w:ascii="Times New Roman" w:hAnsi="Times New Roman" w:eastAsia="黑体" w:cs="Times New Roman"/>
          <w:sz w:val="18"/>
          <w:szCs w:val="18"/>
        </w:rPr>
        <w:t>5</w:t>
      </w:r>
      <w:r>
        <w:rPr>
          <w:rFonts w:ascii="Times New Roman" w:hAnsi="Times New Roman" w:eastAsia="黑体" w:cs="Times New Roman"/>
          <w:sz w:val="18"/>
          <w:szCs w:val="18"/>
        </w:rPr>
        <w:t xml:space="preserve">  引水拉沙造地工程设计标准</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99"/>
        <w:gridCol w:w="5777"/>
      </w:tblGrid>
      <w:tr w14:paraId="3D1028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7" w:hRule="atLeast"/>
        </w:trPr>
        <w:tc>
          <w:tcPr>
            <w:tcW w:w="1510" w:type="pct"/>
            <w:vAlign w:val="center"/>
          </w:tcPr>
          <w:p w14:paraId="455276C8">
            <w:pPr>
              <w:jc w:val="center"/>
              <w:rPr>
                <w:rFonts w:ascii="Times New Roman" w:hAnsi="Times New Roman" w:cs="Times New Roman"/>
                <w:sz w:val="15"/>
                <w:szCs w:val="15"/>
              </w:rPr>
            </w:pPr>
            <w:r>
              <w:rPr>
                <w:rFonts w:ascii="Times New Roman" w:hAnsi="Times New Roman" w:cs="Times New Roman"/>
                <w:sz w:val="15"/>
                <w:szCs w:val="15"/>
              </w:rPr>
              <w:t>工程级别</w:t>
            </w:r>
          </w:p>
        </w:tc>
        <w:tc>
          <w:tcPr>
            <w:tcW w:w="3490" w:type="pct"/>
            <w:vAlign w:val="center"/>
          </w:tcPr>
          <w:p w14:paraId="0005B640">
            <w:pPr>
              <w:jc w:val="center"/>
              <w:rPr>
                <w:rFonts w:ascii="Times New Roman" w:hAnsi="Times New Roman" w:cs="Times New Roman"/>
                <w:sz w:val="15"/>
                <w:szCs w:val="15"/>
              </w:rPr>
            </w:pPr>
            <w:r>
              <w:rPr>
                <w:rFonts w:ascii="Times New Roman" w:hAnsi="Times New Roman" w:cs="Times New Roman"/>
                <w:sz w:val="15"/>
                <w:szCs w:val="15"/>
              </w:rPr>
              <w:t>河流滩地防洪堤设计洪水重现期（年）</w:t>
            </w:r>
          </w:p>
        </w:tc>
      </w:tr>
      <w:tr w14:paraId="715D34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510" w:type="pct"/>
            <w:vAlign w:val="center"/>
          </w:tcPr>
          <w:p w14:paraId="3730A32E">
            <w:pPr>
              <w:jc w:val="center"/>
              <w:rPr>
                <w:rFonts w:ascii="Times New Roman" w:hAnsi="Times New Roman" w:cs="Times New Roman"/>
                <w:sz w:val="15"/>
                <w:szCs w:val="15"/>
              </w:rPr>
            </w:pPr>
            <w:r>
              <w:rPr>
                <w:rFonts w:ascii="Times New Roman" w:hAnsi="Times New Roman" w:cs="Times New Roman"/>
                <w:sz w:val="15"/>
                <w:szCs w:val="15"/>
              </w:rPr>
              <w:t>1</w:t>
            </w:r>
          </w:p>
        </w:tc>
        <w:tc>
          <w:tcPr>
            <w:tcW w:w="3490" w:type="pct"/>
            <w:vAlign w:val="center"/>
          </w:tcPr>
          <w:p w14:paraId="7A9E4B00">
            <w:pPr>
              <w:jc w:val="center"/>
              <w:rPr>
                <w:rFonts w:ascii="Times New Roman" w:hAnsi="Times New Roman" w:cs="Times New Roman"/>
                <w:sz w:val="15"/>
                <w:szCs w:val="15"/>
              </w:rPr>
            </w:pPr>
            <w:r>
              <w:rPr>
                <w:rFonts w:ascii="Times New Roman" w:hAnsi="Times New Roman" w:cs="Times New Roman"/>
                <w:sz w:val="15"/>
                <w:szCs w:val="15"/>
              </w:rPr>
              <w:t>10</w:t>
            </w:r>
          </w:p>
        </w:tc>
      </w:tr>
      <w:tr w14:paraId="3D4EC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510" w:type="pct"/>
            <w:vAlign w:val="center"/>
          </w:tcPr>
          <w:p w14:paraId="68C8A3FC">
            <w:pPr>
              <w:jc w:val="center"/>
              <w:rPr>
                <w:rFonts w:ascii="Times New Roman" w:hAnsi="Times New Roman" w:cs="Times New Roman"/>
                <w:sz w:val="15"/>
                <w:szCs w:val="15"/>
              </w:rPr>
            </w:pPr>
            <w:r>
              <w:rPr>
                <w:rFonts w:ascii="Times New Roman" w:hAnsi="Times New Roman" w:cs="Times New Roman"/>
                <w:sz w:val="15"/>
                <w:szCs w:val="15"/>
              </w:rPr>
              <w:t>2、3</w:t>
            </w:r>
          </w:p>
        </w:tc>
        <w:tc>
          <w:tcPr>
            <w:tcW w:w="3490" w:type="pct"/>
            <w:vAlign w:val="center"/>
          </w:tcPr>
          <w:p w14:paraId="0774B9F3">
            <w:pPr>
              <w:jc w:val="center"/>
              <w:rPr>
                <w:rFonts w:ascii="Times New Roman" w:hAnsi="Times New Roman" w:cs="Times New Roman"/>
                <w:sz w:val="15"/>
                <w:szCs w:val="15"/>
              </w:rPr>
            </w:pPr>
            <w:r>
              <w:rPr>
                <w:rFonts w:ascii="Times New Roman" w:hAnsi="Times New Roman" w:cs="Times New Roman"/>
                <w:sz w:val="15"/>
                <w:szCs w:val="15"/>
              </w:rPr>
              <w:t>5</w:t>
            </w:r>
          </w:p>
        </w:tc>
      </w:tr>
    </w:tbl>
    <w:p w14:paraId="36E0DD8A">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Ⅷ 支毛沟治理工程</w:t>
      </w:r>
    </w:p>
    <w:p w14:paraId="0B192297">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2</w:t>
      </w:r>
      <w:r>
        <w:rPr>
          <w:rFonts w:hint="eastAsia" w:ascii="Times New Roman" w:hAnsi="Times New Roman" w:eastAsia="黑体" w:cs="Times New Roman"/>
          <w:b/>
          <w:sz w:val="21"/>
          <w:szCs w:val="24"/>
        </w:rPr>
        <w:t>6</w:t>
      </w:r>
      <w:r>
        <w:rPr>
          <w:rFonts w:ascii="Times New Roman" w:hAnsi="Times New Roman" w:cs="Times New Roman"/>
          <w:b/>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1"/>
        </w:rPr>
        <w:t>沟头防护工程设计标准应根据各地水文手册结合具体情况选择相应历时暴雨。</w:t>
      </w:r>
    </w:p>
    <w:p w14:paraId="2137BFAE">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2</w:t>
      </w:r>
      <w:r>
        <w:rPr>
          <w:rFonts w:hint="eastAsia" w:ascii="Times New Roman" w:hAnsi="Times New Roman" w:eastAsia="黑体" w:cs="Times New Roman"/>
          <w:b/>
          <w:sz w:val="21"/>
          <w:szCs w:val="24"/>
        </w:rPr>
        <w:t>7</w:t>
      </w:r>
      <w:r>
        <w:rPr>
          <w:rFonts w:ascii="Times New Roman" w:hAnsi="Times New Roman" w:cs="Times New Roman"/>
          <w:sz w:val="21"/>
          <w:szCs w:val="24"/>
        </w:rPr>
        <w:t xml:space="preserve"> </w:t>
      </w:r>
      <w:r>
        <w:rPr>
          <w:rFonts w:ascii="Times New Roman" w:hAnsi="Times New Roman" w:cs="Times New Roman"/>
          <w:sz w:val="21"/>
          <w:szCs w:val="21"/>
        </w:rPr>
        <w:t xml:space="preserve"> 谷坊工程溢流口的设计应根据各地水文手册结合具体情况选择相应历时暴雨。</w:t>
      </w:r>
    </w:p>
    <w:p w14:paraId="267408AC">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2</w:t>
      </w:r>
      <w:r>
        <w:rPr>
          <w:rFonts w:hint="eastAsia" w:ascii="Times New Roman" w:hAnsi="Times New Roman" w:eastAsia="黑体" w:cs="Times New Roman"/>
          <w:b/>
          <w:sz w:val="21"/>
          <w:szCs w:val="24"/>
        </w:rPr>
        <w:t>8</w:t>
      </w:r>
      <w:r>
        <w:rPr>
          <w:rFonts w:ascii="Times New Roman" w:hAnsi="Times New Roman" w:cs="Times New Roman"/>
          <w:sz w:val="21"/>
          <w:szCs w:val="21"/>
        </w:rPr>
        <w:t xml:space="preserve">  选择相应历时暴雨时，应根据各地降雨情况分别采用当地最易产生严重水土流失的短历时、高强度暴雨。</w:t>
      </w:r>
    </w:p>
    <w:p w14:paraId="660926EC">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9 \* ROMAN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IX</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固沙工程</w:t>
      </w:r>
    </w:p>
    <w:p w14:paraId="4C434809">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hint="eastAsia" w:ascii="Times New Roman" w:hAnsi="Times New Roman" w:eastAsia="黑体" w:cs="Times New Roman"/>
          <w:b/>
          <w:sz w:val="21"/>
          <w:szCs w:val="24"/>
        </w:rPr>
        <w:t>29</w:t>
      </w:r>
      <w:r>
        <w:rPr>
          <w:rFonts w:ascii="Times New Roman" w:hAnsi="Times New Roman" w:cs="Times New Roman"/>
          <w:b/>
          <w:sz w:val="21"/>
          <w:szCs w:val="24"/>
        </w:rPr>
        <w:t xml:space="preserve"> </w:t>
      </w:r>
      <w:r>
        <w:rPr>
          <w:rFonts w:ascii="Times New Roman" w:hAnsi="Times New Roman" w:cs="Times New Roman"/>
          <w:sz w:val="21"/>
          <w:szCs w:val="21"/>
        </w:rPr>
        <w:t xml:space="preserve"> 防风固沙工程级别，应根据风沙危害程度、保护对象、所处位置、工程规模、治理面积等因素，并应按表</w:t>
      </w:r>
      <w:r>
        <w:rPr>
          <w:rFonts w:ascii="Times New Roman" w:hAnsi="Times New Roman" w:cs="Times New Roman"/>
          <w:sz w:val="21"/>
          <w:szCs w:val="24"/>
        </w:rPr>
        <w:t>4.2.</w:t>
      </w:r>
      <w:r>
        <w:rPr>
          <w:rFonts w:hint="eastAsia" w:ascii="Times New Roman" w:hAnsi="Times New Roman" w:cs="Times New Roman"/>
          <w:sz w:val="21"/>
          <w:szCs w:val="24"/>
        </w:rPr>
        <w:t>29</w:t>
      </w:r>
      <w:r>
        <w:rPr>
          <w:rFonts w:ascii="Times New Roman" w:hAnsi="Times New Roman" w:cs="Times New Roman"/>
          <w:sz w:val="21"/>
          <w:szCs w:val="21"/>
        </w:rPr>
        <w:t>规定确定。</w:t>
      </w:r>
    </w:p>
    <w:p w14:paraId="694041F6">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hint="eastAsia" w:ascii="Times New Roman" w:hAnsi="Times New Roman" w:eastAsia="黑体" w:cs="Times New Roman"/>
          <w:sz w:val="18"/>
          <w:szCs w:val="18"/>
        </w:rPr>
        <w:t>29</w:t>
      </w:r>
      <w:r>
        <w:rPr>
          <w:rFonts w:ascii="Times New Roman" w:hAnsi="Times New Roman" w:eastAsia="黑体" w:cs="Times New Roman"/>
          <w:sz w:val="18"/>
          <w:szCs w:val="18"/>
        </w:rPr>
        <w:t xml:space="preserve">  防风固沙工程级别</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68"/>
        <w:gridCol w:w="1916"/>
        <w:gridCol w:w="1535"/>
        <w:gridCol w:w="1526"/>
        <w:gridCol w:w="1531"/>
      </w:tblGrid>
      <w:tr w14:paraId="6E7A4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2225" w:type="pct"/>
            <w:gridSpan w:val="2"/>
            <w:vAlign w:val="center"/>
          </w:tcPr>
          <w:p w14:paraId="573CB063">
            <w:pPr>
              <w:adjustRightInd w:val="0"/>
              <w:jc w:val="center"/>
              <w:rPr>
                <w:rFonts w:ascii="Times New Roman" w:hAnsi="Times New Roman" w:cs="Times New Roman"/>
                <w:sz w:val="15"/>
                <w:szCs w:val="15"/>
              </w:rPr>
            </w:pPr>
            <w:r>
              <w:rPr>
                <w:rFonts w:ascii="Times New Roman" w:hAnsi="Times New Roman" w:cs="Times New Roman"/>
                <w:sz w:val="15"/>
                <w:szCs w:val="15"/>
              </w:rPr>
              <w:t>防治级别</w:t>
            </w:r>
          </w:p>
        </w:tc>
        <w:tc>
          <w:tcPr>
            <w:tcW w:w="927" w:type="pct"/>
            <w:vAlign w:val="center"/>
          </w:tcPr>
          <w:p w14:paraId="0DDC6732">
            <w:pPr>
              <w:adjustRightInd w:val="0"/>
              <w:jc w:val="center"/>
              <w:rPr>
                <w:rFonts w:ascii="Times New Roman" w:hAnsi="Times New Roman" w:cs="Times New Roman"/>
                <w:sz w:val="15"/>
                <w:szCs w:val="15"/>
              </w:rPr>
            </w:pPr>
            <w:r>
              <w:rPr>
                <w:rFonts w:ascii="Times New Roman" w:hAnsi="Times New Roman" w:cs="Times New Roman"/>
                <w:sz w:val="15"/>
                <w:szCs w:val="15"/>
              </w:rPr>
              <w:t>严重</w:t>
            </w:r>
          </w:p>
        </w:tc>
        <w:tc>
          <w:tcPr>
            <w:tcW w:w="922" w:type="pct"/>
            <w:vAlign w:val="center"/>
          </w:tcPr>
          <w:p w14:paraId="37E1013F">
            <w:pPr>
              <w:adjustRightInd w:val="0"/>
              <w:jc w:val="center"/>
              <w:rPr>
                <w:rFonts w:ascii="Times New Roman" w:hAnsi="Times New Roman" w:cs="Times New Roman"/>
                <w:sz w:val="15"/>
                <w:szCs w:val="15"/>
              </w:rPr>
            </w:pPr>
            <w:r>
              <w:rPr>
                <w:rFonts w:ascii="Times New Roman" w:hAnsi="Times New Roman" w:cs="Times New Roman"/>
                <w:sz w:val="15"/>
                <w:szCs w:val="15"/>
              </w:rPr>
              <w:t>中等</w:t>
            </w:r>
          </w:p>
        </w:tc>
        <w:tc>
          <w:tcPr>
            <w:tcW w:w="925" w:type="pct"/>
            <w:vAlign w:val="center"/>
          </w:tcPr>
          <w:p w14:paraId="6344A743">
            <w:pPr>
              <w:adjustRightInd w:val="0"/>
              <w:jc w:val="center"/>
              <w:rPr>
                <w:rFonts w:ascii="Times New Roman" w:hAnsi="Times New Roman" w:cs="Times New Roman"/>
                <w:sz w:val="15"/>
                <w:szCs w:val="15"/>
              </w:rPr>
            </w:pPr>
            <w:r>
              <w:rPr>
                <w:rFonts w:ascii="Times New Roman" w:hAnsi="Times New Roman" w:cs="Times New Roman"/>
                <w:sz w:val="15"/>
                <w:szCs w:val="15"/>
              </w:rPr>
              <w:t>轻度</w:t>
            </w:r>
          </w:p>
        </w:tc>
      </w:tr>
      <w:tr w14:paraId="5BF8DF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1068" w:type="pct"/>
            <w:vMerge w:val="restart"/>
            <w:vAlign w:val="center"/>
          </w:tcPr>
          <w:p w14:paraId="1791791B">
            <w:pPr>
              <w:adjustRightInd w:val="0"/>
              <w:jc w:val="center"/>
              <w:rPr>
                <w:rFonts w:ascii="Times New Roman" w:hAnsi="Times New Roman" w:cs="Times New Roman"/>
                <w:sz w:val="15"/>
                <w:szCs w:val="15"/>
              </w:rPr>
            </w:pPr>
            <w:r>
              <w:rPr>
                <w:rFonts w:ascii="Times New Roman" w:hAnsi="Times New Roman" w:cs="Times New Roman"/>
                <w:sz w:val="15"/>
                <w:szCs w:val="15"/>
              </w:rPr>
              <w:t>绿洲规模</w:t>
            </w:r>
          </w:p>
          <w:p w14:paraId="3280B4AE">
            <w:pPr>
              <w:adjustRightInd w:val="0"/>
              <w:jc w:val="center"/>
              <w:rPr>
                <w:rFonts w:ascii="Times New Roman" w:hAnsi="Times New Roman" w:cs="Times New Roman"/>
                <w:sz w:val="15"/>
                <w:szCs w:val="15"/>
              </w:rPr>
            </w:pPr>
            <w:r>
              <w:rPr>
                <w:rFonts w:ascii="Times New Roman" w:hAnsi="Times New Roman" w:cs="Times New Roman"/>
                <w:sz w:val="15"/>
                <w:szCs w:val="15"/>
              </w:rPr>
              <w:t>（hm</w:t>
            </w:r>
            <w:r>
              <w:rPr>
                <w:rFonts w:ascii="Times New Roman" w:hAnsi="Times New Roman" w:cs="Times New Roman"/>
                <w:sz w:val="15"/>
                <w:szCs w:val="15"/>
                <w:vertAlign w:val="superscript"/>
              </w:rPr>
              <w:t>2</w:t>
            </w:r>
            <w:r>
              <w:rPr>
                <w:rFonts w:ascii="Times New Roman" w:hAnsi="Times New Roman" w:cs="Times New Roman"/>
                <w:sz w:val="15"/>
                <w:szCs w:val="15"/>
              </w:rPr>
              <w:t>）</w:t>
            </w:r>
          </w:p>
        </w:tc>
        <w:tc>
          <w:tcPr>
            <w:tcW w:w="1156" w:type="pct"/>
          </w:tcPr>
          <w:p w14:paraId="2EAA56B8">
            <w:pPr>
              <w:adjustRightInd w:val="0"/>
              <w:jc w:val="center"/>
              <w:rPr>
                <w:rFonts w:ascii="Times New Roman" w:hAnsi="Times New Roman" w:cs="Times New Roman"/>
                <w:sz w:val="15"/>
                <w:szCs w:val="15"/>
              </w:rPr>
            </w:pPr>
            <w:r>
              <w:rPr>
                <w:rFonts w:ascii="Times New Roman" w:hAnsi="Times New Roman" w:cs="Times New Roman"/>
                <w:sz w:val="15"/>
                <w:szCs w:val="15"/>
              </w:rPr>
              <w:t>≥20000</w:t>
            </w:r>
          </w:p>
        </w:tc>
        <w:tc>
          <w:tcPr>
            <w:tcW w:w="927" w:type="pct"/>
            <w:vAlign w:val="center"/>
          </w:tcPr>
          <w:p w14:paraId="1E3B711C">
            <w:pPr>
              <w:adjustRightInd w:val="0"/>
              <w:jc w:val="center"/>
              <w:rPr>
                <w:rFonts w:ascii="Times New Roman" w:hAnsi="Times New Roman" w:cs="Times New Roman"/>
                <w:sz w:val="15"/>
                <w:szCs w:val="15"/>
              </w:rPr>
            </w:pPr>
            <w:r>
              <w:rPr>
                <w:rFonts w:ascii="Times New Roman" w:hAnsi="Times New Roman" w:cs="Times New Roman"/>
                <w:sz w:val="15"/>
                <w:szCs w:val="15"/>
              </w:rPr>
              <w:t>1</w:t>
            </w:r>
          </w:p>
        </w:tc>
        <w:tc>
          <w:tcPr>
            <w:tcW w:w="922" w:type="pct"/>
            <w:vAlign w:val="center"/>
          </w:tcPr>
          <w:p w14:paraId="413101EE">
            <w:pPr>
              <w:adjustRightInd w:val="0"/>
              <w:jc w:val="center"/>
              <w:rPr>
                <w:rFonts w:ascii="Times New Roman" w:hAnsi="Times New Roman" w:cs="Times New Roman"/>
                <w:sz w:val="15"/>
                <w:szCs w:val="15"/>
              </w:rPr>
            </w:pPr>
            <w:r>
              <w:rPr>
                <w:rFonts w:ascii="Times New Roman" w:hAnsi="Times New Roman" w:cs="Times New Roman"/>
                <w:sz w:val="15"/>
                <w:szCs w:val="15"/>
              </w:rPr>
              <w:t>2</w:t>
            </w:r>
          </w:p>
        </w:tc>
        <w:tc>
          <w:tcPr>
            <w:tcW w:w="925" w:type="pct"/>
            <w:vAlign w:val="center"/>
          </w:tcPr>
          <w:p w14:paraId="2E119A9D">
            <w:pPr>
              <w:adjustRightInd w:val="0"/>
              <w:jc w:val="center"/>
              <w:rPr>
                <w:rFonts w:ascii="Times New Roman" w:hAnsi="Times New Roman" w:cs="Times New Roman"/>
                <w:sz w:val="15"/>
                <w:szCs w:val="15"/>
              </w:rPr>
            </w:pPr>
            <w:r>
              <w:rPr>
                <w:rFonts w:ascii="Times New Roman" w:hAnsi="Times New Roman" w:cs="Times New Roman"/>
                <w:sz w:val="15"/>
                <w:szCs w:val="15"/>
              </w:rPr>
              <w:t>3</w:t>
            </w:r>
          </w:p>
        </w:tc>
      </w:tr>
      <w:tr w14:paraId="6253A3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1068" w:type="pct"/>
            <w:vMerge w:val="continue"/>
            <w:vAlign w:val="center"/>
          </w:tcPr>
          <w:p w14:paraId="3C0E81F6">
            <w:pPr>
              <w:adjustRightInd w:val="0"/>
              <w:jc w:val="center"/>
              <w:rPr>
                <w:rFonts w:ascii="Times New Roman" w:hAnsi="Times New Roman" w:cs="Times New Roman"/>
                <w:sz w:val="15"/>
                <w:szCs w:val="15"/>
              </w:rPr>
            </w:pPr>
          </w:p>
        </w:tc>
        <w:tc>
          <w:tcPr>
            <w:tcW w:w="1156" w:type="pct"/>
          </w:tcPr>
          <w:p w14:paraId="78D00DD7">
            <w:pPr>
              <w:adjustRightInd w:val="0"/>
              <w:jc w:val="center"/>
              <w:rPr>
                <w:rFonts w:ascii="Times New Roman" w:hAnsi="Times New Roman" w:cs="Times New Roman"/>
                <w:sz w:val="15"/>
                <w:szCs w:val="15"/>
              </w:rPr>
            </w:pPr>
            <w:r>
              <w:rPr>
                <w:rFonts w:ascii="Times New Roman" w:hAnsi="Times New Roman" w:cs="Times New Roman"/>
                <w:sz w:val="15"/>
                <w:szCs w:val="15"/>
              </w:rPr>
              <w:t>20000</w:t>
            </w:r>
            <w:r>
              <w:rPr>
                <w:rFonts w:ascii="Times New Roman" w:hAnsi="Times New Roman" w:cs="Times New Roman"/>
                <w:kern w:val="0"/>
                <w:sz w:val="15"/>
                <w:szCs w:val="15"/>
              </w:rPr>
              <w:t>～</w:t>
            </w:r>
            <w:r>
              <w:rPr>
                <w:rFonts w:ascii="Times New Roman" w:hAnsi="Times New Roman" w:cs="Times New Roman"/>
                <w:sz w:val="15"/>
                <w:szCs w:val="15"/>
              </w:rPr>
              <w:t>666</w:t>
            </w:r>
          </w:p>
        </w:tc>
        <w:tc>
          <w:tcPr>
            <w:tcW w:w="927" w:type="pct"/>
            <w:vAlign w:val="center"/>
          </w:tcPr>
          <w:p w14:paraId="76601736">
            <w:pPr>
              <w:adjustRightInd w:val="0"/>
              <w:jc w:val="center"/>
              <w:rPr>
                <w:rFonts w:ascii="Times New Roman" w:hAnsi="Times New Roman" w:cs="Times New Roman"/>
                <w:sz w:val="15"/>
                <w:szCs w:val="15"/>
              </w:rPr>
            </w:pPr>
            <w:r>
              <w:rPr>
                <w:rFonts w:ascii="Times New Roman" w:hAnsi="Times New Roman" w:cs="Times New Roman"/>
                <w:sz w:val="15"/>
                <w:szCs w:val="15"/>
              </w:rPr>
              <w:t>2</w:t>
            </w:r>
          </w:p>
        </w:tc>
        <w:tc>
          <w:tcPr>
            <w:tcW w:w="922" w:type="pct"/>
            <w:vAlign w:val="center"/>
          </w:tcPr>
          <w:p w14:paraId="783CCDB1">
            <w:pPr>
              <w:adjustRightInd w:val="0"/>
              <w:jc w:val="center"/>
              <w:rPr>
                <w:rFonts w:ascii="Times New Roman" w:hAnsi="Times New Roman" w:cs="Times New Roman"/>
                <w:sz w:val="15"/>
                <w:szCs w:val="15"/>
              </w:rPr>
            </w:pPr>
            <w:r>
              <w:rPr>
                <w:rFonts w:ascii="Times New Roman" w:hAnsi="Times New Roman" w:cs="Times New Roman"/>
                <w:sz w:val="15"/>
                <w:szCs w:val="15"/>
              </w:rPr>
              <w:t>3</w:t>
            </w:r>
          </w:p>
        </w:tc>
        <w:tc>
          <w:tcPr>
            <w:tcW w:w="925" w:type="pct"/>
            <w:vAlign w:val="center"/>
          </w:tcPr>
          <w:p w14:paraId="1DDCBC37">
            <w:pPr>
              <w:adjustRightInd w:val="0"/>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r w14:paraId="4A2DEA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68" w:type="pct"/>
            <w:vMerge w:val="continue"/>
            <w:vAlign w:val="center"/>
          </w:tcPr>
          <w:p w14:paraId="0233B5FC">
            <w:pPr>
              <w:adjustRightInd w:val="0"/>
              <w:jc w:val="center"/>
              <w:rPr>
                <w:rFonts w:ascii="Times New Roman" w:hAnsi="Times New Roman" w:cs="Times New Roman"/>
                <w:sz w:val="15"/>
                <w:szCs w:val="15"/>
              </w:rPr>
            </w:pPr>
          </w:p>
        </w:tc>
        <w:tc>
          <w:tcPr>
            <w:tcW w:w="1156" w:type="pct"/>
          </w:tcPr>
          <w:p w14:paraId="78CD55CA">
            <w:pPr>
              <w:adjustRightInd w:val="0"/>
              <w:jc w:val="center"/>
              <w:rPr>
                <w:rFonts w:ascii="Times New Roman" w:hAnsi="Times New Roman" w:cs="Times New Roman"/>
                <w:sz w:val="15"/>
                <w:szCs w:val="15"/>
              </w:rPr>
            </w:pPr>
            <w:r>
              <w:rPr>
                <w:rFonts w:ascii="Times New Roman" w:hAnsi="Times New Roman" w:cs="Times New Roman"/>
                <w:kern w:val="0"/>
                <w:sz w:val="15"/>
                <w:szCs w:val="15"/>
              </w:rPr>
              <w:t>＜</w:t>
            </w:r>
            <w:r>
              <w:rPr>
                <w:rFonts w:ascii="Times New Roman" w:hAnsi="Times New Roman" w:cs="Times New Roman"/>
                <w:sz w:val="15"/>
                <w:szCs w:val="15"/>
              </w:rPr>
              <w:t>666</w:t>
            </w:r>
          </w:p>
        </w:tc>
        <w:tc>
          <w:tcPr>
            <w:tcW w:w="927" w:type="pct"/>
            <w:vAlign w:val="center"/>
          </w:tcPr>
          <w:p w14:paraId="222CB40C">
            <w:pPr>
              <w:adjustRightInd w:val="0"/>
              <w:jc w:val="center"/>
              <w:rPr>
                <w:rFonts w:ascii="Times New Roman" w:hAnsi="Times New Roman" w:cs="Times New Roman"/>
                <w:sz w:val="15"/>
                <w:szCs w:val="15"/>
              </w:rPr>
            </w:pPr>
            <w:r>
              <w:rPr>
                <w:rFonts w:ascii="Times New Roman" w:hAnsi="Times New Roman" w:cs="Times New Roman"/>
                <w:sz w:val="15"/>
                <w:szCs w:val="15"/>
              </w:rPr>
              <w:t>2</w:t>
            </w:r>
          </w:p>
        </w:tc>
        <w:tc>
          <w:tcPr>
            <w:tcW w:w="922" w:type="pct"/>
            <w:vAlign w:val="center"/>
          </w:tcPr>
          <w:p w14:paraId="7E5532EB">
            <w:pPr>
              <w:adjustRightInd w:val="0"/>
              <w:jc w:val="center"/>
              <w:rPr>
                <w:rFonts w:ascii="Times New Roman" w:hAnsi="Times New Roman" w:cs="Times New Roman"/>
                <w:sz w:val="15"/>
                <w:szCs w:val="15"/>
              </w:rPr>
            </w:pPr>
            <w:r>
              <w:rPr>
                <w:rFonts w:ascii="Times New Roman" w:hAnsi="Times New Roman" w:cs="Times New Roman"/>
                <w:sz w:val="15"/>
                <w:szCs w:val="15"/>
              </w:rPr>
              <w:t>3</w:t>
            </w:r>
          </w:p>
        </w:tc>
        <w:tc>
          <w:tcPr>
            <w:tcW w:w="925" w:type="pct"/>
            <w:vAlign w:val="center"/>
          </w:tcPr>
          <w:p w14:paraId="31674679">
            <w:pPr>
              <w:adjustRightInd w:val="0"/>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r w14:paraId="0F942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68" w:type="pct"/>
            <w:vMerge w:val="restart"/>
            <w:vAlign w:val="center"/>
          </w:tcPr>
          <w:p w14:paraId="04839094">
            <w:pPr>
              <w:adjustRightInd w:val="0"/>
              <w:jc w:val="center"/>
              <w:rPr>
                <w:rFonts w:ascii="Times New Roman" w:hAnsi="Times New Roman" w:cs="Times New Roman"/>
                <w:sz w:val="15"/>
                <w:szCs w:val="15"/>
              </w:rPr>
            </w:pPr>
            <w:r>
              <w:rPr>
                <w:rFonts w:ascii="Times New Roman" w:hAnsi="Times New Roman" w:cs="Times New Roman"/>
                <w:sz w:val="15"/>
                <w:szCs w:val="15"/>
              </w:rPr>
              <w:t>居民点</w:t>
            </w:r>
          </w:p>
        </w:tc>
        <w:tc>
          <w:tcPr>
            <w:tcW w:w="1156" w:type="pct"/>
          </w:tcPr>
          <w:p w14:paraId="28AD046A">
            <w:pPr>
              <w:adjustRightInd w:val="0"/>
              <w:jc w:val="center"/>
              <w:rPr>
                <w:rFonts w:ascii="Times New Roman" w:hAnsi="Times New Roman" w:cs="Times New Roman"/>
                <w:sz w:val="15"/>
                <w:szCs w:val="15"/>
              </w:rPr>
            </w:pPr>
            <w:r>
              <w:rPr>
                <w:rFonts w:ascii="Times New Roman" w:hAnsi="Times New Roman" w:cs="Times New Roman"/>
                <w:sz w:val="15"/>
                <w:szCs w:val="15"/>
              </w:rPr>
              <w:t>县(市)</w:t>
            </w:r>
          </w:p>
        </w:tc>
        <w:tc>
          <w:tcPr>
            <w:tcW w:w="927" w:type="pct"/>
            <w:vAlign w:val="center"/>
          </w:tcPr>
          <w:p w14:paraId="03B549D4">
            <w:pPr>
              <w:adjustRightInd w:val="0"/>
              <w:jc w:val="center"/>
              <w:rPr>
                <w:rFonts w:ascii="Times New Roman" w:hAnsi="Times New Roman" w:cs="Times New Roman"/>
                <w:sz w:val="15"/>
                <w:szCs w:val="15"/>
              </w:rPr>
            </w:pPr>
            <w:r>
              <w:rPr>
                <w:rFonts w:ascii="Times New Roman" w:hAnsi="Times New Roman" w:cs="Times New Roman"/>
                <w:sz w:val="15"/>
                <w:szCs w:val="15"/>
              </w:rPr>
              <w:t>1</w:t>
            </w:r>
          </w:p>
        </w:tc>
        <w:tc>
          <w:tcPr>
            <w:tcW w:w="922" w:type="pct"/>
            <w:vAlign w:val="center"/>
          </w:tcPr>
          <w:p w14:paraId="48F1FDFB">
            <w:pPr>
              <w:adjustRightInd w:val="0"/>
              <w:jc w:val="center"/>
              <w:rPr>
                <w:rFonts w:ascii="Times New Roman" w:hAnsi="Times New Roman" w:cs="Times New Roman"/>
                <w:sz w:val="15"/>
                <w:szCs w:val="15"/>
              </w:rPr>
            </w:pPr>
            <w:r>
              <w:rPr>
                <w:rFonts w:ascii="Times New Roman" w:hAnsi="Times New Roman" w:cs="Times New Roman"/>
                <w:sz w:val="15"/>
                <w:szCs w:val="15"/>
              </w:rPr>
              <w:t>2</w:t>
            </w:r>
          </w:p>
        </w:tc>
        <w:tc>
          <w:tcPr>
            <w:tcW w:w="925" w:type="pct"/>
            <w:vAlign w:val="center"/>
          </w:tcPr>
          <w:p w14:paraId="63DF57AB">
            <w:pPr>
              <w:adjustRightInd w:val="0"/>
              <w:jc w:val="center"/>
              <w:rPr>
                <w:rFonts w:ascii="Times New Roman" w:hAnsi="Times New Roman" w:cs="Times New Roman"/>
                <w:sz w:val="15"/>
                <w:szCs w:val="15"/>
              </w:rPr>
            </w:pPr>
            <w:r>
              <w:rPr>
                <w:rFonts w:ascii="Times New Roman" w:hAnsi="Times New Roman" w:cs="Times New Roman"/>
                <w:sz w:val="15"/>
                <w:szCs w:val="15"/>
              </w:rPr>
              <w:t>3</w:t>
            </w:r>
          </w:p>
        </w:tc>
      </w:tr>
      <w:tr w14:paraId="39660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68" w:type="pct"/>
            <w:vMerge w:val="continue"/>
            <w:vAlign w:val="center"/>
          </w:tcPr>
          <w:p w14:paraId="4973B161">
            <w:pPr>
              <w:adjustRightInd w:val="0"/>
              <w:jc w:val="center"/>
              <w:rPr>
                <w:rFonts w:ascii="Times New Roman" w:hAnsi="Times New Roman" w:cs="Times New Roman"/>
                <w:sz w:val="15"/>
                <w:szCs w:val="15"/>
              </w:rPr>
            </w:pPr>
          </w:p>
        </w:tc>
        <w:tc>
          <w:tcPr>
            <w:tcW w:w="1156" w:type="pct"/>
          </w:tcPr>
          <w:p w14:paraId="7197A997">
            <w:pPr>
              <w:adjustRightInd w:val="0"/>
              <w:jc w:val="center"/>
              <w:rPr>
                <w:rFonts w:ascii="Times New Roman" w:hAnsi="Times New Roman" w:cs="Times New Roman"/>
                <w:sz w:val="15"/>
                <w:szCs w:val="15"/>
              </w:rPr>
            </w:pPr>
            <w:r>
              <w:rPr>
                <w:rFonts w:ascii="Times New Roman" w:hAnsi="Times New Roman" w:cs="Times New Roman"/>
                <w:sz w:val="15"/>
                <w:szCs w:val="15"/>
              </w:rPr>
              <w:t>镇</w:t>
            </w:r>
          </w:p>
        </w:tc>
        <w:tc>
          <w:tcPr>
            <w:tcW w:w="927" w:type="pct"/>
            <w:vAlign w:val="center"/>
          </w:tcPr>
          <w:p w14:paraId="14D99A06">
            <w:pPr>
              <w:adjustRightInd w:val="0"/>
              <w:jc w:val="center"/>
              <w:rPr>
                <w:rFonts w:ascii="Times New Roman" w:hAnsi="Times New Roman" w:cs="Times New Roman"/>
                <w:sz w:val="15"/>
                <w:szCs w:val="15"/>
              </w:rPr>
            </w:pPr>
            <w:r>
              <w:rPr>
                <w:rFonts w:ascii="Times New Roman" w:hAnsi="Times New Roman" w:cs="Times New Roman"/>
                <w:sz w:val="15"/>
                <w:szCs w:val="15"/>
              </w:rPr>
              <w:t>2</w:t>
            </w:r>
          </w:p>
        </w:tc>
        <w:tc>
          <w:tcPr>
            <w:tcW w:w="922" w:type="pct"/>
            <w:vAlign w:val="center"/>
          </w:tcPr>
          <w:p w14:paraId="6B9C5F83">
            <w:pPr>
              <w:adjustRightInd w:val="0"/>
              <w:jc w:val="center"/>
              <w:rPr>
                <w:rFonts w:ascii="Times New Roman" w:hAnsi="Times New Roman" w:cs="Times New Roman"/>
                <w:sz w:val="15"/>
                <w:szCs w:val="15"/>
              </w:rPr>
            </w:pPr>
            <w:r>
              <w:rPr>
                <w:rFonts w:ascii="Times New Roman" w:hAnsi="Times New Roman" w:cs="Times New Roman"/>
                <w:sz w:val="15"/>
                <w:szCs w:val="15"/>
              </w:rPr>
              <w:t>3</w:t>
            </w:r>
          </w:p>
        </w:tc>
        <w:tc>
          <w:tcPr>
            <w:tcW w:w="925" w:type="pct"/>
            <w:vAlign w:val="center"/>
          </w:tcPr>
          <w:p w14:paraId="0FB5D539">
            <w:pPr>
              <w:adjustRightInd w:val="0"/>
              <w:jc w:val="center"/>
              <w:rPr>
                <w:rFonts w:ascii="Times New Roman" w:hAnsi="Times New Roman" w:cs="Times New Roman"/>
                <w:sz w:val="15"/>
                <w:szCs w:val="15"/>
              </w:rPr>
            </w:pPr>
            <w:r>
              <w:rPr>
                <w:rFonts w:ascii="Times New Roman" w:hAnsi="Times New Roman" w:cs="Times New Roman"/>
                <w:sz w:val="15"/>
                <w:szCs w:val="15"/>
              </w:rPr>
              <w:t>3</w:t>
            </w:r>
          </w:p>
        </w:tc>
      </w:tr>
      <w:tr w14:paraId="5AB9D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95" w:hRule="atLeast"/>
        </w:trPr>
        <w:tc>
          <w:tcPr>
            <w:tcW w:w="1068" w:type="pct"/>
            <w:vMerge w:val="continue"/>
            <w:vAlign w:val="center"/>
          </w:tcPr>
          <w:p w14:paraId="080D8E7E">
            <w:pPr>
              <w:adjustRightInd w:val="0"/>
              <w:jc w:val="center"/>
              <w:rPr>
                <w:rFonts w:ascii="Times New Roman" w:hAnsi="Times New Roman" w:cs="Times New Roman"/>
                <w:sz w:val="15"/>
                <w:szCs w:val="15"/>
              </w:rPr>
            </w:pPr>
          </w:p>
        </w:tc>
        <w:tc>
          <w:tcPr>
            <w:tcW w:w="1156" w:type="pct"/>
          </w:tcPr>
          <w:p w14:paraId="272348BB">
            <w:pPr>
              <w:adjustRightInd w:val="0"/>
              <w:jc w:val="center"/>
              <w:rPr>
                <w:rFonts w:ascii="Times New Roman" w:hAnsi="Times New Roman" w:cs="Times New Roman"/>
                <w:sz w:val="15"/>
                <w:szCs w:val="15"/>
              </w:rPr>
            </w:pPr>
            <w:r>
              <w:rPr>
                <w:rFonts w:ascii="Times New Roman" w:hAnsi="Times New Roman" w:cs="Times New Roman"/>
                <w:sz w:val="15"/>
                <w:szCs w:val="15"/>
              </w:rPr>
              <w:t>乡村</w:t>
            </w:r>
          </w:p>
        </w:tc>
        <w:tc>
          <w:tcPr>
            <w:tcW w:w="927" w:type="pct"/>
            <w:vAlign w:val="center"/>
          </w:tcPr>
          <w:p w14:paraId="4F179194">
            <w:pPr>
              <w:adjustRightInd w:val="0"/>
              <w:jc w:val="center"/>
              <w:rPr>
                <w:rFonts w:ascii="Times New Roman" w:hAnsi="Times New Roman" w:cs="Times New Roman"/>
                <w:sz w:val="15"/>
                <w:szCs w:val="15"/>
              </w:rPr>
            </w:pPr>
            <w:r>
              <w:rPr>
                <w:rFonts w:ascii="Times New Roman" w:hAnsi="Times New Roman" w:cs="Times New Roman"/>
                <w:sz w:val="15"/>
                <w:szCs w:val="15"/>
              </w:rPr>
              <w:t>3</w:t>
            </w:r>
          </w:p>
        </w:tc>
        <w:tc>
          <w:tcPr>
            <w:tcW w:w="922" w:type="pct"/>
            <w:vAlign w:val="center"/>
          </w:tcPr>
          <w:p w14:paraId="5F1027AF">
            <w:pPr>
              <w:adjustRightInd w:val="0"/>
              <w:jc w:val="center"/>
              <w:rPr>
                <w:rFonts w:ascii="Times New Roman" w:hAnsi="Times New Roman" w:cs="Times New Roman"/>
                <w:sz w:val="15"/>
                <w:szCs w:val="15"/>
              </w:rPr>
            </w:pPr>
            <w:r>
              <w:rPr>
                <w:rFonts w:ascii="Times New Roman" w:hAnsi="Times New Roman" w:cs="Times New Roman"/>
                <w:sz w:val="15"/>
                <w:szCs w:val="15"/>
              </w:rPr>
              <w:t>3</w:t>
            </w:r>
          </w:p>
        </w:tc>
        <w:tc>
          <w:tcPr>
            <w:tcW w:w="925" w:type="pct"/>
            <w:vAlign w:val="center"/>
          </w:tcPr>
          <w:p w14:paraId="47EDE216">
            <w:pPr>
              <w:adjustRightInd w:val="0"/>
              <w:jc w:val="center"/>
              <w:rPr>
                <w:rFonts w:ascii="Times New Roman" w:hAnsi="Times New Roman" w:cs="Times New Roman"/>
                <w:sz w:val="15"/>
                <w:szCs w:val="15"/>
              </w:rPr>
            </w:pPr>
            <w:r>
              <w:rPr>
                <w:rFonts w:ascii="Times New Roman" w:hAnsi="Times New Roman" w:cs="Times New Roman"/>
                <w:sz w:val="15"/>
                <w:szCs w:val="15"/>
              </w:rPr>
              <w:t>3</w:t>
            </w:r>
          </w:p>
        </w:tc>
      </w:tr>
    </w:tbl>
    <w:p w14:paraId="37888047">
      <w:pPr>
        <w:spacing w:before="156" w:beforeLines="50"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sz w:val="21"/>
          <w:szCs w:val="24"/>
        </w:rPr>
        <w:t>.</w:t>
      </w:r>
      <w:r>
        <w:rPr>
          <w:rFonts w:ascii="Times New Roman" w:hAnsi="Times New Roman" w:eastAsia="黑体" w:cs="Times New Roman"/>
          <w:b/>
          <w:sz w:val="21"/>
          <w:szCs w:val="24"/>
        </w:rPr>
        <w:t>3</w:t>
      </w:r>
      <w:r>
        <w:rPr>
          <w:rFonts w:hint="eastAsia" w:ascii="Times New Roman" w:hAnsi="Times New Roman" w:eastAsia="黑体" w:cs="Times New Roman"/>
          <w:b/>
          <w:sz w:val="21"/>
          <w:szCs w:val="24"/>
        </w:rPr>
        <w:t>0</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w:t>
      </w:r>
      <w:r>
        <w:rPr>
          <w:rFonts w:ascii="Times New Roman" w:hAnsi="Times New Roman" w:cs="Times New Roman"/>
          <w:sz w:val="21"/>
          <w:szCs w:val="24"/>
        </w:rPr>
        <w:t>防风固沙带宽度应根据防风固沙工程级别、所处风向方位，并应按表4.2.3</w:t>
      </w:r>
      <w:r>
        <w:rPr>
          <w:rFonts w:hint="eastAsia" w:ascii="Times New Roman" w:hAnsi="Times New Roman" w:cs="Times New Roman"/>
          <w:sz w:val="21"/>
          <w:szCs w:val="24"/>
        </w:rPr>
        <w:t>0</w:t>
      </w:r>
      <w:r>
        <w:rPr>
          <w:rFonts w:ascii="Times New Roman" w:hAnsi="Times New Roman" w:cs="Times New Roman"/>
          <w:sz w:val="21"/>
          <w:szCs w:val="24"/>
        </w:rPr>
        <w:t>规定选定。</w:t>
      </w:r>
    </w:p>
    <w:p w14:paraId="63E353FB">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3</w:t>
      </w:r>
      <w:r>
        <w:rPr>
          <w:rFonts w:hint="eastAsia" w:ascii="Times New Roman" w:hAnsi="Times New Roman" w:eastAsia="黑体" w:cs="Times New Roman"/>
          <w:sz w:val="18"/>
          <w:szCs w:val="18"/>
        </w:rPr>
        <w:t>0</w:t>
      </w:r>
      <w:r>
        <w:rPr>
          <w:rFonts w:ascii="Times New Roman" w:hAnsi="Times New Roman" w:eastAsia="黑体" w:cs="Times New Roman"/>
          <w:sz w:val="18"/>
          <w:szCs w:val="18"/>
        </w:rPr>
        <w:t xml:space="preserve">  防风固沙带宽度</w:t>
      </w:r>
    </w:p>
    <w:tbl>
      <w:tblPr>
        <w:tblStyle w:val="1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3531"/>
        <w:gridCol w:w="3260"/>
      </w:tblGrid>
      <w:tr w14:paraId="05FC0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7" w:hRule="exact"/>
        </w:trPr>
        <w:tc>
          <w:tcPr>
            <w:tcW w:w="0" w:type="auto"/>
            <w:vMerge w:val="restart"/>
            <w:vAlign w:val="center"/>
          </w:tcPr>
          <w:p w14:paraId="3C572479">
            <w:pPr>
              <w:adjustRightInd w:val="0"/>
              <w:jc w:val="center"/>
              <w:rPr>
                <w:rFonts w:ascii="Times New Roman" w:hAnsi="Times New Roman" w:cs="Times New Roman"/>
                <w:sz w:val="15"/>
                <w:szCs w:val="15"/>
              </w:rPr>
            </w:pPr>
            <w:r>
              <w:rPr>
                <w:rFonts w:ascii="Times New Roman" w:hAnsi="Times New Roman" w:cs="Times New Roman"/>
                <w:sz w:val="15"/>
                <w:szCs w:val="15"/>
              </w:rPr>
              <w:t>防风固沙工程级别</w:t>
            </w:r>
          </w:p>
        </w:tc>
        <w:tc>
          <w:tcPr>
            <w:tcW w:w="6791" w:type="dxa"/>
            <w:gridSpan w:val="2"/>
            <w:vAlign w:val="center"/>
          </w:tcPr>
          <w:p w14:paraId="09784557">
            <w:pPr>
              <w:adjustRightInd w:val="0"/>
              <w:jc w:val="center"/>
              <w:rPr>
                <w:rFonts w:ascii="Times New Roman" w:hAnsi="Times New Roman" w:cs="Times New Roman"/>
                <w:sz w:val="15"/>
                <w:szCs w:val="15"/>
              </w:rPr>
            </w:pPr>
            <w:r>
              <w:rPr>
                <w:rFonts w:ascii="Times New Roman" w:hAnsi="Times New Roman" w:cs="Times New Roman"/>
                <w:sz w:val="15"/>
                <w:szCs w:val="15"/>
              </w:rPr>
              <w:t>防风固沙带宽（m）</w:t>
            </w:r>
          </w:p>
        </w:tc>
      </w:tr>
      <w:tr w14:paraId="456B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exact"/>
        </w:trPr>
        <w:tc>
          <w:tcPr>
            <w:tcW w:w="0" w:type="auto"/>
            <w:vMerge w:val="continue"/>
            <w:vAlign w:val="center"/>
          </w:tcPr>
          <w:p w14:paraId="7EA7B64A">
            <w:pPr>
              <w:adjustRightInd w:val="0"/>
              <w:jc w:val="center"/>
              <w:rPr>
                <w:rFonts w:ascii="Times New Roman" w:hAnsi="Times New Roman" w:cs="Times New Roman"/>
                <w:sz w:val="15"/>
                <w:szCs w:val="15"/>
              </w:rPr>
            </w:pPr>
          </w:p>
        </w:tc>
        <w:tc>
          <w:tcPr>
            <w:tcW w:w="3531" w:type="dxa"/>
            <w:vAlign w:val="center"/>
          </w:tcPr>
          <w:p w14:paraId="2B8E4ACF">
            <w:pPr>
              <w:adjustRightInd w:val="0"/>
              <w:jc w:val="center"/>
              <w:rPr>
                <w:rFonts w:ascii="Times New Roman" w:hAnsi="Times New Roman" w:cs="Times New Roman"/>
                <w:sz w:val="15"/>
                <w:szCs w:val="15"/>
              </w:rPr>
            </w:pPr>
            <w:r>
              <w:rPr>
                <w:rFonts w:ascii="Times New Roman" w:hAnsi="Times New Roman" w:cs="Times New Roman"/>
                <w:sz w:val="15"/>
                <w:szCs w:val="15"/>
              </w:rPr>
              <w:t>主害风上风向</w:t>
            </w:r>
          </w:p>
        </w:tc>
        <w:tc>
          <w:tcPr>
            <w:tcW w:w="3260" w:type="dxa"/>
            <w:vAlign w:val="center"/>
          </w:tcPr>
          <w:p w14:paraId="0C6056E2">
            <w:pPr>
              <w:adjustRightInd w:val="0"/>
              <w:jc w:val="center"/>
              <w:rPr>
                <w:rFonts w:ascii="Times New Roman" w:hAnsi="Times New Roman" w:cs="Times New Roman"/>
                <w:sz w:val="15"/>
                <w:szCs w:val="15"/>
              </w:rPr>
            </w:pPr>
            <w:r>
              <w:rPr>
                <w:rFonts w:ascii="Times New Roman" w:hAnsi="Times New Roman" w:cs="Times New Roman"/>
                <w:sz w:val="15"/>
                <w:szCs w:val="15"/>
              </w:rPr>
              <w:t>主害风下风向</w:t>
            </w:r>
          </w:p>
        </w:tc>
      </w:tr>
      <w:tr w14:paraId="509965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9" w:hRule="exact"/>
        </w:trPr>
        <w:tc>
          <w:tcPr>
            <w:tcW w:w="0" w:type="auto"/>
            <w:vAlign w:val="center"/>
          </w:tcPr>
          <w:p w14:paraId="0D84E9ED">
            <w:pPr>
              <w:adjustRightInd w:val="0"/>
              <w:jc w:val="center"/>
              <w:rPr>
                <w:rFonts w:ascii="Times New Roman" w:hAnsi="Times New Roman" w:cs="Times New Roman"/>
                <w:sz w:val="15"/>
                <w:szCs w:val="15"/>
              </w:rPr>
            </w:pPr>
            <w:r>
              <w:rPr>
                <w:rFonts w:ascii="Times New Roman" w:hAnsi="Times New Roman" w:cs="Times New Roman"/>
                <w:sz w:val="15"/>
                <w:szCs w:val="15"/>
              </w:rPr>
              <w:t>1</w:t>
            </w:r>
          </w:p>
        </w:tc>
        <w:tc>
          <w:tcPr>
            <w:tcW w:w="3531" w:type="dxa"/>
            <w:vAlign w:val="center"/>
          </w:tcPr>
          <w:p w14:paraId="68D32864">
            <w:pPr>
              <w:adjustRightInd w:val="0"/>
              <w:jc w:val="center"/>
              <w:rPr>
                <w:rFonts w:ascii="Times New Roman" w:hAnsi="Times New Roman" w:cs="Times New Roman"/>
                <w:sz w:val="15"/>
                <w:szCs w:val="15"/>
              </w:rPr>
            </w:pPr>
            <w:r>
              <w:rPr>
                <w:rFonts w:ascii="Times New Roman" w:hAnsi="Times New Roman" w:cs="Times New Roman"/>
                <w:sz w:val="15"/>
                <w:szCs w:val="15"/>
              </w:rPr>
              <w:t>200</w:t>
            </w:r>
            <w:r>
              <w:rPr>
                <w:rFonts w:ascii="Times New Roman" w:hAnsi="Times New Roman" w:cs="Times New Roman"/>
                <w:b/>
                <w:sz w:val="15"/>
                <w:szCs w:val="15"/>
              </w:rPr>
              <w:t>～</w:t>
            </w:r>
            <w:r>
              <w:rPr>
                <w:rFonts w:ascii="Times New Roman" w:hAnsi="Times New Roman" w:cs="Times New Roman"/>
                <w:sz w:val="15"/>
                <w:szCs w:val="15"/>
              </w:rPr>
              <w:t>300</w:t>
            </w:r>
          </w:p>
        </w:tc>
        <w:tc>
          <w:tcPr>
            <w:tcW w:w="3260" w:type="dxa"/>
            <w:vAlign w:val="center"/>
          </w:tcPr>
          <w:p w14:paraId="7AE9ED28">
            <w:pPr>
              <w:adjustRightInd w:val="0"/>
              <w:jc w:val="center"/>
              <w:rPr>
                <w:rFonts w:ascii="Times New Roman" w:hAnsi="Times New Roman" w:cs="Times New Roman"/>
                <w:sz w:val="15"/>
                <w:szCs w:val="15"/>
              </w:rPr>
            </w:pPr>
            <w:r>
              <w:rPr>
                <w:rFonts w:ascii="Times New Roman" w:hAnsi="Times New Roman" w:cs="Times New Roman"/>
                <w:sz w:val="15"/>
                <w:szCs w:val="15"/>
              </w:rPr>
              <w:t>100</w:t>
            </w:r>
            <w:r>
              <w:rPr>
                <w:rFonts w:ascii="Times New Roman" w:hAnsi="Times New Roman" w:cs="Times New Roman"/>
                <w:b/>
                <w:sz w:val="15"/>
                <w:szCs w:val="15"/>
              </w:rPr>
              <w:t>～</w:t>
            </w:r>
            <w:r>
              <w:rPr>
                <w:rFonts w:ascii="Times New Roman" w:hAnsi="Times New Roman" w:cs="Times New Roman"/>
                <w:sz w:val="15"/>
                <w:szCs w:val="15"/>
              </w:rPr>
              <w:t>200</w:t>
            </w:r>
          </w:p>
        </w:tc>
      </w:tr>
      <w:tr w14:paraId="340C4A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exact"/>
        </w:trPr>
        <w:tc>
          <w:tcPr>
            <w:tcW w:w="0" w:type="auto"/>
            <w:vAlign w:val="center"/>
          </w:tcPr>
          <w:p w14:paraId="36FAEC0F">
            <w:pPr>
              <w:adjustRightInd w:val="0"/>
              <w:jc w:val="center"/>
              <w:rPr>
                <w:rFonts w:ascii="Times New Roman" w:hAnsi="Times New Roman" w:cs="Times New Roman"/>
                <w:sz w:val="15"/>
                <w:szCs w:val="15"/>
              </w:rPr>
            </w:pPr>
            <w:r>
              <w:rPr>
                <w:rFonts w:ascii="Times New Roman" w:hAnsi="Times New Roman" w:cs="Times New Roman"/>
                <w:sz w:val="15"/>
                <w:szCs w:val="15"/>
              </w:rPr>
              <w:t>2</w:t>
            </w:r>
          </w:p>
        </w:tc>
        <w:tc>
          <w:tcPr>
            <w:tcW w:w="3531" w:type="dxa"/>
            <w:vAlign w:val="center"/>
          </w:tcPr>
          <w:p w14:paraId="7496E0EB">
            <w:pPr>
              <w:autoSpaceDE w:val="0"/>
              <w:autoSpaceDN w:val="0"/>
              <w:adjustRightInd w:val="0"/>
              <w:spacing w:line="360" w:lineRule="auto"/>
              <w:jc w:val="center"/>
              <w:rPr>
                <w:rFonts w:ascii="Times New Roman" w:hAnsi="Times New Roman" w:cs="Times New Roman"/>
                <w:sz w:val="15"/>
                <w:szCs w:val="15"/>
              </w:rPr>
            </w:pPr>
            <w:r>
              <w:rPr>
                <w:rFonts w:ascii="Times New Roman" w:hAnsi="Times New Roman" w:cs="Times New Roman"/>
                <w:sz w:val="15"/>
                <w:szCs w:val="15"/>
              </w:rPr>
              <w:t>100～200</w:t>
            </w:r>
          </w:p>
        </w:tc>
        <w:tc>
          <w:tcPr>
            <w:tcW w:w="3260" w:type="dxa"/>
            <w:vAlign w:val="center"/>
          </w:tcPr>
          <w:p w14:paraId="44D67336">
            <w:pPr>
              <w:autoSpaceDE w:val="0"/>
              <w:autoSpaceDN w:val="0"/>
              <w:adjustRightInd w:val="0"/>
              <w:spacing w:line="360" w:lineRule="auto"/>
              <w:jc w:val="center"/>
              <w:rPr>
                <w:rFonts w:ascii="Times New Roman" w:hAnsi="Times New Roman" w:cs="Times New Roman"/>
                <w:sz w:val="15"/>
                <w:szCs w:val="15"/>
              </w:rPr>
            </w:pPr>
            <w:r>
              <w:rPr>
                <w:rFonts w:ascii="Times New Roman" w:hAnsi="Times New Roman" w:cs="Times New Roman"/>
                <w:sz w:val="15"/>
                <w:szCs w:val="15"/>
              </w:rPr>
              <w:t>50～100</w:t>
            </w:r>
          </w:p>
        </w:tc>
      </w:tr>
      <w:tr w14:paraId="3C4A74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exact"/>
        </w:trPr>
        <w:tc>
          <w:tcPr>
            <w:tcW w:w="0" w:type="auto"/>
            <w:vAlign w:val="center"/>
          </w:tcPr>
          <w:p w14:paraId="7C37B8DB">
            <w:pPr>
              <w:adjustRightInd w:val="0"/>
              <w:jc w:val="center"/>
              <w:rPr>
                <w:rFonts w:ascii="Times New Roman" w:hAnsi="Times New Roman" w:cs="Times New Roman"/>
                <w:sz w:val="15"/>
                <w:szCs w:val="15"/>
              </w:rPr>
            </w:pPr>
            <w:r>
              <w:rPr>
                <w:rFonts w:ascii="Times New Roman" w:hAnsi="Times New Roman" w:cs="Times New Roman"/>
                <w:sz w:val="15"/>
                <w:szCs w:val="15"/>
              </w:rPr>
              <w:t>3</w:t>
            </w:r>
          </w:p>
        </w:tc>
        <w:tc>
          <w:tcPr>
            <w:tcW w:w="3531" w:type="dxa"/>
            <w:vAlign w:val="center"/>
          </w:tcPr>
          <w:p w14:paraId="2D6E7543">
            <w:pPr>
              <w:adjustRightInd w:val="0"/>
              <w:jc w:val="center"/>
              <w:rPr>
                <w:rFonts w:ascii="Times New Roman" w:hAnsi="Times New Roman" w:cs="Times New Roman"/>
                <w:sz w:val="15"/>
                <w:szCs w:val="15"/>
              </w:rPr>
            </w:pPr>
            <w:r>
              <w:rPr>
                <w:rFonts w:ascii="Times New Roman" w:hAnsi="Times New Roman" w:cs="Times New Roman"/>
                <w:sz w:val="15"/>
                <w:szCs w:val="15"/>
              </w:rPr>
              <w:t>50～100</w:t>
            </w:r>
          </w:p>
        </w:tc>
        <w:tc>
          <w:tcPr>
            <w:tcW w:w="3260" w:type="dxa"/>
            <w:vAlign w:val="center"/>
          </w:tcPr>
          <w:p w14:paraId="64312C9B">
            <w:pPr>
              <w:adjustRightInd w:val="0"/>
              <w:jc w:val="center"/>
              <w:rPr>
                <w:rFonts w:ascii="Times New Roman" w:hAnsi="Times New Roman" w:cs="Times New Roman"/>
                <w:sz w:val="15"/>
                <w:szCs w:val="15"/>
              </w:rPr>
            </w:pPr>
            <w:r>
              <w:rPr>
                <w:rFonts w:ascii="Times New Roman" w:hAnsi="Times New Roman" w:cs="Times New Roman"/>
                <w:kern w:val="0"/>
                <w:sz w:val="15"/>
                <w:szCs w:val="15"/>
              </w:rPr>
              <w:t>20</w:t>
            </w:r>
            <w:r>
              <w:rPr>
                <w:rFonts w:ascii="Times New Roman" w:hAnsi="Times New Roman" w:cs="Times New Roman"/>
                <w:b/>
                <w:sz w:val="15"/>
                <w:szCs w:val="15"/>
              </w:rPr>
              <w:t>～</w:t>
            </w:r>
            <w:r>
              <w:rPr>
                <w:rFonts w:ascii="Times New Roman" w:hAnsi="Times New Roman" w:cs="Times New Roman"/>
                <w:kern w:val="0"/>
                <w:sz w:val="15"/>
                <w:szCs w:val="15"/>
              </w:rPr>
              <w:t>50</w:t>
            </w:r>
          </w:p>
        </w:tc>
      </w:tr>
    </w:tbl>
    <w:p w14:paraId="0987531F">
      <w:pPr>
        <w:ind w:firstLine="147" w:firstLineChars="98"/>
        <w:rPr>
          <w:rFonts w:ascii="Times New Roman" w:hAnsi="Times New Roman" w:cs="Times New Roman"/>
          <w:sz w:val="15"/>
          <w:szCs w:val="15"/>
        </w:rPr>
      </w:pPr>
      <w:r>
        <w:rPr>
          <w:rFonts w:ascii="Times New Roman" w:hAnsi="Times New Roman" w:cs="Times New Roman"/>
          <w:sz w:val="15"/>
          <w:szCs w:val="15"/>
        </w:rPr>
        <w:t>注：对防风固沙带宽大于300m的工程项目，应经论证确定其宽度。</w:t>
      </w:r>
    </w:p>
    <w:p w14:paraId="1C2ED2BE">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Ⅹ 林草工程</w:t>
      </w:r>
    </w:p>
    <w:p w14:paraId="2E4B84A0">
      <w:pPr>
        <w:spacing w:line="360" w:lineRule="auto"/>
        <w:rPr>
          <w:rFonts w:ascii="Times New Roman" w:hAnsi="Times New Roman" w:cs="Times New Roman"/>
          <w:bCs/>
          <w:sz w:val="21"/>
          <w:szCs w:val="21"/>
        </w:rPr>
      </w:pPr>
      <w:r>
        <w:rPr>
          <w:rFonts w:ascii="Times New Roman" w:hAnsi="Times New Roman" w:cs="Times New Roman"/>
          <w:b/>
          <w:sz w:val="21"/>
          <w:szCs w:val="21"/>
        </w:rPr>
        <w:t xml:space="preserve">4.2.31 </w:t>
      </w:r>
      <w:r>
        <w:rPr>
          <w:rFonts w:ascii="Times New Roman" w:hAnsi="Times New Roman" w:cs="Times New Roman"/>
          <w:bCs/>
          <w:sz w:val="21"/>
          <w:szCs w:val="21"/>
        </w:rPr>
        <w:t xml:space="preserve"> 涉及生态公益林建设的区域，林草工程级别应按现行国家标准《生态公益林建设导则》GB/T 18337.1的有关规定执行，并应根据其建设规模、所处位置、生态脆弱性、生态重要性及景观作用合理确定。</w:t>
      </w:r>
    </w:p>
    <w:p w14:paraId="3DFBF36D">
      <w:pPr>
        <w:adjustRightInd w:val="0"/>
        <w:spacing w:line="360" w:lineRule="auto"/>
        <w:rPr>
          <w:rFonts w:ascii="Times New Roman" w:hAnsi="Times New Roman" w:cs="Times New Roman"/>
          <w:sz w:val="21"/>
          <w:szCs w:val="21"/>
        </w:rPr>
      </w:pPr>
      <w:r>
        <w:rPr>
          <w:rFonts w:ascii="Times New Roman" w:hAnsi="Times New Roman" w:cs="Times New Roman"/>
          <w:b/>
          <w:sz w:val="21"/>
          <w:szCs w:val="21"/>
        </w:rPr>
        <w:t>4.2.32</w:t>
      </w:r>
      <w:r>
        <w:rPr>
          <w:rFonts w:ascii="Times New Roman" w:hAnsi="Times New Roman" w:cs="Times New Roman"/>
          <w:sz w:val="21"/>
          <w:szCs w:val="21"/>
        </w:rPr>
        <w:t xml:space="preserve">  坡地上具有生产功能的林草工程级别应按表4.2.32的规定确定。坡地上具有生产功能的林草工程设计应根据其级别，按下列规定执行：</w:t>
      </w:r>
    </w:p>
    <w:p w14:paraId="2AEF647A">
      <w:pPr>
        <w:adjustRightInd w:val="0"/>
        <w:spacing w:line="360" w:lineRule="auto"/>
        <w:ind w:firstLine="422" w:firstLineChars="200"/>
        <w:rPr>
          <w:rFonts w:ascii="Times New Roman" w:hAnsi="Times New Roman" w:cs="Times New Roman"/>
          <w:sz w:val="21"/>
          <w:szCs w:val="21"/>
        </w:rPr>
      </w:pPr>
      <w:r>
        <w:rPr>
          <w:rFonts w:ascii="Times New Roman" w:hAnsi="Times New Roman" w:cs="Times New Roman"/>
          <w:b/>
          <w:sz w:val="21"/>
          <w:szCs w:val="21"/>
        </w:rPr>
        <w:t>1</w:t>
      </w:r>
      <w:r>
        <w:rPr>
          <w:rFonts w:ascii="Times New Roman" w:hAnsi="Times New Roman" w:cs="Times New Roman"/>
          <w:sz w:val="21"/>
          <w:szCs w:val="21"/>
        </w:rPr>
        <w:t xml:space="preserve">  1级应采取措施建设高标准梯田，并应配套相应灌溉设施，灌溉保证率不应小于75%。</w:t>
      </w:r>
    </w:p>
    <w:p w14:paraId="6A750172">
      <w:pPr>
        <w:adjustRightInd w:val="0"/>
        <w:spacing w:line="360" w:lineRule="auto"/>
        <w:ind w:firstLine="422" w:firstLineChars="200"/>
        <w:rPr>
          <w:rFonts w:ascii="Times New Roman" w:hAnsi="Times New Roman" w:cs="Times New Roman"/>
          <w:sz w:val="21"/>
          <w:szCs w:val="21"/>
        </w:rPr>
      </w:pPr>
      <w:r>
        <w:rPr>
          <w:rFonts w:ascii="Times New Roman" w:hAnsi="Times New Roman" w:cs="Times New Roman"/>
          <w:b/>
          <w:sz w:val="21"/>
          <w:szCs w:val="21"/>
        </w:rPr>
        <w:t>2</w:t>
      </w:r>
      <w:r>
        <w:rPr>
          <w:rFonts w:ascii="Times New Roman" w:hAnsi="Times New Roman" w:cs="Times New Roman"/>
          <w:sz w:val="21"/>
          <w:szCs w:val="21"/>
        </w:rPr>
        <w:t xml:space="preserve">  2级应采取措施建设水平梯田，并应配套相应灌溉设施，灌溉保证率不应小于50%。</w:t>
      </w:r>
    </w:p>
    <w:p w14:paraId="0A38D531">
      <w:pPr>
        <w:adjustRightInd w:val="0"/>
        <w:spacing w:line="360" w:lineRule="auto"/>
        <w:ind w:firstLine="422" w:firstLineChars="200"/>
        <w:rPr>
          <w:rFonts w:ascii="Times New Roman" w:hAnsi="Times New Roman" w:cs="Times New Roman"/>
          <w:sz w:val="21"/>
          <w:szCs w:val="21"/>
        </w:rPr>
      </w:pPr>
      <w:r>
        <w:rPr>
          <w:rFonts w:ascii="Times New Roman" w:hAnsi="Times New Roman" w:cs="Times New Roman"/>
          <w:b/>
          <w:sz w:val="21"/>
          <w:szCs w:val="21"/>
        </w:rPr>
        <w:t>3</w:t>
      </w:r>
      <w:r>
        <w:rPr>
          <w:rFonts w:ascii="Times New Roman" w:hAnsi="Times New Roman" w:cs="Times New Roman"/>
          <w:sz w:val="21"/>
          <w:szCs w:val="21"/>
        </w:rPr>
        <w:t xml:space="preserve">  3级应采取水土保持措施，并应辅以雨水集蓄利用措施。</w:t>
      </w:r>
    </w:p>
    <w:p w14:paraId="3BA20015">
      <w:pPr>
        <w:jc w:val="center"/>
        <w:rPr>
          <w:rFonts w:ascii="Times New Roman" w:hAnsi="Times New Roman" w:eastAsia="黑体" w:cs="Times New Roman"/>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32  坡地上具有生产功能的林草工程级别</w:t>
      </w:r>
    </w:p>
    <w:tbl>
      <w:tblPr>
        <w:tblStyle w:val="10"/>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5134"/>
        <w:gridCol w:w="2230"/>
      </w:tblGrid>
      <w:tr w14:paraId="6224B7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548" w:type="pct"/>
            <w:vAlign w:val="center"/>
          </w:tcPr>
          <w:p w14:paraId="24443284">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级别</w:t>
            </w:r>
          </w:p>
        </w:tc>
        <w:tc>
          <w:tcPr>
            <w:tcW w:w="3103" w:type="pct"/>
            <w:vAlign w:val="center"/>
          </w:tcPr>
          <w:p w14:paraId="4105473A">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类别</w:t>
            </w:r>
          </w:p>
        </w:tc>
        <w:tc>
          <w:tcPr>
            <w:tcW w:w="1348" w:type="pct"/>
            <w:vAlign w:val="center"/>
          </w:tcPr>
          <w:p w14:paraId="6E9C9D42">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规模化经营程度</w:t>
            </w:r>
          </w:p>
        </w:tc>
      </w:tr>
      <w:tr w14:paraId="50B489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48" w:type="pct"/>
            <w:vAlign w:val="center"/>
          </w:tcPr>
          <w:p w14:paraId="76BE8151">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3103" w:type="pct"/>
            <w:vAlign w:val="center"/>
          </w:tcPr>
          <w:p w14:paraId="50917FE3">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果园、经济林栽培园</w:t>
            </w:r>
          </w:p>
        </w:tc>
        <w:tc>
          <w:tcPr>
            <w:tcW w:w="1348" w:type="pct"/>
            <w:vAlign w:val="center"/>
          </w:tcPr>
          <w:p w14:paraId="45FAA9E1">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规模化集约经营</w:t>
            </w:r>
          </w:p>
        </w:tc>
      </w:tr>
      <w:tr w14:paraId="56CA5F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548" w:type="pct"/>
            <w:vAlign w:val="center"/>
          </w:tcPr>
          <w:p w14:paraId="021AAB42">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3103" w:type="pct"/>
            <w:vAlign w:val="center"/>
          </w:tcPr>
          <w:p w14:paraId="55C48098">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果园、经济林栽培园、刈割草场</w:t>
            </w:r>
          </w:p>
        </w:tc>
        <w:tc>
          <w:tcPr>
            <w:tcW w:w="1348" w:type="pct"/>
            <w:vAlign w:val="center"/>
          </w:tcPr>
          <w:p w14:paraId="51A11BEE">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规模化经营</w:t>
            </w:r>
          </w:p>
        </w:tc>
      </w:tr>
      <w:tr w14:paraId="51A8B0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48" w:type="pct"/>
            <w:vAlign w:val="center"/>
          </w:tcPr>
          <w:p w14:paraId="68795CEA">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3103" w:type="pct"/>
            <w:vAlign w:val="center"/>
          </w:tcPr>
          <w:p w14:paraId="1EFEB71E">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果园、经济林栽培园、经济林、刈割草场</w:t>
            </w:r>
          </w:p>
        </w:tc>
        <w:tc>
          <w:tcPr>
            <w:tcW w:w="1348" w:type="pct"/>
            <w:vAlign w:val="center"/>
          </w:tcPr>
          <w:p w14:paraId="277324B7">
            <w:pPr>
              <w:snapToGrid w:val="0"/>
              <w:jc w:val="center"/>
              <w:rPr>
                <w:rFonts w:ascii="Times New Roman" w:hAnsi="Times New Roman" w:cs="Times New Roman"/>
                <w:kern w:val="0"/>
                <w:sz w:val="15"/>
                <w:szCs w:val="15"/>
              </w:rPr>
            </w:pPr>
            <w:r>
              <w:rPr>
                <w:rFonts w:ascii="Times New Roman" w:hAnsi="Times New Roman" w:cs="Times New Roman"/>
                <w:kern w:val="0"/>
                <w:sz w:val="15"/>
                <w:szCs w:val="15"/>
              </w:rPr>
              <w:t>其他</w:t>
            </w:r>
          </w:p>
        </w:tc>
      </w:tr>
    </w:tbl>
    <w:p w14:paraId="21070BA9">
      <w:pPr>
        <w:rPr>
          <w:rFonts w:ascii="Times New Roman" w:hAnsi="Times New Roman" w:cs="Times New Roman"/>
          <w:sz w:val="15"/>
          <w:szCs w:val="15"/>
        </w:rPr>
      </w:pPr>
    </w:p>
    <w:p w14:paraId="742F9F5A">
      <w:pPr>
        <w:keepNext/>
        <w:keepLines/>
        <w:spacing w:before="260" w:after="260" w:line="415" w:lineRule="auto"/>
        <w:jc w:val="center"/>
        <w:outlineLvl w:val="1"/>
        <w:rPr>
          <w:rFonts w:ascii="Times New Roman" w:hAnsi="Times New Roman" w:eastAsia="黑体" w:cs="Times New Roman"/>
          <w:bCs/>
          <w:sz w:val="30"/>
          <w:szCs w:val="32"/>
        </w:rPr>
      </w:pPr>
      <w:bookmarkStart w:id="69" w:name="_Toc6699"/>
      <w:bookmarkStart w:id="70" w:name="_Toc27851"/>
      <w:r>
        <w:rPr>
          <w:rFonts w:ascii="Times New Roman" w:hAnsi="Times New Roman" w:eastAsia="黑体" w:cs="Times New Roman"/>
          <w:bCs/>
          <w:sz w:val="30"/>
          <w:szCs w:val="32"/>
        </w:rPr>
        <w:t>4.3 梯田工程</w:t>
      </w:r>
      <w:bookmarkEnd w:id="69"/>
      <w:bookmarkEnd w:id="70"/>
    </w:p>
    <w:p w14:paraId="4D5AF2D7">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Ⅰ 一般规定</w:t>
      </w:r>
    </w:p>
    <w:p w14:paraId="1C7B6AD5">
      <w:pPr>
        <w:spacing w:line="360" w:lineRule="auto"/>
        <w:rPr>
          <w:rFonts w:ascii="Times New Roman" w:hAnsi="Times New Roman" w:cs="Times New Roman"/>
          <w:b/>
          <w:sz w:val="21"/>
          <w:szCs w:val="21"/>
        </w:rPr>
      </w:pPr>
      <w:r>
        <w:rPr>
          <w:rFonts w:ascii="Times New Roman" w:hAnsi="Times New Roman" w:cs="Times New Roman"/>
          <w:b/>
          <w:sz w:val="21"/>
          <w:szCs w:val="21"/>
        </w:rPr>
        <w:t>4.3.1</w:t>
      </w:r>
      <w:r>
        <w:rPr>
          <w:rFonts w:ascii="Times New Roman" w:hAnsi="Times New Roman" w:cs="Times New Roman"/>
          <w:sz w:val="21"/>
          <w:szCs w:val="21"/>
        </w:rPr>
        <w:t xml:space="preserve">  梯田设计应符合下列规定：</w:t>
      </w:r>
    </w:p>
    <w:p w14:paraId="371DBC68">
      <w:pPr>
        <w:spacing w:line="360" w:lineRule="auto"/>
        <w:ind w:firstLine="413" w:firstLineChars="196"/>
        <w:rPr>
          <w:rFonts w:ascii="Times New Roman" w:hAnsi="Times New Roman" w:cs="Times New Roman"/>
          <w:b/>
          <w:sz w:val="21"/>
          <w:szCs w:val="21"/>
        </w:rPr>
      </w:pPr>
      <w:r>
        <w:rPr>
          <w:rFonts w:ascii="Times New Roman" w:hAnsi="Times New Roman" w:cs="Times New Roman"/>
          <w:b/>
          <w:sz w:val="21"/>
          <w:szCs w:val="21"/>
        </w:rPr>
        <w:t>1</w:t>
      </w:r>
      <w:r>
        <w:rPr>
          <w:rFonts w:ascii="Times New Roman" w:hAnsi="Times New Roman" w:cs="Times New Roman"/>
          <w:sz w:val="21"/>
          <w:szCs w:val="21"/>
        </w:rPr>
        <w:t xml:space="preserve">  应分析土地资源及利用状况、结合区域经济和主导产业发展方向进行总体布置。</w:t>
      </w:r>
    </w:p>
    <w:p w14:paraId="0E364B46">
      <w:pPr>
        <w:spacing w:line="360" w:lineRule="auto"/>
        <w:ind w:firstLine="413" w:firstLineChars="196"/>
        <w:rPr>
          <w:rFonts w:ascii="Times New Roman" w:hAnsi="Times New Roman" w:cs="Times New Roman"/>
          <w:b/>
          <w:sz w:val="21"/>
          <w:szCs w:val="21"/>
        </w:rPr>
      </w:pPr>
      <w:r>
        <w:rPr>
          <w:rFonts w:ascii="Times New Roman" w:hAnsi="Times New Roman" w:cs="Times New Roman"/>
          <w:b/>
          <w:sz w:val="21"/>
          <w:szCs w:val="21"/>
        </w:rPr>
        <w:t>2</w:t>
      </w:r>
      <w:r>
        <w:rPr>
          <w:rFonts w:ascii="Times New Roman" w:hAnsi="Times New Roman" w:cs="Times New Roman"/>
          <w:sz w:val="21"/>
          <w:szCs w:val="21"/>
        </w:rPr>
        <w:t xml:space="preserve">  年降水量250mm～800mm地区宜以蓄为主、蓄排结合，配套蓄排设施。</w:t>
      </w:r>
    </w:p>
    <w:p w14:paraId="316D71A8">
      <w:pPr>
        <w:spacing w:line="360" w:lineRule="auto"/>
        <w:ind w:firstLine="413" w:firstLineChars="196"/>
        <w:rPr>
          <w:rFonts w:ascii="Times New Roman" w:hAnsi="Times New Roman" w:cs="Times New Roman"/>
          <w:b/>
          <w:sz w:val="21"/>
          <w:szCs w:val="21"/>
        </w:rPr>
      </w:pPr>
      <w:r>
        <w:rPr>
          <w:rFonts w:ascii="Times New Roman" w:hAnsi="Times New Roman" w:cs="Times New Roman"/>
          <w:b/>
          <w:sz w:val="21"/>
          <w:szCs w:val="21"/>
        </w:rPr>
        <w:t>3</w:t>
      </w:r>
      <w:r>
        <w:rPr>
          <w:rFonts w:ascii="Times New Roman" w:hAnsi="Times New Roman" w:cs="Times New Roman"/>
          <w:sz w:val="21"/>
          <w:szCs w:val="21"/>
        </w:rPr>
        <w:t xml:space="preserve">  年降水量大于800mm地区宜以排为主、蓄排结合，配套蓄排设施。</w:t>
      </w:r>
    </w:p>
    <w:p w14:paraId="2C6E30AD">
      <w:pPr>
        <w:spacing w:line="360" w:lineRule="auto"/>
        <w:rPr>
          <w:rFonts w:ascii="Times New Roman" w:hAnsi="Times New Roman" w:cs="Times New Roman"/>
          <w:b/>
          <w:sz w:val="21"/>
          <w:szCs w:val="21"/>
        </w:rPr>
      </w:pPr>
      <w:r>
        <w:rPr>
          <w:rFonts w:ascii="Times New Roman" w:hAnsi="Times New Roman" w:cs="Times New Roman"/>
          <w:b/>
          <w:sz w:val="21"/>
          <w:szCs w:val="21"/>
        </w:rPr>
        <w:t>4.3.2</w:t>
      </w:r>
      <w:r>
        <w:rPr>
          <w:rFonts w:ascii="Times New Roman" w:hAnsi="Times New Roman" w:cs="Times New Roman"/>
          <w:sz w:val="21"/>
          <w:szCs w:val="21"/>
        </w:rPr>
        <w:t xml:space="preserve">  梯田布置应符合下列规定：</w:t>
      </w:r>
    </w:p>
    <w:p w14:paraId="6BE9A1EF">
      <w:pPr>
        <w:spacing w:line="360" w:lineRule="auto"/>
        <w:ind w:firstLine="422" w:firstLineChars="200"/>
        <w:rPr>
          <w:rFonts w:ascii="Times New Roman" w:hAnsi="Times New Roman" w:cs="Times New Roman"/>
          <w:b/>
          <w:sz w:val="21"/>
          <w:szCs w:val="21"/>
        </w:rPr>
      </w:pPr>
      <w:r>
        <w:rPr>
          <w:rFonts w:ascii="Times New Roman" w:hAnsi="Times New Roman" w:cs="Times New Roman"/>
          <w:b/>
          <w:sz w:val="21"/>
          <w:szCs w:val="21"/>
        </w:rPr>
        <w:t>1</w:t>
      </w:r>
      <w:r>
        <w:rPr>
          <w:rFonts w:ascii="Times New Roman" w:hAnsi="Times New Roman" w:cs="Times New Roman"/>
          <w:sz w:val="21"/>
          <w:szCs w:val="21"/>
        </w:rPr>
        <w:t xml:space="preserve">  应根据地形条件，大弯就势、小弯取直，便于耕作和灌溉。黑土区及其它地面坡度缓平的区域田块布置应便于机械作业。</w:t>
      </w:r>
    </w:p>
    <w:p w14:paraId="493C6FA5">
      <w:pPr>
        <w:spacing w:line="360" w:lineRule="auto"/>
        <w:ind w:firstLine="422" w:firstLineChars="200"/>
        <w:rPr>
          <w:rFonts w:ascii="Times New Roman" w:hAnsi="Times New Roman" w:cs="Times New Roman"/>
          <w:b/>
          <w:sz w:val="21"/>
          <w:szCs w:val="21"/>
        </w:rPr>
      </w:pPr>
      <w:r>
        <w:rPr>
          <w:rFonts w:ascii="Times New Roman" w:hAnsi="Times New Roman" w:cs="Times New Roman"/>
          <w:b/>
          <w:sz w:val="21"/>
          <w:szCs w:val="21"/>
        </w:rPr>
        <w:t>2</w:t>
      </w:r>
      <w:r>
        <w:rPr>
          <w:rFonts w:ascii="Times New Roman" w:hAnsi="Times New Roman" w:cs="Times New Roman"/>
          <w:sz w:val="21"/>
          <w:szCs w:val="21"/>
        </w:rPr>
        <w:t xml:space="preserve">  应配套田间道路，宜配套坡面小型蓄排工程等设施，并应根据拟定的梯田等级和水源条件配套相应灌溉设施。黑土区的梯田道路设计宜满足大型机械通行要求。</w:t>
      </w:r>
    </w:p>
    <w:p w14:paraId="36AF911B">
      <w:pPr>
        <w:spacing w:line="360" w:lineRule="auto"/>
        <w:ind w:firstLine="422" w:firstLineChars="200"/>
        <w:rPr>
          <w:rFonts w:ascii="Times New Roman" w:hAnsi="Times New Roman" w:cs="Times New Roman"/>
          <w:b/>
          <w:sz w:val="21"/>
          <w:szCs w:val="21"/>
        </w:rPr>
      </w:pPr>
      <w:r>
        <w:rPr>
          <w:rFonts w:ascii="Times New Roman" w:hAnsi="Times New Roman" w:cs="Times New Roman"/>
          <w:b/>
          <w:sz w:val="21"/>
          <w:szCs w:val="21"/>
        </w:rPr>
        <w:t>3</w:t>
      </w:r>
      <w:r>
        <w:rPr>
          <w:rFonts w:ascii="Times New Roman" w:hAnsi="Times New Roman" w:cs="Times New Roman"/>
          <w:sz w:val="21"/>
          <w:szCs w:val="21"/>
        </w:rPr>
        <w:t xml:space="preserve">  梯田埂坎宜充分利用土地资源配置地埂植物，并应选用具有一定经济价值、胁地较小的埂坎植物种。</w:t>
      </w:r>
    </w:p>
    <w:p w14:paraId="6742C4CD">
      <w:pPr>
        <w:spacing w:line="360" w:lineRule="auto"/>
        <w:rPr>
          <w:rFonts w:ascii="Times New Roman" w:hAnsi="Times New Roman" w:cs="Times New Roman"/>
          <w:b/>
          <w:sz w:val="21"/>
          <w:szCs w:val="21"/>
        </w:rPr>
      </w:pPr>
      <w:r>
        <w:rPr>
          <w:rFonts w:ascii="Times New Roman" w:hAnsi="Times New Roman" w:cs="Times New Roman"/>
          <w:b/>
          <w:sz w:val="21"/>
          <w:szCs w:val="21"/>
        </w:rPr>
        <w:t>4.3.3</w:t>
      </w:r>
      <w:r>
        <w:rPr>
          <w:rFonts w:ascii="Times New Roman" w:hAnsi="Times New Roman" w:cs="Times New Roman"/>
          <w:sz w:val="21"/>
          <w:szCs w:val="21"/>
        </w:rPr>
        <w:t xml:space="preserve">  梯田型式的划分应符合下列规定：</w:t>
      </w:r>
    </w:p>
    <w:p w14:paraId="2BE5F927">
      <w:pPr>
        <w:spacing w:line="360" w:lineRule="auto"/>
        <w:ind w:firstLine="422" w:firstLineChars="200"/>
        <w:rPr>
          <w:rFonts w:ascii="Times New Roman" w:hAnsi="Times New Roman" w:cs="Times New Roman"/>
          <w:b/>
          <w:sz w:val="21"/>
          <w:szCs w:val="21"/>
        </w:rPr>
      </w:pPr>
      <w:r>
        <w:rPr>
          <w:rFonts w:ascii="Times New Roman" w:hAnsi="Times New Roman" w:cs="Times New Roman"/>
          <w:b/>
          <w:sz w:val="21"/>
          <w:szCs w:val="21"/>
        </w:rPr>
        <w:t>1</w:t>
      </w:r>
      <w:r>
        <w:rPr>
          <w:rFonts w:ascii="Times New Roman" w:hAnsi="Times New Roman" w:cs="Times New Roman"/>
          <w:sz w:val="21"/>
          <w:szCs w:val="21"/>
        </w:rPr>
        <w:t xml:space="preserve">  按梯田的断面形式可分为水平梯田、坡式梯田和隔坡梯田等型式。</w:t>
      </w:r>
    </w:p>
    <w:p w14:paraId="69D3D412">
      <w:pPr>
        <w:spacing w:line="360" w:lineRule="auto"/>
        <w:ind w:firstLine="422" w:firstLineChars="200"/>
        <w:rPr>
          <w:rFonts w:ascii="Times New Roman" w:hAnsi="Times New Roman" w:cs="Times New Roman"/>
          <w:b/>
          <w:sz w:val="21"/>
          <w:szCs w:val="21"/>
        </w:rPr>
      </w:pPr>
      <w:r>
        <w:rPr>
          <w:rFonts w:ascii="Times New Roman" w:hAnsi="Times New Roman" w:cs="Times New Roman"/>
          <w:b/>
          <w:sz w:val="21"/>
          <w:szCs w:val="21"/>
        </w:rPr>
        <w:t>2</w:t>
      </w:r>
      <w:r>
        <w:rPr>
          <w:rFonts w:ascii="Times New Roman" w:hAnsi="Times New Roman" w:cs="Times New Roman"/>
          <w:sz w:val="21"/>
          <w:szCs w:val="21"/>
        </w:rPr>
        <w:t xml:space="preserve">  按梯田田坎建筑材料可分为土坎梯田、石坎梯田、混凝土坎梯田等型式。</w:t>
      </w:r>
    </w:p>
    <w:p w14:paraId="681B7820">
      <w:pPr>
        <w:spacing w:line="360" w:lineRule="auto"/>
        <w:rPr>
          <w:rFonts w:ascii="Times New Roman" w:hAnsi="Times New Roman" w:cs="Times New Roman"/>
          <w:b/>
          <w:sz w:val="21"/>
          <w:szCs w:val="21"/>
        </w:rPr>
      </w:pPr>
      <w:r>
        <w:rPr>
          <w:rFonts w:ascii="Times New Roman" w:hAnsi="Times New Roman" w:cs="Times New Roman"/>
          <w:b/>
          <w:sz w:val="21"/>
          <w:szCs w:val="21"/>
        </w:rPr>
        <w:t>4.3.4</w:t>
      </w:r>
      <w:r>
        <w:rPr>
          <w:rFonts w:ascii="Times New Roman" w:hAnsi="Times New Roman" w:cs="Times New Roman"/>
          <w:sz w:val="21"/>
          <w:szCs w:val="21"/>
        </w:rPr>
        <w:t xml:space="preserve">  梯田选型应符合下列规定：</w:t>
      </w:r>
    </w:p>
    <w:p w14:paraId="11646B21">
      <w:pPr>
        <w:spacing w:line="360" w:lineRule="auto"/>
        <w:ind w:firstLine="413" w:firstLineChars="196"/>
        <w:rPr>
          <w:rFonts w:ascii="Times New Roman" w:hAnsi="Times New Roman" w:cs="Times New Roman"/>
          <w:b/>
          <w:sz w:val="21"/>
          <w:szCs w:val="21"/>
        </w:rPr>
      </w:pPr>
      <w:r>
        <w:rPr>
          <w:rFonts w:ascii="Times New Roman" w:hAnsi="Times New Roman" w:cs="Times New Roman"/>
          <w:b/>
          <w:sz w:val="21"/>
          <w:szCs w:val="21"/>
        </w:rPr>
        <w:t>1</w:t>
      </w:r>
      <w:r>
        <w:rPr>
          <w:rFonts w:ascii="Times New Roman" w:hAnsi="Times New Roman" w:cs="Times New Roman"/>
          <w:sz w:val="21"/>
          <w:szCs w:val="21"/>
        </w:rPr>
        <w:t xml:space="preserve">  坡耕地改造应优先采用水平梯田；土层较薄或坡度较陡的坡耕地、荒坡地可视具体情况采用坡式梯田；干旱、人均耕地较少的丘陵山区，坡度不应大于20°的坡耕地或荒坡地可采用隔坡梯田。</w:t>
      </w:r>
    </w:p>
    <w:p w14:paraId="1532ACCE">
      <w:pPr>
        <w:spacing w:line="360" w:lineRule="auto"/>
        <w:ind w:firstLine="413" w:firstLineChars="196"/>
        <w:rPr>
          <w:rFonts w:ascii="Times New Roman" w:hAnsi="Times New Roman" w:cs="Times New Roman"/>
          <w:b/>
          <w:sz w:val="21"/>
          <w:szCs w:val="21"/>
        </w:rPr>
      </w:pPr>
      <w:r>
        <w:rPr>
          <w:rFonts w:ascii="Times New Roman" w:hAnsi="Times New Roman" w:cs="Times New Roman"/>
          <w:b/>
          <w:sz w:val="21"/>
          <w:szCs w:val="21"/>
        </w:rPr>
        <w:t>2</w:t>
      </w:r>
      <w:r>
        <w:rPr>
          <w:rFonts w:ascii="Times New Roman" w:hAnsi="Times New Roman" w:cs="Times New Roman"/>
          <w:sz w:val="21"/>
          <w:szCs w:val="21"/>
        </w:rPr>
        <w:t xml:space="preserve">  黑土区中，坡度大于6°、土层厚度不小于0.2m的缓坡地，以及坡度不小于8°、土层厚度不小于0.3m的山区，宜采用水平或坡式梯田。</w:t>
      </w:r>
    </w:p>
    <w:p w14:paraId="6EE705E0">
      <w:pPr>
        <w:spacing w:line="360" w:lineRule="auto"/>
        <w:ind w:firstLine="413" w:firstLineChars="196"/>
        <w:rPr>
          <w:rFonts w:ascii="Times New Roman" w:hAnsi="Times New Roman" w:cs="Times New Roman"/>
          <w:b/>
          <w:sz w:val="21"/>
          <w:szCs w:val="21"/>
        </w:rPr>
      </w:pPr>
      <w:r>
        <w:rPr>
          <w:rFonts w:ascii="Times New Roman" w:hAnsi="Times New Roman" w:cs="Times New Roman"/>
          <w:b/>
          <w:sz w:val="21"/>
          <w:szCs w:val="21"/>
        </w:rPr>
        <w:t>3</w:t>
      </w:r>
      <w:r>
        <w:rPr>
          <w:rFonts w:ascii="Times New Roman" w:hAnsi="Times New Roman" w:cs="Times New Roman"/>
          <w:sz w:val="21"/>
          <w:szCs w:val="21"/>
        </w:rPr>
        <w:t xml:space="preserve">  应优先选用当地材料梯田型式。</w:t>
      </w:r>
    </w:p>
    <w:p w14:paraId="0B6BFFDD">
      <w:pPr>
        <w:spacing w:line="360" w:lineRule="auto"/>
        <w:rPr>
          <w:rFonts w:ascii="Times New Roman" w:hAnsi="Times New Roman" w:cs="Times New Roman"/>
          <w:b/>
          <w:sz w:val="21"/>
          <w:szCs w:val="21"/>
        </w:rPr>
      </w:pPr>
      <w:r>
        <w:rPr>
          <w:rFonts w:ascii="Times New Roman" w:hAnsi="Times New Roman" w:cs="Times New Roman"/>
          <w:b/>
          <w:sz w:val="21"/>
          <w:szCs w:val="21"/>
        </w:rPr>
        <w:t xml:space="preserve">4.3.5 </w:t>
      </w:r>
      <w:r>
        <w:rPr>
          <w:rFonts w:ascii="Times New Roman" w:hAnsi="Times New Roman" w:cs="Times New Roman"/>
          <w:sz w:val="21"/>
          <w:szCs w:val="21"/>
        </w:rPr>
        <w:t xml:space="preserve"> 田面净宽应根据梯田工程级别提出初步指标，结合地面坡度、土层厚度等因素分析确定。</w:t>
      </w:r>
    </w:p>
    <w:p w14:paraId="2C1F3F55">
      <w:pPr>
        <w:spacing w:line="360" w:lineRule="auto"/>
        <w:rPr>
          <w:rFonts w:ascii="Times New Roman" w:hAnsi="Times New Roman" w:cs="Times New Roman"/>
          <w:b/>
          <w:sz w:val="21"/>
          <w:szCs w:val="21"/>
        </w:rPr>
      </w:pPr>
      <w:r>
        <w:rPr>
          <w:rFonts w:ascii="Times New Roman" w:hAnsi="Times New Roman" w:cs="Times New Roman"/>
          <w:b/>
          <w:sz w:val="21"/>
          <w:szCs w:val="21"/>
        </w:rPr>
        <w:t xml:space="preserve">4.3.6 </w:t>
      </w:r>
      <w:r>
        <w:rPr>
          <w:rFonts w:ascii="Times New Roman" w:hAnsi="Times New Roman" w:cs="Times New Roman"/>
          <w:sz w:val="21"/>
          <w:szCs w:val="21"/>
        </w:rPr>
        <w:t xml:space="preserve"> 梯田设计基本资料应满足下列要求：</w:t>
      </w:r>
    </w:p>
    <w:p w14:paraId="3EFD6353">
      <w:pPr>
        <w:spacing w:line="360" w:lineRule="auto"/>
        <w:ind w:firstLine="413" w:firstLineChars="196"/>
        <w:rPr>
          <w:rFonts w:ascii="Times New Roman" w:hAnsi="Times New Roman" w:cs="Times New Roman"/>
          <w:b/>
          <w:sz w:val="21"/>
          <w:szCs w:val="21"/>
        </w:rPr>
      </w:pPr>
      <w:r>
        <w:rPr>
          <w:rFonts w:ascii="Times New Roman" w:hAnsi="Times New Roman" w:cs="Times New Roman"/>
          <w:b/>
          <w:sz w:val="21"/>
          <w:szCs w:val="21"/>
        </w:rPr>
        <w:t>1</w:t>
      </w:r>
      <w:r>
        <w:rPr>
          <w:rFonts w:ascii="Times New Roman" w:hAnsi="Times New Roman" w:cs="Times New Roman"/>
          <w:sz w:val="21"/>
          <w:szCs w:val="21"/>
        </w:rPr>
        <w:t xml:space="preserve">  地质地貌资料，应包括1:5000～1:1000地形图，地质及土壤条件等。</w:t>
      </w:r>
    </w:p>
    <w:p w14:paraId="507871AA">
      <w:pPr>
        <w:spacing w:line="360" w:lineRule="auto"/>
        <w:ind w:firstLine="413" w:firstLineChars="196"/>
        <w:rPr>
          <w:rFonts w:ascii="Times New Roman" w:hAnsi="Times New Roman" w:cs="Times New Roman"/>
          <w:b/>
          <w:sz w:val="21"/>
          <w:szCs w:val="21"/>
        </w:rPr>
      </w:pPr>
      <w:r>
        <w:rPr>
          <w:rFonts w:ascii="Times New Roman" w:hAnsi="Times New Roman" w:cs="Times New Roman"/>
          <w:b/>
          <w:sz w:val="21"/>
          <w:szCs w:val="21"/>
        </w:rPr>
        <w:t>2</w:t>
      </w:r>
      <w:r>
        <w:rPr>
          <w:rFonts w:ascii="Times New Roman" w:hAnsi="Times New Roman" w:cs="Times New Roman"/>
          <w:sz w:val="21"/>
          <w:szCs w:val="21"/>
        </w:rPr>
        <w:t xml:space="preserve">  水文气象资料，应包括降水、暴雨和气温等。</w:t>
      </w:r>
    </w:p>
    <w:p w14:paraId="5A8305C7">
      <w:pPr>
        <w:spacing w:line="360" w:lineRule="auto"/>
        <w:ind w:firstLine="413" w:firstLineChars="196"/>
        <w:rPr>
          <w:rFonts w:ascii="Times New Roman" w:hAnsi="Times New Roman" w:cs="Times New Roman"/>
          <w:b/>
          <w:sz w:val="21"/>
          <w:szCs w:val="21"/>
        </w:rPr>
      </w:pPr>
      <w:r>
        <w:rPr>
          <w:rFonts w:ascii="Times New Roman" w:hAnsi="Times New Roman" w:cs="Times New Roman"/>
          <w:b/>
          <w:sz w:val="21"/>
          <w:szCs w:val="21"/>
        </w:rPr>
        <w:t>3</w:t>
      </w:r>
      <w:r>
        <w:rPr>
          <w:rFonts w:ascii="Times New Roman" w:hAnsi="Times New Roman" w:cs="Times New Roman"/>
          <w:sz w:val="21"/>
          <w:szCs w:val="21"/>
        </w:rPr>
        <w:t xml:space="preserve">  建筑材料，应包括土、砂、水泥、石料的分布、性质及储量等。</w:t>
      </w:r>
    </w:p>
    <w:p w14:paraId="2A6DA685">
      <w:pPr>
        <w:spacing w:line="360" w:lineRule="auto"/>
        <w:ind w:firstLine="413" w:firstLineChars="196"/>
        <w:rPr>
          <w:rFonts w:ascii="Times New Roman" w:hAnsi="Times New Roman" w:cs="Times New Roman"/>
          <w:b/>
          <w:sz w:val="21"/>
          <w:szCs w:val="21"/>
        </w:rPr>
      </w:pPr>
      <w:r>
        <w:rPr>
          <w:rFonts w:ascii="Times New Roman" w:hAnsi="Times New Roman" w:cs="Times New Roman"/>
          <w:b/>
          <w:sz w:val="21"/>
          <w:szCs w:val="21"/>
        </w:rPr>
        <w:t>4</w:t>
      </w:r>
      <w:r>
        <w:rPr>
          <w:rFonts w:ascii="Times New Roman" w:hAnsi="Times New Roman" w:cs="Times New Roman"/>
          <w:sz w:val="21"/>
          <w:szCs w:val="21"/>
        </w:rPr>
        <w:t xml:space="preserve">  社经资料，应包括建设区人口、经济、土地利用、交通、电力以及当地建筑材料价格等。</w:t>
      </w:r>
    </w:p>
    <w:p w14:paraId="2677613F">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Ⅱ 断面设计</w:t>
      </w:r>
    </w:p>
    <w:p w14:paraId="35071AD5">
      <w:pPr>
        <w:snapToGrid w:val="0"/>
        <w:spacing w:line="360" w:lineRule="auto"/>
        <w:rPr>
          <w:rFonts w:ascii="Times New Roman" w:hAnsi="Times New Roman" w:cs="Times New Roman"/>
          <w:b/>
          <w:sz w:val="24"/>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cs="Times New Roman"/>
          <w:b/>
          <w:sz w:val="21"/>
          <w:szCs w:val="21"/>
        </w:rPr>
        <w:t>.</w:t>
      </w:r>
      <w:r>
        <w:rPr>
          <w:rFonts w:ascii="Times New Roman" w:hAnsi="Times New Roman" w:eastAsia="黑体" w:cs="Times New Roman"/>
          <w:b/>
          <w:sz w:val="21"/>
          <w:szCs w:val="21"/>
        </w:rPr>
        <w:t>7</w:t>
      </w:r>
      <w:r>
        <w:rPr>
          <w:rFonts w:ascii="Times New Roman" w:hAnsi="Times New Roman" w:cs="Times New Roman"/>
          <w:sz w:val="21"/>
          <w:szCs w:val="21"/>
        </w:rPr>
        <w:t xml:space="preserve">  水平梯田断面（图4.3.7）设计应符合下列规定：</w:t>
      </w:r>
    </w:p>
    <w:p w14:paraId="5C228A0B">
      <w:pPr>
        <w:snapToGrid w:val="0"/>
        <w:jc w:val="center"/>
        <w:rPr>
          <w:rFonts w:ascii="Times New Roman" w:hAnsi="Times New Roman" w:cs="Times New Roman"/>
          <w:b/>
          <w:sz w:val="24"/>
          <w:szCs w:val="24"/>
        </w:rPr>
      </w:pPr>
      <w:r>
        <w:rPr>
          <w:rFonts w:ascii="Times New Roman" w:hAnsi="Times New Roman" w:cs="Times New Roman"/>
          <w:b/>
          <w:sz w:val="24"/>
          <w:szCs w:val="24"/>
        </w:rPr>
        <w:object>
          <v:shape id="_x0000_i1025" o:spt="75" type="#_x0000_t75" style="height:123pt;width:216pt;" o:ole="t" filled="f" o:preferrelative="t" stroked="f" coordsize="21600,21600">
            <v:path/>
            <v:fill on="f" focussize="0,0"/>
            <v:stroke on="f" joinstyle="miter"/>
            <v:imagedata r:id="rId20" embosscolor="#FFFFFF" o:title=""/>
            <o:lock v:ext="edit" aspectratio="t"/>
            <w10:wrap type="none"/>
            <w10:anchorlock/>
          </v:shape>
          <o:OLEObject Type="Embed" ProgID="Photoshop.Image.7" ShapeID="_x0000_i1025" DrawAspect="Content" ObjectID="_1468075725" r:id="rId19">
            <o:LockedField>false</o:LockedField>
          </o:OLEObject>
        </w:object>
      </w:r>
    </w:p>
    <w:p w14:paraId="30F0B5EC">
      <w:pPr>
        <w:ind w:firstLine="529" w:firstLineChars="294"/>
        <w:jc w:val="center"/>
        <w:rPr>
          <w:rFonts w:ascii="Times New Roman" w:hAnsi="Times New Roman" w:eastAsia="黑体" w:cs="Times New Roman"/>
          <w:b/>
          <w:sz w:val="18"/>
          <w:szCs w:val="18"/>
        </w:rPr>
      </w:pPr>
      <w:r>
        <w:rPr>
          <w:rFonts w:ascii="Times New Roman" w:hAnsi="Times New Roman" w:eastAsia="黑体" w:cs="Times New Roman"/>
          <w:sz w:val="18"/>
          <w:szCs w:val="18"/>
        </w:rPr>
        <w:t>图4</w:t>
      </w:r>
      <w:r>
        <w:rPr>
          <w:rFonts w:ascii="Times New Roman" w:hAnsi="Times New Roman" w:cs="Times New Roman"/>
          <w:sz w:val="18"/>
          <w:szCs w:val="18"/>
        </w:rPr>
        <w:t>.</w:t>
      </w:r>
      <w:r>
        <w:rPr>
          <w:rFonts w:ascii="Times New Roman" w:hAnsi="Times New Roman" w:eastAsia="黑体" w:cs="Times New Roman"/>
          <w:sz w:val="18"/>
          <w:szCs w:val="18"/>
        </w:rPr>
        <w:t>3</w:t>
      </w:r>
      <w:r>
        <w:rPr>
          <w:rFonts w:ascii="Times New Roman" w:hAnsi="Times New Roman" w:cs="Times New Roman"/>
          <w:sz w:val="18"/>
          <w:szCs w:val="18"/>
        </w:rPr>
        <w:t>.</w:t>
      </w:r>
      <w:r>
        <w:rPr>
          <w:rFonts w:ascii="Times New Roman" w:hAnsi="Times New Roman" w:eastAsia="黑体" w:cs="Times New Roman"/>
          <w:sz w:val="18"/>
          <w:szCs w:val="18"/>
        </w:rPr>
        <w:t>7  水平梯田断面</w:t>
      </w:r>
    </w:p>
    <w:p w14:paraId="52531FD2">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1"/>
        </w:rPr>
        <w:t>1</w:t>
      </w:r>
      <w:r>
        <w:rPr>
          <w:rFonts w:ascii="Times New Roman" w:hAnsi="Times New Roman" w:cs="Times New Roman"/>
          <w:sz w:val="21"/>
          <w:szCs w:val="24"/>
        </w:rPr>
        <w:t xml:space="preserve">  石坎梯田断面设计应符合下列规定：</w:t>
      </w:r>
    </w:p>
    <w:p w14:paraId="5ACAC64C">
      <w:pPr>
        <w:spacing w:line="360" w:lineRule="auto"/>
        <w:ind w:left="1038" w:leftChars="258" w:hanging="316" w:hangingChars="150"/>
        <w:rPr>
          <w:rFonts w:ascii="Times New Roman" w:hAnsi="Times New Roman" w:cs="Times New Roman"/>
          <w:b/>
          <w:sz w:val="24"/>
          <w:szCs w:val="24"/>
        </w:rPr>
      </w:pPr>
      <w:r>
        <w:rPr>
          <w:rFonts w:ascii="Times New Roman" w:hAnsi="Times New Roman" w:eastAsia="黑体" w:cs="Times New Roman"/>
          <w:b/>
          <w:sz w:val="21"/>
          <w:szCs w:val="21"/>
        </w:rPr>
        <w:t>1</w:t>
      </w:r>
      <w:r>
        <w:rPr>
          <w:rFonts w:hint="eastAsia" w:asciiTheme="majorEastAsia" w:hAnsiTheme="majorEastAsia" w:eastAsiaTheme="majorEastAsia" w:cstheme="majorEastAsia"/>
          <w:bCs/>
          <w:sz w:val="21"/>
          <w:szCs w:val="21"/>
        </w:rPr>
        <w:t>）</w:t>
      </w:r>
      <w:r>
        <w:rPr>
          <w:rFonts w:ascii="Times New Roman" w:hAnsi="Times New Roman" w:cs="Times New Roman"/>
          <w:sz w:val="21"/>
          <w:szCs w:val="24"/>
        </w:rPr>
        <w:t>田坎高度应根据地面坡度、土层厚度、梯田级别等因素合理确定，其范围宜取1.2m～2.5m，田埂高度宜取0.3m～0.5m；</w:t>
      </w:r>
    </w:p>
    <w:p w14:paraId="147D22B5">
      <w:pPr>
        <w:spacing w:line="360" w:lineRule="auto"/>
        <w:ind w:left="1038" w:leftChars="258" w:hanging="316" w:hangingChars="150"/>
        <w:rPr>
          <w:rFonts w:ascii="Times New Roman" w:hAnsi="Times New Roman" w:cs="Times New Roman"/>
          <w:b/>
          <w:sz w:val="24"/>
          <w:szCs w:val="24"/>
        </w:rPr>
      </w:pPr>
      <w:r>
        <w:rPr>
          <w:rFonts w:ascii="Times New Roman" w:hAnsi="Times New Roman" w:eastAsia="黑体" w:cs="Times New Roman"/>
          <w:b/>
          <w:sz w:val="21"/>
          <w:szCs w:val="21"/>
        </w:rPr>
        <w:t>2</w:t>
      </w:r>
      <w:r>
        <w:rPr>
          <w:rFonts w:hint="eastAsia" w:ascii="宋体" w:hAnsi="宋体"/>
          <w:sz w:val="21"/>
          <w:szCs w:val="21"/>
        </w:rPr>
        <w:t>）</w:t>
      </w:r>
      <w:r>
        <w:rPr>
          <w:rFonts w:ascii="Times New Roman" w:hAnsi="Times New Roman" w:cs="Times New Roman"/>
          <w:sz w:val="21"/>
          <w:szCs w:val="24"/>
        </w:rPr>
        <w:t>田坎坎顶宽度应为0.3m～0.5m，需与生产路、灌溉系统结合布置时应适当加宽；</w:t>
      </w:r>
    </w:p>
    <w:p w14:paraId="0915FCA4">
      <w:pPr>
        <w:spacing w:line="360" w:lineRule="auto"/>
        <w:ind w:left="1038" w:leftChars="258" w:hanging="316" w:hangingChars="150"/>
        <w:rPr>
          <w:rFonts w:ascii="Times New Roman" w:hAnsi="Times New Roman" w:cs="Times New Roman"/>
          <w:b/>
          <w:sz w:val="24"/>
          <w:szCs w:val="24"/>
        </w:rPr>
      </w:pPr>
      <w:r>
        <w:rPr>
          <w:rFonts w:ascii="Times New Roman" w:hAnsi="Times New Roman" w:eastAsia="黑体" w:cs="Times New Roman"/>
          <w:b/>
          <w:sz w:val="21"/>
          <w:szCs w:val="21"/>
        </w:rPr>
        <w:t>3</w:t>
      </w:r>
      <w:r>
        <w:rPr>
          <w:rFonts w:hint="eastAsia" w:ascii="宋体" w:hAnsi="宋体"/>
          <w:sz w:val="21"/>
          <w:szCs w:val="21"/>
        </w:rPr>
        <w:t>）</w:t>
      </w:r>
      <w:r>
        <w:rPr>
          <w:rFonts w:ascii="Times New Roman" w:hAnsi="Times New Roman" w:cs="Times New Roman"/>
          <w:sz w:val="21"/>
          <w:szCs w:val="24"/>
        </w:rPr>
        <w:t>田坎外侧坡比宜取1:0.1～1:0.25，当田坎高度大于2.0m时，内侧坡比宜取1：0.1；</w:t>
      </w:r>
    </w:p>
    <w:p w14:paraId="2C66A48F">
      <w:pPr>
        <w:spacing w:line="360" w:lineRule="auto"/>
        <w:ind w:left="1038" w:leftChars="258" w:hanging="316" w:hangingChars="150"/>
        <w:rPr>
          <w:rFonts w:ascii="Times New Roman" w:hAnsi="Times New Roman" w:cs="Times New Roman"/>
          <w:b/>
          <w:sz w:val="24"/>
          <w:szCs w:val="24"/>
        </w:rPr>
      </w:pPr>
      <w:r>
        <w:rPr>
          <w:rFonts w:ascii="Times New Roman" w:hAnsi="Times New Roman" w:eastAsia="黑体" w:cs="Times New Roman"/>
          <w:b/>
          <w:sz w:val="21"/>
          <w:szCs w:val="21"/>
        </w:rPr>
        <w:t>4</w:t>
      </w:r>
      <w:r>
        <w:rPr>
          <w:rFonts w:hint="eastAsia" w:ascii="宋体" w:hAnsi="宋体"/>
          <w:sz w:val="21"/>
          <w:szCs w:val="21"/>
        </w:rPr>
        <w:t>）</w:t>
      </w:r>
      <w:r>
        <w:rPr>
          <w:rFonts w:ascii="Times New Roman" w:hAnsi="Times New Roman" w:cs="Times New Roman"/>
          <w:sz w:val="21"/>
          <w:szCs w:val="24"/>
        </w:rPr>
        <w:t>田坎基础应置于硬基之上，软基基础深不应小于0.5m，基面应外高内低，宽度应根据田坎顶宽及田坎侧坡坡比确定；</w:t>
      </w:r>
    </w:p>
    <w:p w14:paraId="482D7157">
      <w:pPr>
        <w:spacing w:line="360" w:lineRule="auto"/>
        <w:ind w:left="1038" w:leftChars="258" w:hanging="316" w:hangingChars="150"/>
        <w:rPr>
          <w:rFonts w:ascii="Times New Roman" w:hAnsi="Times New Roman" w:cs="Times New Roman"/>
          <w:b/>
          <w:sz w:val="24"/>
          <w:szCs w:val="24"/>
        </w:rPr>
      </w:pPr>
      <w:r>
        <w:rPr>
          <w:rFonts w:ascii="Times New Roman" w:hAnsi="Times New Roman" w:eastAsia="黑体" w:cs="Times New Roman"/>
          <w:b/>
          <w:sz w:val="21"/>
          <w:szCs w:val="21"/>
        </w:rPr>
        <w:t>5</w:t>
      </w:r>
      <w:r>
        <w:rPr>
          <w:rFonts w:hint="eastAsia" w:ascii="宋体" w:hAnsi="宋体"/>
          <w:sz w:val="21"/>
          <w:szCs w:val="21"/>
        </w:rPr>
        <w:t>）</w:t>
      </w:r>
      <w:r>
        <w:rPr>
          <w:rFonts w:ascii="Times New Roman" w:hAnsi="Times New Roman" w:cs="Times New Roman"/>
          <w:sz w:val="21"/>
          <w:szCs w:val="24"/>
        </w:rPr>
        <w:t>田面应外高内低，比降宜取1:300～1:500，田面内侧设排水沟。梯田断面设计应结合土层厚度，修平后内侧活土层厚应大于0.3m，</w:t>
      </w:r>
      <w:r>
        <w:rPr>
          <w:rFonts w:ascii="Times New Roman" w:hAnsi="Times New Roman" w:cs="Times New Roman"/>
          <w:sz w:val="21"/>
          <w:szCs w:val="28"/>
        </w:rPr>
        <w:t>田面净度和田坎高度应按下列公式计算：</w:t>
      </w:r>
    </w:p>
    <w:p w14:paraId="79ACD351">
      <w:pPr>
        <w:snapToGrid w:val="0"/>
        <w:spacing w:line="360" w:lineRule="auto"/>
        <w:ind w:firstLine="569" w:firstLineChars="270"/>
        <w:jc w:val="right"/>
        <w:rPr>
          <w:rFonts w:ascii="Times New Roman" w:hAnsi="Times New Roman" w:cs="Times New Roman"/>
          <w:b/>
          <w:sz w:val="24"/>
          <w:szCs w:val="28"/>
        </w:rPr>
      </w:pPr>
      <w:r>
        <w:rPr>
          <w:rFonts w:hint="eastAsia" w:ascii="宋体" w:hAnsi="宋体"/>
          <w:b/>
          <w:position w:val="-10"/>
          <w:sz w:val="21"/>
          <w:szCs w:val="28"/>
        </w:rPr>
        <w:object>
          <v:shape id="_x0000_i1026" o:spt="75" type="#_x0000_t75" style="height:13.8pt;width:90.6pt;" o:ole="t" filled="f" o:preferrelative="t" stroked="f" coordsize="21600,21600">
            <v:path/>
            <v:fill on="f" focussize="0,0"/>
            <v:stroke on="f" joinstyle="miter"/>
            <v:imagedata r:id="rId22" o:title=""/>
            <o:lock v:ext="edit" aspectratio="t"/>
            <w10:wrap type="none"/>
            <w10:anchorlock/>
          </v:shape>
          <o:OLEObject Type="Embed" ProgID="Equation.3" ShapeID="_x0000_i1026" DrawAspect="Content" ObjectID="_1468075726" r:id="rId21">
            <o:LockedField>false</o:LockedField>
          </o:OLEObject>
        </w:object>
      </w:r>
      <w:r>
        <w:rPr>
          <w:rFonts w:ascii="Times New Roman" w:hAnsi="Times New Roman" w:cs="Times New Roman"/>
          <w:sz w:val="21"/>
          <w:szCs w:val="28"/>
        </w:rPr>
        <w:t xml:space="preserve">                       </w:t>
      </w:r>
      <w:r>
        <w:rPr>
          <w:rFonts w:hint="eastAsia" w:ascii="Times New Roman" w:hAnsi="Times New Roman" w:cs="Times New Roman"/>
          <w:sz w:val="21"/>
          <w:szCs w:val="28"/>
        </w:rPr>
        <w:t>（</w:t>
      </w:r>
      <w:r>
        <w:rPr>
          <w:rFonts w:ascii="Times New Roman" w:hAnsi="Times New Roman" w:cs="Times New Roman"/>
          <w:sz w:val="21"/>
          <w:szCs w:val="28"/>
        </w:rPr>
        <w:t>4.3.7-1</w:t>
      </w:r>
      <w:r>
        <w:rPr>
          <w:rFonts w:hint="eastAsia" w:ascii="Times New Roman" w:hAnsi="Times New Roman" w:cs="Times New Roman"/>
          <w:sz w:val="21"/>
          <w:szCs w:val="28"/>
        </w:rPr>
        <w:t>）</w:t>
      </w:r>
    </w:p>
    <w:p w14:paraId="54D62231">
      <w:pPr>
        <w:snapToGrid w:val="0"/>
        <w:spacing w:line="360" w:lineRule="auto"/>
        <w:ind w:firstLine="569" w:firstLineChars="270"/>
        <w:jc w:val="right"/>
        <w:rPr>
          <w:rFonts w:ascii="Times New Roman" w:hAnsi="Times New Roman" w:cs="Times New Roman"/>
          <w:b/>
          <w:sz w:val="24"/>
          <w:szCs w:val="28"/>
        </w:rPr>
      </w:pPr>
      <w:r>
        <w:rPr>
          <w:rFonts w:ascii="Times New Roman" w:hAnsi="Times New Roman" w:cs="Times New Roman"/>
          <w:b/>
          <w:position w:val="-10"/>
          <w:sz w:val="21"/>
          <w:szCs w:val="28"/>
        </w:rPr>
        <w:object>
          <v:shape id="_x0000_i1027" o:spt="75" type="#_x0000_t75" style="height:13.8pt;width:84.55pt;" o:ole="t" filled="f" o:preferrelative="t" stroked="f" coordsize="21600,21600">
            <v:path/>
            <v:fill on="f" focussize="0,0"/>
            <v:stroke on="f" joinstyle="miter"/>
            <v:imagedata r:id="rId24" embosscolor="#FFFFFF" o:title=""/>
            <o:lock v:ext="edit" aspectratio="t"/>
            <w10:wrap type="none"/>
            <w10:anchorlock/>
          </v:shape>
          <o:OLEObject Type="Embed" ProgID="Equation.3" ShapeID="_x0000_i1027" DrawAspect="Content" ObjectID="_1468075727" r:id="rId23">
            <o:LockedField>false</o:LockedField>
          </o:OLEObject>
        </w:object>
      </w:r>
      <w:r>
        <w:rPr>
          <w:rFonts w:ascii="Times New Roman" w:hAnsi="Times New Roman" w:cs="Times New Roman"/>
          <w:sz w:val="21"/>
          <w:szCs w:val="28"/>
        </w:rPr>
        <w:t xml:space="preserve">                         </w:t>
      </w:r>
      <w:r>
        <w:rPr>
          <w:rFonts w:hint="eastAsia" w:ascii="Times New Roman" w:hAnsi="Times New Roman" w:cs="Times New Roman"/>
          <w:iCs/>
          <w:sz w:val="21"/>
          <w:szCs w:val="21"/>
        </w:rPr>
        <w:t>（</w:t>
      </w:r>
      <w:r>
        <w:rPr>
          <w:rFonts w:ascii="Times New Roman" w:hAnsi="Times New Roman" w:cs="Times New Roman"/>
          <w:iCs/>
          <w:sz w:val="21"/>
          <w:szCs w:val="21"/>
        </w:rPr>
        <w:t>4.3.7-2</w:t>
      </w:r>
      <w:r>
        <w:rPr>
          <w:rFonts w:hint="eastAsia" w:ascii="Times New Roman" w:hAnsi="Times New Roman" w:cs="Times New Roman"/>
          <w:iCs/>
          <w:sz w:val="21"/>
          <w:szCs w:val="21"/>
        </w:rPr>
        <w:t>）</w:t>
      </w:r>
    </w:p>
    <w:p w14:paraId="57E9079E">
      <w:pPr>
        <w:snapToGrid w:val="0"/>
        <w:spacing w:line="360" w:lineRule="auto"/>
        <w:ind w:firstLine="651" w:firstLineChars="270"/>
        <w:jc w:val="right"/>
        <w:rPr>
          <w:rFonts w:ascii="Times New Roman" w:hAnsi="Times New Roman" w:cs="Times New Roman"/>
          <w:b/>
          <w:sz w:val="24"/>
          <w:szCs w:val="28"/>
        </w:rPr>
      </w:pPr>
    </w:p>
    <w:p w14:paraId="65780E34">
      <w:pPr>
        <w:spacing w:line="360" w:lineRule="auto"/>
        <w:rPr>
          <w:rFonts w:ascii="Times New Roman" w:hAnsi="Times New Roman" w:cs="Times New Roman"/>
          <w:b/>
          <w:sz w:val="24"/>
          <w:szCs w:val="28"/>
        </w:rPr>
      </w:pPr>
      <w:r>
        <w:rPr>
          <w:rFonts w:ascii="Times New Roman" w:hAnsi="Times New Roman" w:cs="Times New Roman"/>
          <w:sz w:val="21"/>
          <w:szCs w:val="28"/>
        </w:rPr>
        <w:t>式中：</w:t>
      </w:r>
      <w:r>
        <w:rPr>
          <w:rFonts w:ascii="Times New Roman" w:hAnsi="Times New Roman" w:cs="Times New Roman"/>
          <w:i/>
          <w:sz w:val="21"/>
          <w:szCs w:val="28"/>
        </w:rPr>
        <w:t>B</w:t>
      </w:r>
      <w:r>
        <w:rPr>
          <w:rFonts w:ascii="Times New Roman" w:hAnsi="Times New Roman" w:cs="Times New Roman"/>
          <w:sz w:val="21"/>
          <w:szCs w:val="21"/>
        </w:rPr>
        <w:t>——</w:t>
      </w:r>
      <w:r>
        <w:rPr>
          <w:rFonts w:ascii="Times New Roman" w:hAnsi="Times New Roman" w:cs="Times New Roman"/>
          <w:sz w:val="21"/>
          <w:szCs w:val="28"/>
        </w:rPr>
        <w:t>田面净宽</w:t>
      </w:r>
      <w:r>
        <w:rPr>
          <w:rFonts w:ascii="Times New Roman" w:hAnsi="Times New Roman" w:cs="Times New Roman"/>
          <w:sz w:val="21"/>
          <w:szCs w:val="21"/>
        </w:rPr>
        <w:t>（</w:t>
      </w:r>
      <w:r>
        <w:rPr>
          <w:rFonts w:ascii="Times New Roman" w:hAnsi="Times New Roman" w:cs="Times New Roman"/>
          <w:sz w:val="21"/>
          <w:szCs w:val="28"/>
        </w:rPr>
        <w:t>m）；</w:t>
      </w:r>
    </w:p>
    <w:p w14:paraId="570863D8">
      <w:pPr>
        <w:spacing w:line="360" w:lineRule="auto"/>
        <w:ind w:firstLine="630" w:firstLineChars="300"/>
        <w:rPr>
          <w:rFonts w:ascii="Times New Roman" w:hAnsi="Times New Roman" w:cs="Times New Roman"/>
          <w:b/>
          <w:sz w:val="24"/>
          <w:szCs w:val="28"/>
        </w:rPr>
      </w:pPr>
      <w:r>
        <w:rPr>
          <w:rFonts w:ascii="Times New Roman" w:hAnsi="Times New Roman" w:cs="Times New Roman"/>
          <w:i/>
          <w:sz w:val="21"/>
          <w:szCs w:val="28"/>
        </w:rPr>
        <w:t>T</w:t>
      </w:r>
      <w:r>
        <w:rPr>
          <w:rFonts w:ascii="Times New Roman" w:hAnsi="Times New Roman" w:cs="Times New Roman"/>
          <w:sz w:val="21"/>
          <w:szCs w:val="21"/>
        </w:rPr>
        <w:t>——</w:t>
      </w:r>
      <w:r>
        <w:rPr>
          <w:rFonts w:ascii="Times New Roman" w:hAnsi="Times New Roman" w:cs="Times New Roman"/>
          <w:sz w:val="21"/>
          <w:szCs w:val="28"/>
        </w:rPr>
        <w:t>原坡地土层厚度</w:t>
      </w:r>
      <w:r>
        <w:rPr>
          <w:rFonts w:ascii="Times New Roman" w:hAnsi="Times New Roman" w:cs="Times New Roman"/>
          <w:sz w:val="21"/>
          <w:szCs w:val="21"/>
        </w:rPr>
        <w:t>（</w:t>
      </w:r>
      <w:r>
        <w:rPr>
          <w:rFonts w:ascii="Times New Roman" w:hAnsi="Times New Roman" w:cs="Times New Roman"/>
          <w:sz w:val="21"/>
          <w:szCs w:val="28"/>
        </w:rPr>
        <w:t>m）；</w:t>
      </w:r>
    </w:p>
    <w:p w14:paraId="097F06EA">
      <w:pPr>
        <w:spacing w:line="360" w:lineRule="auto"/>
        <w:ind w:firstLine="630" w:firstLineChars="300"/>
        <w:rPr>
          <w:rFonts w:ascii="Times New Roman" w:hAnsi="Times New Roman" w:cs="Times New Roman"/>
          <w:b/>
          <w:sz w:val="24"/>
          <w:szCs w:val="28"/>
        </w:rPr>
      </w:pPr>
      <w:r>
        <w:rPr>
          <w:rFonts w:ascii="Times New Roman" w:hAnsi="Times New Roman" w:cs="Times New Roman"/>
          <w:i/>
          <w:sz w:val="21"/>
          <w:szCs w:val="28"/>
        </w:rPr>
        <w:t>h</w:t>
      </w:r>
      <w:r>
        <w:rPr>
          <w:rFonts w:ascii="Times New Roman" w:hAnsi="Times New Roman" w:cs="Times New Roman"/>
          <w:sz w:val="21"/>
          <w:szCs w:val="21"/>
        </w:rPr>
        <w:t>——</w:t>
      </w:r>
      <w:r>
        <w:rPr>
          <w:rFonts w:ascii="Times New Roman" w:hAnsi="Times New Roman" w:cs="Times New Roman"/>
          <w:sz w:val="21"/>
          <w:szCs w:val="28"/>
        </w:rPr>
        <w:t>修平后挖方处后缘保留的土层厚度</w:t>
      </w:r>
      <w:r>
        <w:rPr>
          <w:rFonts w:ascii="Times New Roman" w:hAnsi="Times New Roman" w:cs="Times New Roman"/>
          <w:sz w:val="21"/>
          <w:szCs w:val="21"/>
        </w:rPr>
        <w:t>（</w:t>
      </w:r>
      <w:r>
        <w:rPr>
          <w:rFonts w:ascii="Times New Roman" w:hAnsi="Times New Roman" w:cs="Times New Roman"/>
          <w:sz w:val="21"/>
          <w:szCs w:val="28"/>
        </w:rPr>
        <w:t>m）；</w:t>
      </w:r>
    </w:p>
    <w:p w14:paraId="51AEF126">
      <w:pPr>
        <w:spacing w:line="360" w:lineRule="auto"/>
        <w:ind w:firstLine="630" w:firstLineChars="300"/>
        <w:rPr>
          <w:rFonts w:ascii="Times New Roman" w:hAnsi="Times New Roman" w:cs="Times New Roman"/>
          <w:b/>
          <w:sz w:val="24"/>
          <w:szCs w:val="28"/>
        </w:rPr>
      </w:pPr>
      <w:r>
        <w:rPr>
          <w:rFonts w:ascii="Times New Roman" w:hAnsi="Times New Roman" w:cs="Times New Roman"/>
          <w:i/>
          <w:sz w:val="21"/>
          <w:szCs w:val="28"/>
        </w:rPr>
        <w:t>θ</w:t>
      </w:r>
      <w:r>
        <w:rPr>
          <w:rFonts w:ascii="Times New Roman" w:hAnsi="Times New Roman" w:cs="Times New Roman"/>
          <w:sz w:val="21"/>
          <w:szCs w:val="21"/>
        </w:rPr>
        <w:t>——</w:t>
      </w:r>
      <w:r>
        <w:rPr>
          <w:rFonts w:ascii="Times New Roman" w:hAnsi="Times New Roman" w:cs="Times New Roman"/>
          <w:sz w:val="21"/>
          <w:szCs w:val="28"/>
        </w:rPr>
        <w:t>地面坡度</w:t>
      </w:r>
      <w:r>
        <w:rPr>
          <w:rFonts w:ascii="Times New Roman" w:hAnsi="Times New Roman" w:cs="Times New Roman"/>
          <w:sz w:val="21"/>
          <w:szCs w:val="21"/>
        </w:rPr>
        <w:t>（</w:t>
      </w:r>
      <w:r>
        <w:rPr>
          <w:rFonts w:ascii="Times New Roman" w:hAnsi="Times New Roman" w:cs="Times New Roman"/>
          <w:sz w:val="21"/>
          <w:szCs w:val="28"/>
        </w:rPr>
        <w:t>°）。</w:t>
      </w:r>
    </w:p>
    <w:p w14:paraId="1CAAEBC5">
      <w:pPr>
        <w:spacing w:line="360" w:lineRule="auto"/>
        <w:ind w:firstLine="630" w:firstLineChars="300"/>
        <w:rPr>
          <w:rFonts w:ascii="Times New Roman" w:hAnsi="Times New Roman" w:cs="Times New Roman"/>
          <w:b/>
          <w:sz w:val="24"/>
          <w:szCs w:val="28"/>
        </w:rPr>
      </w:pPr>
      <w:r>
        <w:rPr>
          <w:rFonts w:ascii="Times New Roman" w:hAnsi="Times New Roman" w:cs="Times New Roman"/>
          <w:i/>
          <w:sz w:val="21"/>
          <w:szCs w:val="28"/>
        </w:rPr>
        <w:t>H</w:t>
      </w:r>
      <w:r>
        <w:rPr>
          <w:rFonts w:ascii="Times New Roman" w:hAnsi="Times New Roman" w:cs="Times New Roman"/>
          <w:sz w:val="21"/>
          <w:szCs w:val="21"/>
        </w:rPr>
        <w:t>——</w:t>
      </w:r>
      <w:r>
        <w:rPr>
          <w:rFonts w:ascii="Times New Roman" w:hAnsi="Times New Roman" w:cs="Times New Roman"/>
          <w:sz w:val="21"/>
          <w:szCs w:val="28"/>
        </w:rPr>
        <w:t>田坎高度</w:t>
      </w:r>
      <w:r>
        <w:rPr>
          <w:rFonts w:ascii="Times New Roman" w:hAnsi="Times New Roman" w:cs="Times New Roman"/>
          <w:sz w:val="21"/>
          <w:szCs w:val="21"/>
        </w:rPr>
        <w:t>（</w:t>
      </w:r>
      <w:r>
        <w:rPr>
          <w:rFonts w:ascii="Times New Roman" w:hAnsi="Times New Roman" w:cs="Times New Roman"/>
          <w:sz w:val="21"/>
          <w:szCs w:val="28"/>
        </w:rPr>
        <w:t>m</w:t>
      </w:r>
      <w:r>
        <w:rPr>
          <w:rFonts w:ascii="Times New Roman" w:hAnsi="Times New Roman" w:cs="Times New Roman"/>
          <w:sz w:val="21"/>
          <w:szCs w:val="21"/>
        </w:rPr>
        <w:t>）</w:t>
      </w:r>
      <w:r>
        <w:rPr>
          <w:rFonts w:ascii="Times New Roman" w:hAnsi="Times New Roman" w:cs="Times New Roman"/>
          <w:sz w:val="21"/>
          <w:szCs w:val="28"/>
        </w:rPr>
        <w:t>；</w:t>
      </w:r>
    </w:p>
    <w:p w14:paraId="7F61939E">
      <w:pPr>
        <w:spacing w:line="360" w:lineRule="auto"/>
        <w:ind w:firstLine="630" w:firstLineChars="300"/>
        <w:rPr>
          <w:rFonts w:ascii="Times New Roman" w:hAnsi="Times New Roman" w:cs="Times New Roman"/>
          <w:b/>
          <w:sz w:val="24"/>
          <w:szCs w:val="28"/>
        </w:rPr>
      </w:pPr>
      <w:r>
        <w:rPr>
          <w:rFonts w:ascii="Times New Roman" w:hAnsi="Times New Roman" w:cs="Times New Roman"/>
          <w:i/>
          <w:sz w:val="21"/>
          <w:szCs w:val="28"/>
        </w:rPr>
        <w:t>a</w:t>
      </w:r>
      <w:r>
        <w:rPr>
          <w:rFonts w:ascii="Times New Roman" w:hAnsi="Times New Roman" w:cs="Times New Roman"/>
          <w:sz w:val="21"/>
          <w:szCs w:val="21"/>
        </w:rPr>
        <w:t>——田坎坡度（</w:t>
      </w:r>
      <w:r>
        <w:rPr>
          <w:rFonts w:ascii="Times New Roman" w:hAnsi="Times New Roman" w:cs="Times New Roman"/>
          <w:sz w:val="21"/>
          <w:szCs w:val="28"/>
        </w:rPr>
        <w:t>°）；</w:t>
      </w:r>
    </w:p>
    <w:p w14:paraId="3A918672">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1"/>
        </w:rPr>
        <w:t>2</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土坎梯田断面设计应符合下列规定：</w:t>
      </w:r>
    </w:p>
    <w:p w14:paraId="77442A1F">
      <w:pPr>
        <w:spacing w:line="360" w:lineRule="auto"/>
        <w:ind w:left="1038" w:leftChars="257" w:right="112" w:rightChars="40" w:hanging="318" w:hangingChars="151"/>
        <w:rPr>
          <w:rFonts w:ascii="Times New Roman" w:hAnsi="Times New Roman" w:cs="Times New Roman"/>
          <w:b/>
          <w:sz w:val="24"/>
          <w:szCs w:val="24"/>
        </w:rPr>
      </w:pPr>
      <w:r>
        <w:rPr>
          <w:rFonts w:ascii="Times New Roman" w:hAnsi="Times New Roman" w:eastAsia="黑体" w:cs="Times New Roman"/>
          <w:b/>
          <w:sz w:val="21"/>
          <w:szCs w:val="21"/>
        </w:rPr>
        <w:t>1</w:t>
      </w:r>
      <w:r>
        <w:rPr>
          <w:rFonts w:hint="eastAsia" w:ascii="宋体" w:hAnsi="宋体"/>
          <w:sz w:val="21"/>
          <w:szCs w:val="21"/>
        </w:rPr>
        <w:t>）</w:t>
      </w:r>
      <w:r>
        <w:rPr>
          <w:rFonts w:ascii="Times New Roman" w:hAnsi="Times New Roman" w:cs="Times New Roman"/>
          <w:sz w:val="21"/>
          <w:szCs w:val="24"/>
        </w:rPr>
        <w:t>田坎高度应根据地面坡度、土层厚度、梯田等级等因素合理确定，其范围宜取1.2m～2.0m，田埂高度宜取0.3m～0.5m；</w:t>
      </w:r>
    </w:p>
    <w:p w14:paraId="1915459B">
      <w:pPr>
        <w:spacing w:line="360" w:lineRule="auto"/>
        <w:ind w:left="1038" w:leftChars="257" w:hanging="318" w:hangingChars="151"/>
        <w:rPr>
          <w:rFonts w:ascii="Times New Roman" w:hAnsi="Times New Roman" w:cs="Times New Roman"/>
          <w:b/>
          <w:sz w:val="24"/>
          <w:szCs w:val="24"/>
        </w:rPr>
      </w:pPr>
      <w:r>
        <w:rPr>
          <w:rFonts w:ascii="Times New Roman" w:hAnsi="Times New Roman" w:eastAsia="黑体" w:cs="Times New Roman"/>
          <w:b/>
          <w:sz w:val="21"/>
          <w:szCs w:val="21"/>
        </w:rPr>
        <w:t>2</w:t>
      </w:r>
      <w:r>
        <w:rPr>
          <w:rFonts w:hint="eastAsia" w:ascii="宋体" w:hAnsi="宋体"/>
          <w:sz w:val="21"/>
          <w:szCs w:val="21"/>
        </w:rPr>
        <w:t>）</w:t>
      </w:r>
      <w:r>
        <w:rPr>
          <w:rFonts w:ascii="Times New Roman" w:hAnsi="Times New Roman" w:cs="Times New Roman"/>
          <w:sz w:val="21"/>
          <w:szCs w:val="24"/>
        </w:rPr>
        <w:t>田埂宽度宜取0.3m～0.5m，当需要结合生产路布置时，应适当加宽；</w:t>
      </w:r>
    </w:p>
    <w:p w14:paraId="69FBB679">
      <w:pPr>
        <w:spacing w:line="360" w:lineRule="auto"/>
        <w:ind w:left="1038" w:leftChars="257" w:hanging="318" w:hangingChars="151"/>
        <w:rPr>
          <w:rFonts w:ascii="Times New Roman" w:hAnsi="Times New Roman" w:cs="Times New Roman"/>
          <w:b/>
          <w:sz w:val="24"/>
          <w:szCs w:val="24"/>
        </w:rPr>
      </w:pPr>
      <w:r>
        <w:rPr>
          <w:rFonts w:ascii="Times New Roman" w:hAnsi="Times New Roman" w:eastAsia="黑体" w:cs="Times New Roman"/>
          <w:b/>
          <w:sz w:val="21"/>
          <w:szCs w:val="21"/>
        </w:rPr>
        <w:t>3</w:t>
      </w:r>
      <w:r>
        <w:rPr>
          <w:rFonts w:hint="eastAsia" w:ascii="宋体" w:hAnsi="宋体"/>
          <w:sz w:val="21"/>
          <w:szCs w:val="21"/>
        </w:rPr>
        <w:t>）</w:t>
      </w:r>
      <w:r>
        <w:rPr>
          <w:rFonts w:ascii="Times New Roman" w:hAnsi="Times New Roman" w:cs="Times New Roman"/>
          <w:sz w:val="21"/>
          <w:szCs w:val="24"/>
        </w:rPr>
        <w:t>田坎侧坡坡比宜取1:0.1～1:0.4，田埂边坡宜采用1:1。</w:t>
      </w:r>
    </w:p>
    <w:p w14:paraId="3A5E7970">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1"/>
        </w:rPr>
        <w:t>3</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混凝土坎梯田宜采用“柱—板”式结构，田面设计同石坎梯田。应根据立柱的形状不同，分为利用锚杆稳定和利用土体自重稳定两种形式，田坎立柱高度宜为1.2m～1.8m，立柱宽度0.15m，厚0.07m；横板长1.14m，宽0.3m，厚0.04m；锚杆形状为“7”字形，长0.5m，宽度及厚度均为0.05m。</w:t>
      </w:r>
    </w:p>
    <w:p w14:paraId="265E80BA">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1"/>
        </w:rPr>
        <w:t>4</w:t>
      </w:r>
      <w:r>
        <w:rPr>
          <w:rFonts w:ascii="Times New Roman" w:hAnsi="Times New Roman" w:cs="Times New Roman"/>
          <w:sz w:val="21"/>
          <w:szCs w:val="24"/>
        </w:rPr>
        <w:t xml:space="preserve">  水平梯田的工程量计算应符合下列规定：</w:t>
      </w:r>
    </w:p>
    <w:p w14:paraId="02CF20BC">
      <w:pPr>
        <w:spacing w:line="360" w:lineRule="auto"/>
        <w:ind w:left="1038" w:leftChars="257" w:hanging="318" w:hangingChars="151"/>
        <w:rPr>
          <w:rFonts w:ascii="Times New Roman" w:hAnsi="Times New Roman" w:cs="Times New Roman"/>
          <w:b/>
          <w:sz w:val="24"/>
          <w:szCs w:val="24"/>
        </w:rPr>
      </w:pPr>
      <w:r>
        <w:rPr>
          <w:rFonts w:ascii="Times New Roman" w:hAnsi="Times New Roman" w:eastAsia="黑体" w:cs="Times New Roman"/>
          <w:b/>
          <w:sz w:val="21"/>
          <w:szCs w:val="21"/>
        </w:rPr>
        <w:t>1</w:t>
      </w:r>
      <w:r>
        <w:rPr>
          <w:rFonts w:hint="eastAsia" w:ascii="宋体" w:hAnsi="宋体"/>
          <w:sz w:val="21"/>
          <w:szCs w:val="21"/>
        </w:rPr>
        <w:t>）</w:t>
      </w:r>
      <w:r>
        <w:rPr>
          <w:rFonts w:ascii="Times New Roman" w:hAnsi="Times New Roman" w:cs="Times New Roman"/>
          <w:sz w:val="21"/>
          <w:szCs w:val="24"/>
        </w:rPr>
        <w:t>单位面积土方量可按下列公式计算：</w:t>
      </w:r>
    </w:p>
    <w:p w14:paraId="3A7FA685">
      <w:pPr>
        <w:pStyle w:val="16"/>
      </w:pPr>
      <w:r>
        <w:rPr>
          <w:rFonts w:hint="eastAsia"/>
          <w:b/>
          <w:position w:val="-24"/>
        </w:rPr>
        <w:tab/>
      </w:r>
      <w:r>
        <w:rPr>
          <w:b/>
          <w:position w:val="-24"/>
        </w:rPr>
        <w:object>
          <v:shape id="_x0000_i1028" o:spt="75" type="#_x0000_t75" style="height:24.6pt;width:45.6pt;" o:ole="t" filled="f" o:preferrelative="t" stroked="f" coordsize="21600,21600">
            <v:path/>
            <v:fill on="f" focussize="0,0"/>
            <v:stroke on="f" joinstyle="miter"/>
            <v:imagedata r:id="rId26" embosscolor="#FFFFFF" o:title=""/>
            <o:lock v:ext="edit" aspectratio="t"/>
            <w10:wrap type="none"/>
            <w10:anchorlock/>
          </v:shape>
          <o:OLEObject Type="Embed" ProgID="Equation.3" ShapeID="_x0000_i1028" DrawAspect="Content" ObjectID="_1468075728" r:id="rId25">
            <o:LockedField>false</o:LockedField>
          </o:OLEObject>
        </w:object>
      </w:r>
      <w:r>
        <w:rPr>
          <w:rFonts w:hint="eastAsia"/>
          <w:b/>
          <w:position w:val="-24"/>
        </w:rPr>
        <w:tab/>
      </w:r>
      <w:r>
        <w:rPr>
          <w:i w:val="0"/>
          <w:iCs/>
        </w:rPr>
        <w:t>（4.3.7-3）</w:t>
      </w:r>
    </w:p>
    <w:p w14:paraId="11372ED1">
      <w:pPr>
        <w:pStyle w:val="16"/>
        <w:rPr>
          <w:i w:val="0"/>
          <w:iCs/>
        </w:rPr>
      </w:pPr>
      <w:r>
        <w:rPr>
          <w:rFonts w:hint="eastAsia"/>
        </w:rPr>
        <w:tab/>
      </w:r>
      <w:r>
        <w:t>H=Bxsinθ</w:t>
      </w:r>
      <w:r>
        <w:rPr>
          <w:rFonts w:hint="eastAsia"/>
        </w:rPr>
        <w:tab/>
      </w:r>
      <w:r>
        <w:rPr>
          <w:i w:val="0"/>
          <w:iCs/>
        </w:rPr>
        <w:t>（4.3.7-4）</w:t>
      </w:r>
    </w:p>
    <w:p w14:paraId="2D768786">
      <w:pPr>
        <w:pStyle w:val="16"/>
      </w:pPr>
      <w:r>
        <w:rPr>
          <w:rFonts w:hint="eastAsia"/>
        </w:rPr>
        <w:tab/>
      </w:r>
      <w:r>
        <w:t>Bx=H/sinθ</w:t>
      </w:r>
      <w:r>
        <w:rPr>
          <w:rFonts w:hint="eastAsia"/>
        </w:rPr>
        <w:tab/>
      </w:r>
      <w:r>
        <w:rPr>
          <w:i w:val="0"/>
          <w:iCs/>
        </w:rPr>
        <w:t>（4.3.7-5）</w:t>
      </w:r>
    </w:p>
    <w:p w14:paraId="75B17BE4">
      <w:pPr>
        <w:pStyle w:val="16"/>
      </w:pPr>
      <w:r>
        <w:rPr>
          <w:rFonts w:hint="eastAsia"/>
        </w:rPr>
        <w:tab/>
      </w:r>
      <w:r>
        <w:t>B=Bm－b=H（cotθ-cotα）</w:t>
      </w:r>
      <w:r>
        <w:rPr>
          <w:rFonts w:hint="eastAsia"/>
        </w:rPr>
        <w:tab/>
      </w:r>
      <w:r>
        <w:rPr>
          <w:i w:val="0"/>
          <w:iCs/>
        </w:rPr>
        <w:t>（4.3.7-6）</w:t>
      </w:r>
    </w:p>
    <w:p w14:paraId="6F3A72AC">
      <w:pPr>
        <w:pStyle w:val="16"/>
      </w:pPr>
      <w:r>
        <w:rPr>
          <w:rFonts w:hint="eastAsia"/>
        </w:rPr>
        <w:tab/>
      </w:r>
      <w:r>
        <w:t>Bm=Hcotθ</w:t>
      </w:r>
      <w:r>
        <w:rPr>
          <w:rFonts w:hint="eastAsia"/>
        </w:rPr>
        <w:tab/>
      </w:r>
      <w:r>
        <w:rPr>
          <w:i w:val="0"/>
          <w:iCs/>
        </w:rPr>
        <w:t>（4.3.7-7）</w:t>
      </w:r>
    </w:p>
    <w:p w14:paraId="0563E044">
      <w:pPr>
        <w:pStyle w:val="16"/>
      </w:pPr>
      <w:r>
        <w:rPr>
          <w:rFonts w:hint="eastAsia"/>
        </w:rPr>
        <w:tab/>
      </w:r>
      <w:r>
        <w:t>H=Bmtanθ</w:t>
      </w:r>
      <w:r>
        <w:rPr>
          <w:rFonts w:hint="eastAsia"/>
        </w:rPr>
        <w:tab/>
      </w:r>
      <w:r>
        <w:rPr>
          <w:i w:val="0"/>
          <w:iCs/>
        </w:rPr>
        <w:t>（4.3.7-8）</w:t>
      </w:r>
    </w:p>
    <w:p w14:paraId="4454EBBE">
      <w:pPr>
        <w:pStyle w:val="16"/>
      </w:pPr>
      <w:r>
        <w:rPr>
          <w:rFonts w:hint="eastAsia"/>
        </w:rPr>
        <w:tab/>
      </w:r>
      <w:r>
        <w:t>b=Hcotα</w:t>
      </w:r>
      <w:r>
        <w:rPr>
          <w:rFonts w:hint="eastAsia"/>
        </w:rPr>
        <w:tab/>
      </w:r>
      <w:r>
        <w:rPr>
          <w:i w:val="0"/>
          <w:iCs/>
        </w:rPr>
        <w:t>（4.3.7-9）</w:t>
      </w:r>
    </w:p>
    <w:p w14:paraId="477960C2">
      <w:pPr>
        <w:spacing w:line="360" w:lineRule="auto"/>
        <w:rPr>
          <w:rFonts w:ascii="Times New Roman" w:hAnsi="Times New Roman" w:cs="Times New Roman"/>
          <w:b/>
          <w:sz w:val="24"/>
          <w:szCs w:val="21"/>
        </w:rPr>
      </w:pPr>
      <w:r>
        <w:rPr>
          <w:rFonts w:ascii="Times New Roman" w:hAnsi="Times New Roman" w:cs="Times New Roman"/>
          <w:sz w:val="21"/>
          <w:szCs w:val="21"/>
        </w:rPr>
        <w:t>式中：</w:t>
      </w:r>
      <w:r>
        <w:rPr>
          <w:rFonts w:ascii="Times New Roman" w:hAnsi="Times New Roman" w:cs="Times New Roman"/>
          <w:i/>
          <w:sz w:val="21"/>
          <w:szCs w:val="21"/>
        </w:rPr>
        <w:t>V</w:t>
      </w:r>
      <w:r>
        <w:rPr>
          <w:rFonts w:ascii="Times New Roman" w:hAnsi="Times New Roman" w:cs="Times New Roman"/>
          <w:sz w:val="21"/>
          <w:szCs w:val="21"/>
        </w:rPr>
        <w:t>——单位面积（hm</w:t>
      </w:r>
      <w:r>
        <w:rPr>
          <w:rFonts w:ascii="Times New Roman" w:hAnsi="Times New Roman" w:cs="Times New Roman"/>
          <w:sz w:val="21"/>
          <w:szCs w:val="21"/>
          <w:vertAlign w:val="superscript"/>
        </w:rPr>
        <w:t>2</w:t>
      </w:r>
      <w:r>
        <w:rPr>
          <w:rFonts w:ascii="Times New Roman" w:hAnsi="Times New Roman" w:cs="Times New Roman"/>
          <w:sz w:val="21"/>
          <w:szCs w:val="21"/>
        </w:rPr>
        <w:t>或亩）梯田土方量（m</w:t>
      </w:r>
      <w:r>
        <w:rPr>
          <w:rFonts w:ascii="Times New Roman" w:hAnsi="Times New Roman" w:cs="Times New Roman"/>
          <w:sz w:val="21"/>
          <w:szCs w:val="21"/>
          <w:vertAlign w:val="superscript"/>
        </w:rPr>
        <w:t>3</w:t>
      </w:r>
      <w:r>
        <w:rPr>
          <w:rFonts w:ascii="Times New Roman" w:hAnsi="Times New Roman" w:cs="Times New Roman"/>
          <w:sz w:val="21"/>
          <w:szCs w:val="21"/>
        </w:rPr>
        <w:t>）；</w:t>
      </w:r>
    </w:p>
    <w:p w14:paraId="2E921D75">
      <w:pPr>
        <w:spacing w:line="360" w:lineRule="auto"/>
        <w:ind w:firstLine="630" w:firstLineChars="300"/>
        <w:rPr>
          <w:rFonts w:ascii="Times New Roman" w:hAnsi="Times New Roman" w:cs="Times New Roman"/>
          <w:b/>
          <w:sz w:val="24"/>
          <w:szCs w:val="21"/>
        </w:rPr>
      </w:pPr>
      <w:r>
        <w:rPr>
          <w:rFonts w:ascii="Times New Roman" w:hAnsi="Times New Roman" w:cs="Times New Roman"/>
          <w:i/>
          <w:sz w:val="21"/>
          <w:szCs w:val="21"/>
        </w:rPr>
        <w:t>L</w:t>
      </w:r>
      <w:r>
        <w:rPr>
          <w:rFonts w:ascii="Times New Roman" w:hAnsi="Times New Roman" w:cs="Times New Roman"/>
          <w:sz w:val="21"/>
          <w:szCs w:val="21"/>
        </w:rPr>
        <w:t>——单位面积（hm</w:t>
      </w:r>
      <w:r>
        <w:rPr>
          <w:rFonts w:ascii="Times New Roman" w:hAnsi="Times New Roman" w:cs="Times New Roman"/>
          <w:sz w:val="21"/>
          <w:szCs w:val="21"/>
          <w:vertAlign w:val="superscript"/>
        </w:rPr>
        <w:t>2</w:t>
      </w:r>
      <w:r>
        <w:rPr>
          <w:rFonts w:ascii="Times New Roman" w:hAnsi="Times New Roman" w:cs="Times New Roman"/>
          <w:sz w:val="21"/>
          <w:szCs w:val="21"/>
        </w:rPr>
        <w:t>或亩）梯田长度（m）；</w:t>
      </w:r>
    </w:p>
    <w:p w14:paraId="5F1ADDE5">
      <w:pPr>
        <w:spacing w:line="360" w:lineRule="auto"/>
        <w:ind w:firstLine="630" w:firstLineChars="300"/>
        <w:rPr>
          <w:rFonts w:ascii="Times New Roman" w:hAnsi="Times New Roman" w:cs="Times New Roman"/>
          <w:b/>
          <w:sz w:val="24"/>
          <w:szCs w:val="21"/>
        </w:rPr>
      </w:pPr>
      <w:r>
        <w:rPr>
          <w:rFonts w:ascii="Times New Roman" w:hAnsi="Times New Roman" w:cs="Times New Roman"/>
          <w:i/>
          <w:sz w:val="21"/>
          <w:szCs w:val="21"/>
        </w:rPr>
        <w:t>α</w:t>
      </w:r>
      <w:r>
        <w:rPr>
          <w:rFonts w:ascii="Times New Roman" w:hAnsi="Times New Roman" w:cs="Times New Roman"/>
          <w:sz w:val="21"/>
          <w:szCs w:val="21"/>
        </w:rPr>
        <w:t>——梯田田坎坡度（°）；</w:t>
      </w:r>
    </w:p>
    <w:p w14:paraId="4A5F74C0">
      <w:pPr>
        <w:spacing w:line="360" w:lineRule="auto"/>
        <w:ind w:firstLine="630" w:firstLineChars="300"/>
        <w:rPr>
          <w:rFonts w:ascii="Times New Roman" w:hAnsi="Times New Roman" w:cs="Times New Roman"/>
          <w:b/>
          <w:sz w:val="24"/>
          <w:szCs w:val="21"/>
        </w:rPr>
      </w:pPr>
      <w:r>
        <w:rPr>
          <w:rFonts w:ascii="Times New Roman" w:hAnsi="Times New Roman" w:cs="Times New Roman"/>
          <w:i/>
          <w:sz w:val="21"/>
          <w:szCs w:val="21"/>
        </w:rPr>
        <w:t>B</w:t>
      </w:r>
      <w:r>
        <w:rPr>
          <w:rFonts w:ascii="Times New Roman" w:hAnsi="Times New Roman" w:cs="Times New Roman"/>
          <w:sz w:val="21"/>
          <w:szCs w:val="21"/>
          <w:vertAlign w:val="subscript"/>
        </w:rPr>
        <w:t>x</w:t>
      </w:r>
      <w:r>
        <w:rPr>
          <w:rFonts w:ascii="Times New Roman" w:hAnsi="Times New Roman" w:cs="Times New Roman"/>
          <w:sz w:val="21"/>
          <w:szCs w:val="21"/>
        </w:rPr>
        <w:t>——原坡面斜宽（m）；</w:t>
      </w:r>
    </w:p>
    <w:p w14:paraId="0FA8C89A">
      <w:pPr>
        <w:spacing w:line="360" w:lineRule="auto"/>
        <w:ind w:firstLine="630" w:firstLineChars="300"/>
        <w:rPr>
          <w:rFonts w:ascii="Times New Roman" w:hAnsi="Times New Roman" w:cs="Times New Roman"/>
          <w:b/>
          <w:sz w:val="24"/>
          <w:szCs w:val="21"/>
        </w:rPr>
      </w:pPr>
      <w:r>
        <w:rPr>
          <w:rFonts w:ascii="Times New Roman" w:hAnsi="Times New Roman" w:cs="Times New Roman"/>
          <w:i/>
          <w:sz w:val="21"/>
          <w:szCs w:val="21"/>
        </w:rPr>
        <w:t>B</w:t>
      </w:r>
      <w:r>
        <w:rPr>
          <w:rFonts w:ascii="Times New Roman" w:hAnsi="Times New Roman" w:cs="Times New Roman"/>
          <w:sz w:val="21"/>
          <w:szCs w:val="21"/>
          <w:vertAlign w:val="subscript"/>
        </w:rPr>
        <w:t>m</w:t>
      </w:r>
      <w:r>
        <w:rPr>
          <w:rFonts w:ascii="Times New Roman" w:hAnsi="Times New Roman" w:cs="Times New Roman"/>
          <w:sz w:val="21"/>
          <w:szCs w:val="21"/>
        </w:rPr>
        <w:t>——梯田田面毛宽（m）；</w:t>
      </w:r>
    </w:p>
    <w:p w14:paraId="1D3E869C">
      <w:pPr>
        <w:spacing w:line="360" w:lineRule="auto"/>
        <w:ind w:firstLine="630" w:firstLineChars="300"/>
        <w:rPr>
          <w:rFonts w:ascii="Times New Roman" w:hAnsi="Times New Roman" w:cs="Times New Roman"/>
          <w:b/>
          <w:sz w:val="24"/>
          <w:szCs w:val="21"/>
        </w:rPr>
      </w:pPr>
      <w:r>
        <w:rPr>
          <w:rFonts w:ascii="Times New Roman" w:hAnsi="Times New Roman" w:cs="Times New Roman"/>
          <w:i/>
          <w:sz w:val="21"/>
          <w:szCs w:val="21"/>
        </w:rPr>
        <w:t>b</w:t>
      </w:r>
      <w:r>
        <w:rPr>
          <w:rFonts w:ascii="Times New Roman" w:hAnsi="Times New Roman" w:cs="Times New Roman"/>
          <w:sz w:val="21"/>
          <w:szCs w:val="21"/>
        </w:rPr>
        <w:t>——梯田田坎占地宽（m）；</w:t>
      </w:r>
    </w:p>
    <w:p w14:paraId="0590603D">
      <w:pPr>
        <w:spacing w:line="360" w:lineRule="auto"/>
        <w:ind w:firstLine="630" w:firstLineChars="300"/>
        <w:rPr>
          <w:rFonts w:ascii="Times New Roman" w:hAnsi="Times New Roman" w:cs="Times New Roman"/>
          <w:b/>
          <w:sz w:val="24"/>
          <w:szCs w:val="21"/>
        </w:rPr>
      </w:pPr>
      <w:r>
        <w:rPr>
          <w:rFonts w:ascii="Times New Roman" w:hAnsi="Times New Roman" w:cs="Times New Roman"/>
          <w:sz w:val="21"/>
          <w:szCs w:val="21"/>
        </w:rPr>
        <w:t>其它符号意义同前。</w:t>
      </w:r>
    </w:p>
    <w:p w14:paraId="45196D06">
      <w:pPr>
        <w:spacing w:line="360" w:lineRule="auto"/>
        <w:ind w:left="1038" w:leftChars="257" w:hanging="318" w:hangingChars="151"/>
        <w:rPr>
          <w:rFonts w:ascii="Times New Roman" w:hAnsi="Times New Roman" w:cs="Times New Roman"/>
          <w:b/>
          <w:sz w:val="24"/>
          <w:szCs w:val="24"/>
        </w:rPr>
      </w:pPr>
      <w:r>
        <w:rPr>
          <w:rFonts w:ascii="Times New Roman" w:hAnsi="Times New Roman" w:eastAsia="黑体" w:cs="Times New Roman"/>
          <w:b/>
          <w:sz w:val="21"/>
          <w:szCs w:val="21"/>
        </w:rPr>
        <w:t>2</w:t>
      </w:r>
      <w:r>
        <w:rPr>
          <w:rFonts w:hint="eastAsia" w:ascii="宋体" w:hAnsi="宋体"/>
          <w:sz w:val="21"/>
          <w:szCs w:val="21"/>
        </w:rPr>
        <w:t>）</w:t>
      </w:r>
      <w:r>
        <w:rPr>
          <w:rFonts w:ascii="Times New Roman" w:hAnsi="Times New Roman" w:cs="Times New Roman"/>
          <w:sz w:val="21"/>
          <w:szCs w:val="24"/>
        </w:rPr>
        <w:t>当以hm</w:t>
      </w:r>
      <w:r>
        <w:rPr>
          <w:rFonts w:ascii="Times New Roman" w:hAnsi="Times New Roman" w:cs="Times New Roman"/>
          <w:sz w:val="21"/>
          <w:szCs w:val="24"/>
          <w:vertAlign w:val="superscript"/>
        </w:rPr>
        <w:t>2</w:t>
      </w:r>
      <w:r>
        <w:rPr>
          <w:rFonts w:ascii="Times New Roman" w:hAnsi="Times New Roman" w:cs="Times New Roman"/>
          <w:sz w:val="21"/>
          <w:szCs w:val="24"/>
        </w:rPr>
        <w:t>为单位时，梯田单位面积土方量应按下式计算：</w:t>
      </w:r>
    </w:p>
    <w:p w14:paraId="1C8E2BAE">
      <w:pPr>
        <w:snapToGrid w:val="0"/>
        <w:spacing w:line="360" w:lineRule="auto"/>
        <w:ind w:left="1050" w:leftChars="300" w:hanging="210" w:hangingChars="100"/>
        <w:jc w:val="center"/>
        <w:rPr>
          <w:rFonts w:ascii="Times New Roman" w:hAnsi="Times New Roman" w:cs="Times New Roman"/>
          <w:b/>
          <w:sz w:val="24"/>
          <w:szCs w:val="21"/>
        </w:rPr>
      </w:pPr>
      <w:r>
        <w:rPr>
          <w:rFonts w:ascii="Times New Roman" w:hAnsi="Times New Roman" w:cs="Times New Roman"/>
          <w:sz w:val="21"/>
          <w:szCs w:val="21"/>
        </w:rPr>
        <w:t xml:space="preserve">                </w:t>
      </w:r>
      <w:r>
        <w:rPr>
          <w:rFonts w:ascii="Times New Roman" w:hAnsi="Times New Roman" w:eastAsia="黑体" w:cs="Times New Roman"/>
          <w:b/>
          <w:position w:val="-24"/>
          <w:sz w:val="21"/>
          <w:szCs w:val="21"/>
        </w:rPr>
        <w:object>
          <v:shape id="_x0000_i1029" o:spt="75" type="#_x0000_t75" style="height:27.6pt;width:114pt;" o:ole="t" filled="f" o:preferrelative="t" stroked="f" coordsize="21600,21600">
            <v:path/>
            <v:fill on="f" focussize="0,0"/>
            <v:stroke on="f" joinstyle="miter"/>
            <v:imagedata r:id="rId28" embosscolor="#FFFFFF" o:title=""/>
            <o:lock v:ext="edit" aspectratio="t"/>
            <w10:wrap type="none"/>
            <w10:anchorlock/>
          </v:shape>
          <o:OLEObject Type="Embed" ProgID="Equation.3" ShapeID="_x0000_i1029" DrawAspect="Content" ObjectID="_1468075729" r:id="rId27">
            <o:LockedField>false</o:LockedField>
          </o:OLEObject>
        </w:object>
      </w:r>
      <w:r>
        <w:rPr>
          <w:rFonts w:ascii="Times New Roman" w:hAnsi="Times New Roman" w:cs="Times New Roman"/>
          <w:sz w:val="21"/>
          <w:szCs w:val="21"/>
        </w:rPr>
        <w:t xml:space="preserve">                       </w:t>
      </w:r>
      <w:r>
        <w:rPr>
          <w:rStyle w:val="17"/>
          <w:i w:val="0"/>
          <w:iCs/>
        </w:rPr>
        <w:t>（4.3.7-10）</w:t>
      </w:r>
    </w:p>
    <w:p w14:paraId="3E8FF057">
      <w:pPr>
        <w:spacing w:line="360" w:lineRule="auto"/>
        <w:ind w:left="1038" w:leftChars="257" w:hanging="318" w:hangingChars="151"/>
        <w:rPr>
          <w:rFonts w:ascii="Times New Roman" w:hAnsi="Times New Roman" w:cs="Times New Roman"/>
          <w:b/>
          <w:sz w:val="24"/>
          <w:szCs w:val="24"/>
        </w:rPr>
      </w:pPr>
      <w:r>
        <w:rPr>
          <w:rFonts w:ascii="Times New Roman" w:hAnsi="Times New Roman" w:eastAsia="黑体" w:cs="Times New Roman"/>
          <w:b/>
          <w:sz w:val="21"/>
          <w:szCs w:val="21"/>
        </w:rPr>
        <w:t>3</w:t>
      </w:r>
      <w:r>
        <w:rPr>
          <w:rFonts w:hint="eastAsia" w:ascii="宋体" w:hAnsi="宋体"/>
          <w:sz w:val="21"/>
          <w:szCs w:val="21"/>
        </w:rPr>
        <w:t>）</w:t>
      </w:r>
      <w:r>
        <w:rPr>
          <w:rFonts w:ascii="Times New Roman" w:hAnsi="Times New Roman" w:cs="Times New Roman"/>
          <w:sz w:val="21"/>
          <w:szCs w:val="24"/>
        </w:rPr>
        <w:t>当以亩为单位时，梯田单位面积土方量应按下式计算：</w:t>
      </w:r>
    </w:p>
    <w:p w14:paraId="0A29989D">
      <w:pPr>
        <w:snapToGrid w:val="0"/>
        <w:spacing w:line="360" w:lineRule="auto"/>
        <w:ind w:left="1037" w:leftChars="257" w:hanging="317" w:hangingChars="151"/>
        <w:rPr>
          <w:rFonts w:ascii="Times New Roman" w:hAnsi="Times New Roman" w:cs="Times New Roman"/>
          <w:sz w:val="21"/>
          <w:szCs w:val="21"/>
        </w:rPr>
      </w:pPr>
      <w:r>
        <w:rPr>
          <w:rFonts w:ascii="Times New Roman" w:hAnsi="Times New Roman" w:cs="Times New Roman"/>
          <w:sz w:val="21"/>
          <w:szCs w:val="21"/>
        </w:rPr>
        <w:t xml:space="preserve">                </w:t>
      </w:r>
      <w:r>
        <w:rPr>
          <w:rFonts w:ascii="Times New Roman" w:hAnsi="Times New Roman" w:cs="Times New Roman"/>
          <w:b/>
          <w:position w:val="-24"/>
          <w:sz w:val="21"/>
          <w:szCs w:val="21"/>
        </w:rPr>
        <w:object>
          <v:shape id="_x0000_i1030" o:spt="75" type="#_x0000_t75" style="height:27.6pt;width:119.35pt;" o:ole="t" filled="f" o:preferrelative="t" stroked="f" coordsize="21600,21600">
            <v:path/>
            <v:fill on="f" focussize="0,0"/>
            <v:stroke on="f" joinstyle="miter"/>
            <v:imagedata r:id="rId30" embosscolor="#FFFFFF" o:title=""/>
            <o:lock v:ext="edit" aspectratio="t"/>
            <w10:wrap type="none"/>
            <w10:anchorlock/>
          </v:shape>
          <o:OLEObject Type="Embed" ProgID="Equation.3" ShapeID="_x0000_i1030" DrawAspect="Content" ObjectID="_1468075730" r:id="rId29">
            <o:LockedField>false</o:LockedField>
          </o:OLEObject>
        </w:object>
      </w:r>
      <w:r>
        <w:rPr>
          <w:rFonts w:ascii="Times New Roman" w:hAnsi="Times New Roman" w:cs="Times New Roman"/>
          <w:sz w:val="21"/>
          <w:szCs w:val="21"/>
        </w:rPr>
        <w:t xml:space="preserve">                       （4.3.7-11）</w:t>
      </w:r>
    </w:p>
    <w:p w14:paraId="70C10996">
      <w:pPr>
        <w:snapToGrid w:val="0"/>
        <w:spacing w:line="360" w:lineRule="auto"/>
        <w:rPr>
          <w:rFonts w:ascii="Times New Roman" w:hAnsi="Times New Roman" w:cs="Times New Roman"/>
          <w:b/>
          <w:sz w:val="24"/>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cs="Times New Roman"/>
          <w:b/>
          <w:sz w:val="21"/>
          <w:szCs w:val="21"/>
        </w:rPr>
        <w:t>.</w:t>
      </w:r>
      <w:r>
        <w:rPr>
          <w:rFonts w:ascii="Times New Roman" w:hAnsi="Times New Roman" w:eastAsia="黑体" w:cs="Times New Roman"/>
          <w:b/>
          <w:sz w:val="21"/>
          <w:szCs w:val="21"/>
        </w:rPr>
        <w:t>8</w:t>
      </w:r>
      <w:r>
        <w:rPr>
          <w:rFonts w:ascii="Times New Roman" w:hAnsi="Times New Roman" w:cs="Times New Roman"/>
          <w:sz w:val="21"/>
          <w:szCs w:val="21"/>
        </w:rPr>
        <w:t xml:space="preserve">  坡式梯田断面（图4.3.8）设计应符合下列规定：</w:t>
      </w:r>
    </w:p>
    <w:p w14:paraId="0C28ABF9">
      <w:pPr>
        <w:snapToGrid w:val="0"/>
        <w:spacing w:line="360" w:lineRule="auto"/>
        <w:ind w:firstLine="413" w:firstLineChars="196"/>
        <w:rPr>
          <w:rFonts w:ascii="Times New Roman" w:hAnsi="Times New Roman" w:cs="Times New Roman"/>
          <w:b/>
          <w:sz w:val="24"/>
          <w:szCs w:val="21"/>
        </w:rPr>
      </w:pPr>
      <w:r>
        <w:rPr>
          <w:rFonts w:ascii="Times New Roman" w:hAnsi="Times New Roman" w:eastAsia="黑体" w:cs="Times New Roman"/>
          <w:b/>
          <w:sz w:val="21"/>
          <w:szCs w:val="21"/>
        </w:rPr>
        <w:t>1</w:t>
      </w:r>
      <w:r>
        <w:rPr>
          <w:rFonts w:ascii="Times New Roman" w:hAnsi="Times New Roman" w:cs="Times New Roman"/>
          <w:sz w:val="21"/>
          <w:szCs w:val="21"/>
        </w:rPr>
        <w:t xml:space="preserve">  等高沟埂间距</w:t>
      </w:r>
      <w:r>
        <w:rPr>
          <w:rFonts w:ascii="Times New Roman" w:hAnsi="Times New Roman" w:cs="Times New Roman"/>
          <w:i/>
          <w:sz w:val="21"/>
          <w:szCs w:val="21"/>
        </w:rPr>
        <w:t>B</w:t>
      </w:r>
      <w:r>
        <w:rPr>
          <w:rFonts w:ascii="Times New Roman" w:hAnsi="Times New Roman" w:cs="Times New Roman"/>
          <w:sz w:val="21"/>
          <w:szCs w:val="21"/>
          <w:vertAlign w:val="subscript"/>
        </w:rPr>
        <w:t>X</w:t>
      </w:r>
      <w:r>
        <w:rPr>
          <w:rFonts w:ascii="Times New Roman" w:hAnsi="Times New Roman" w:cs="Times New Roman"/>
          <w:sz w:val="21"/>
          <w:szCs w:val="21"/>
        </w:rPr>
        <w:t>应根据地面坡度、降雨、土壤渗透系数等因素确定。地面坡度越陡，</w:t>
      </w:r>
      <w:r>
        <w:rPr>
          <w:rFonts w:ascii="Times New Roman" w:hAnsi="Times New Roman" w:cs="Times New Roman"/>
          <w:i/>
          <w:sz w:val="21"/>
          <w:szCs w:val="21"/>
        </w:rPr>
        <w:t>B</w:t>
      </w:r>
      <w:r>
        <w:rPr>
          <w:rFonts w:ascii="Times New Roman" w:hAnsi="Times New Roman" w:cs="Times New Roman"/>
          <w:sz w:val="21"/>
          <w:szCs w:val="21"/>
          <w:vertAlign w:val="subscript"/>
        </w:rPr>
        <w:t>X</w:t>
      </w:r>
      <w:r>
        <w:rPr>
          <w:rFonts w:ascii="Times New Roman" w:hAnsi="Times New Roman" w:cs="Times New Roman"/>
          <w:sz w:val="21"/>
          <w:szCs w:val="21"/>
        </w:rPr>
        <w:t>越小，降雨强度越大，</w:t>
      </w:r>
      <w:r>
        <w:rPr>
          <w:rFonts w:ascii="Times New Roman" w:hAnsi="Times New Roman" w:cs="Times New Roman"/>
          <w:i/>
          <w:sz w:val="21"/>
          <w:szCs w:val="21"/>
        </w:rPr>
        <w:t>B</w:t>
      </w:r>
      <w:r>
        <w:rPr>
          <w:rFonts w:ascii="Times New Roman" w:hAnsi="Times New Roman" w:cs="Times New Roman"/>
          <w:sz w:val="21"/>
          <w:szCs w:val="21"/>
          <w:vertAlign w:val="subscript"/>
        </w:rPr>
        <w:t>X</w:t>
      </w:r>
      <w:r>
        <w:rPr>
          <w:rFonts w:ascii="Times New Roman" w:hAnsi="Times New Roman" w:cs="Times New Roman"/>
          <w:sz w:val="21"/>
          <w:szCs w:val="21"/>
        </w:rPr>
        <w:t>越小；土壤渗透系数越大，B</w:t>
      </w:r>
      <w:r>
        <w:rPr>
          <w:rFonts w:ascii="Times New Roman" w:hAnsi="Times New Roman" w:cs="Times New Roman"/>
          <w:sz w:val="21"/>
          <w:szCs w:val="21"/>
          <w:vertAlign w:val="subscript"/>
        </w:rPr>
        <w:t>X</w:t>
      </w:r>
      <w:r>
        <w:rPr>
          <w:rFonts w:ascii="Times New Roman" w:hAnsi="Times New Roman" w:cs="Times New Roman"/>
          <w:sz w:val="21"/>
          <w:szCs w:val="21"/>
        </w:rPr>
        <w:t>越大。应根据各地条件选定。</w:t>
      </w:r>
    </w:p>
    <w:p w14:paraId="54C38CD9">
      <w:pPr>
        <w:snapToGrid w:val="0"/>
        <w:spacing w:line="360" w:lineRule="auto"/>
        <w:ind w:firstLine="413" w:firstLineChars="196"/>
        <w:rPr>
          <w:rFonts w:ascii="Times New Roman" w:hAnsi="Times New Roman" w:cs="Times New Roman"/>
          <w:b/>
          <w:sz w:val="24"/>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等高沟埂断面尺寸设计应符合下列规定：</w:t>
      </w:r>
    </w:p>
    <w:p w14:paraId="48409BE7">
      <w:pPr>
        <w:snapToGrid w:val="0"/>
        <w:spacing w:line="360" w:lineRule="auto"/>
        <w:ind w:firstLine="632" w:firstLineChars="300"/>
        <w:rPr>
          <w:rFonts w:ascii="Times New Roman" w:hAnsi="Times New Roman" w:cs="Times New Roman"/>
          <w:b/>
          <w:sz w:val="24"/>
          <w:szCs w:val="21"/>
        </w:rPr>
      </w:pPr>
      <w:r>
        <w:rPr>
          <w:rFonts w:ascii="Times New Roman" w:hAnsi="Times New Roman" w:eastAsia="黑体" w:cs="Times New Roman"/>
          <w:b/>
          <w:sz w:val="21"/>
          <w:szCs w:val="21"/>
        </w:rPr>
        <w:t>1</w:t>
      </w:r>
      <w:r>
        <w:rPr>
          <w:rFonts w:hint="eastAsia" w:ascii="宋体" w:hAnsi="宋体"/>
          <w:sz w:val="21"/>
          <w:szCs w:val="21"/>
        </w:rPr>
        <w:t>）</w:t>
      </w:r>
      <w:r>
        <w:rPr>
          <w:rFonts w:ascii="Times New Roman" w:hAnsi="Times New Roman" w:cs="Times New Roman"/>
          <w:sz w:val="21"/>
          <w:szCs w:val="21"/>
        </w:rPr>
        <w:t>田埂顶宽宜取0.3m～0.4m，田埂高度宜取0.5m～0.6m，外坡1:0.5，内坡1:1。</w:t>
      </w:r>
    </w:p>
    <w:p w14:paraId="236CA901">
      <w:pPr>
        <w:snapToGrid w:val="0"/>
        <w:spacing w:line="360" w:lineRule="auto"/>
        <w:ind w:firstLine="632" w:firstLineChars="300"/>
        <w:jc w:val="left"/>
        <w:rPr>
          <w:rFonts w:ascii="Times New Roman" w:hAnsi="Times New Roman" w:cs="Times New Roman"/>
          <w:sz w:val="21"/>
          <w:szCs w:val="21"/>
        </w:rPr>
      </w:pPr>
      <w:r>
        <w:rPr>
          <w:rFonts w:ascii="Times New Roman" w:hAnsi="Times New Roman" w:cs="Times New Roman"/>
          <w:b/>
          <w:bCs/>
          <w:sz w:val="21"/>
          <w:szCs w:val="21"/>
        </w:rPr>
        <w:t>2</w:t>
      </w:r>
      <w:r>
        <w:rPr>
          <w:rFonts w:ascii="Times New Roman" w:hAnsi="Times New Roman" w:cs="Times New Roman"/>
          <w:sz w:val="21"/>
          <w:szCs w:val="21"/>
        </w:rPr>
        <w:t>）年降水量介于250mm～800mm地区，田埂上方容量应满足拦蓄与梯田级别对应的设计暴雨所产生的地表径流和泥沙。年降水量800mm及以上地区，田埂宜结合坡面小型蓄排工程，妥善处理坡面径流与泥沙。</w:t>
      </w:r>
    </w:p>
    <w:p w14:paraId="143CEFE9">
      <w:pPr>
        <w:snapToGrid w:val="0"/>
        <w:jc w:val="center"/>
        <w:rPr>
          <w:rFonts w:ascii="Times New Roman" w:hAnsi="Times New Roman" w:cs="Times New Roman"/>
          <w:b/>
          <w:sz w:val="24"/>
          <w:szCs w:val="24"/>
        </w:rPr>
      </w:pPr>
      <w:r>
        <w:rPr>
          <w:rFonts w:ascii="Times New Roman" w:hAnsi="Times New Roman" w:cs="Times New Roman"/>
          <w:b/>
          <w:sz w:val="24"/>
          <w:szCs w:val="24"/>
        </w:rPr>
        <w:object>
          <v:shape id="_x0000_i1031" o:spt="75" type="#_x0000_t75" style="height:168.6pt;width:324.6pt;" o:ole="t" filled="f" o:preferrelative="t" stroked="f" coordsize="21600,21600">
            <v:path/>
            <v:fill on="f" focussize="0,0"/>
            <v:stroke on="f" joinstyle="miter"/>
            <v:imagedata r:id="rId32" cropleft="4266f" croptop="660f" cropright="4148f" cropbottom="4388f" embosscolor="#FFFFFF" o:title=""/>
            <o:lock v:ext="edit" aspectratio="t"/>
            <w10:wrap type="none"/>
            <w10:anchorlock/>
          </v:shape>
          <o:OLEObject Type="Embed" ProgID="AutoCAD.Drawing.17" ShapeID="_x0000_i1031" DrawAspect="Content" ObjectID="_1468075731" r:id="rId31">
            <o:LockedField>false</o:LockedField>
          </o:OLEObject>
        </w:object>
      </w:r>
    </w:p>
    <w:p w14:paraId="3BE58452">
      <w:pPr>
        <w:jc w:val="center"/>
        <w:rPr>
          <w:rFonts w:ascii="Times New Roman" w:hAnsi="Times New Roman" w:cs="Times New Roman"/>
          <w:b/>
          <w:sz w:val="24"/>
          <w:szCs w:val="21"/>
        </w:rPr>
      </w:pPr>
      <w:r>
        <w:rPr>
          <w:rFonts w:ascii="Times New Roman" w:hAnsi="Times New Roman" w:eastAsia="黑体" w:cs="Times New Roman"/>
          <w:sz w:val="18"/>
          <w:szCs w:val="18"/>
        </w:rPr>
        <w:t>图4</w:t>
      </w:r>
      <w:r>
        <w:rPr>
          <w:rFonts w:ascii="Times New Roman" w:hAnsi="Times New Roman" w:cs="Times New Roman"/>
          <w:sz w:val="18"/>
          <w:szCs w:val="18"/>
        </w:rPr>
        <w:t>.</w:t>
      </w:r>
      <w:r>
        <w:rPr>
          <w:rFonts w:ascii="Times New Roman" w:hAnsi="Times New Roman" w:eastAsia="黑体" w:cs="Times New Roman"/>
          <w:sz w:val="18"/>
          <w:szCs w:val="18"/>
        </w:rPr>
        <w:t>3</w:t>
      </w:r>
      <w:r>
        <w:rPr>
          <w:rFonts w:ascii="Times New Roman" w:hAnsi="Times New Roman" w:cs="Times New Roman"/>
          <w:sz w:val="18"/>
          <w:szCs w:val="18"/>
        </w:rPr>
        <w:t>.</w:t>
      </w:r>
      <w:r>
        <w:rPr>
          <w:rFonts w:ascii="Times New Roman" w:hAnsi="Times New Roman" w:eastAsia="黑体" w:cs="Times New Roman"/>
          <w:sz w:val="18"/>
          <w:szCs w:val="18"/>
        </w:rPr>
        <w:t>8  坡式梯田断面</w:t>
      </w:r>
    </w:p>
    <w:p w14:paraId="273D85B5">
      <w:pPr>
        <w:spacing w:line="360" w:lineRule="auto"/>
        <w:rPr>
          <w:rFonts w:ascii="Times New Roman" w:hAnsi="Times New Roman" w:cs="Times New Roman"/>
          <w:b/>
          <w:sz w:val="24"/>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cs="Times New Roman"/>
          <w:b/>
          <w:sz w:val="21"/>
          <w:szCs w:val="21"/>
        </w:rPr>
        <w:t>.</w:t>
      </w:r>
      <w:r>
        <w:rPr>
          <w:rFonts w:ascii="Times New Roman" w:hAnsi="Times New Roman" w:eastAsia="黑体" w:cs="Times New Roman"/>
          <w:b/>
          <w:sz w:val="21"/>
          <w:szCs w:val="21"/>
        </w:rPr>
        <w:t>9</w:t>
      </w:r>
      <w:r>
        <w:rPr>
          <w:rFonts w:ascii="Times New Roman" w:hAnsi="Times New Roman" w:cs="Times New Roman"/>
          <w:b/>
          <w:sz w:val="21"/>
          <w:szCs w:val="21"/>
        </w:rPr>
        <w:t xml:space="preserve"> </w:t>
      </w:r>
      <w:r>
        <w:rPr>
          <w:rFonts w:ascii="Times New Roman" w:hAnsi="Times New Roman" w:cs="Times New Roman"/>
          <w:sz w:val="21"/>
          <w:szCs w:val="21"/>
        </w:rPr>
        <w:t xml:space="preserve"> 隔坡梯田断面（图4.3.9）设计应符合下列规定：</w:t>
      </w:r>
    </w:p>
    <w:p w14:paraId="53F541D3">
      <w:pPr>
        <w:spacing w:line="360" w:lineRule="auto"/>
        <w:ind w:firstLine="424" w:firstLineChars="201"/>
        <w:rPr>
          <w:rFonts w:ascii="Times New Roman" w:hAnsi="Times New Roman" w:cs="Times New Roman"/>
          <w:b/>
          <w:sz w:val="24"/>
          <w:szCs w:val="21"/>
        </w:rPr>
      </w:pPr>
      <w:r>
        <w:rPr>
          <w:rFonts w:ascii="Times New Roman" w:hAnsi="Times New Roman" w:eastAsia="黑体" w:cs="Times New Roman"/>
          <w:b/>
          <w:sz w:val="21"/>
          <w:szCs w:val="21"/>
        </w:rPr>
        <w:t>1</w:t>
      </w:r>
      <w:r>
        <w:rPr>
          <w:rFonts w:ascii="Times New Roman" w:hAnsi="Times New Roman" w:cs="Times New Roman"/>
          <w:sz w:val="21"/>
          <w:szCs w:val="21"/>
        </w:rPr>
        <w:t xml:space="preserve">  水平田面宽度</w:t>
      </w:r>
      <w:r>
        <w:rPr>
          <w:rFonts w:ascii="Times New Roman" w:hAnsi="Times New Roman" w:cs="Times New Roman"/>
          <w:i/>
          <w:sz w:val="21"/>
          <w:szCs w:val="21"/>
        </w:rPr>
        <w:t>B</w:t>
      </w:r>
      <w:r>
        <w:rPr>
          <w:rFonts w:ascii="Times New Roman" w:hAnsi="Times New Roman" w:cs="Times New Roman"/>
          <w:sz w:val="21"/>
          <w:szCs w:val="21"/>
          <w:vertAlign w:val="subscript"/>
        </w:rPr>
        <w:t>s</w:t>
      </w:r>
      <w:r>
        <w:rPr>
          <w:rFonts w:ascii="Times New Roman" w:hAnsi="Times New Roman" w:cs="Times New Roman"/>
          <w:sz w:val="21"/>
          <w:szCs w:val="21"/>
        </w:rPr>
        <w:t>确定应兼顾耕作和拦蓄暴雨径流要求，</w:t>
      </w:r>
      <w:r>
        <w:rPr>
          <w:rFonts w:ascii="Times New Roman" w:hAnsi="Times New Roman" w:cs="Times New Roman"/>
          <w:i/>
          <w:sz w:val="21"/>
          <w:szCs w:val="21"/>
        </w:rPr>
        <w:t>B</w:t>
      </w:r>
      <w:r>
        <w:rPr>
          <w:rFonts w:ascii="Times New Roman" w:hAnsi="Times New Roman" w:cs="Times New Roman"/>
          <w:sz w:val="21"/>
          <w:szCs w:val="21"/>
          <w:vertAlign w:val="subscript"/>
        </w:rPr>
        <w:t>s</w:t>
      </w:r>
      <w:r>
        <w:rPr>
          <w:rFonts w:ascii="Times New Roman" w:hAnsi="Times New Roman" w:cs="Times New Roman"/>
          <w:sz w:val="21"/>
          <w:szCs w:val="21"/>
        </w:rPr>
        <w:t>宜取5m～10m。</w:t>
      </w:r>
    </w:p>
    <w:p w14:paraId="538E3952">
      <w:pPr>
        <w:spacing w:line="360" w:lineRule="auto"/>
        <w:ind w:firstLine="424" w:firstLineChars="201"/>
        <w:rPr>
          <w:rFonts w:ascii="Times New Roman" w:hAnsi="Times New Roman" w:cs="Times New Roman"/>
          <w:b/>
          <w:sz w:val="24"/>
          <w:szCs w:val="21"/>
        </w:rPr>
      </w:pPr>
      <w:r>
        <w:rPr>
          <w:rFonts w:ascii="Times New Roman" w:hAnsi="Times New Roman" w:eastAsia="黑体" w:cs="Times New Roman"/>
          <w:b/>
          <w:sz w:val="21"/>
          <w:szCs w:val="21"/>
        </w:rPr>
        <w:t>2</w:t>
      </w:r>
      <w:r>
        <w:rPr>
          <w:rFonts w:ascii="Times New Roman" w:hAnsi="Times New Roman" w:cs="Times New Roman"/>
          <w:sz w:val="21"/>
          <w:szCs w:val="21"/>
        </w:rPr>
        <w:t xml:space="preserve">  隔坡垂直投影宽度</w:t>
      </w:r>
      <w:r>
        <w:rPr>
          <w:rFonts w:ascii="Times New Roman" w:hAnsi="Times New Roman" w:cs="Times New Roman"/>
          <w:i/>
          <w:sz w:val="21"/>
          <w:szCs w:val="21"/>
        </w:rPr>
        <w:t>B</w:t>
      </w:r>
      <w:r>
        <w:rPr>
          <w:rFonts w:ascii="Times New Roman" w:hAnsi="Times New Roman" w:cs="Times New Roman"/>
          <w:sz w:val="21"/>
          <w:szCs w:val="21"/>
          <w:vertAlign w:val="subscript"/>
        </w:rPr>
        <w:t>g</w:t>
      </w:r>
      <w:r>
        <w:rPr>
          <w:rFonts w:ascii="Times New Roman" w:hAnsi="Times New Roman" w:cs="Times New Roman"/>
          <w:sz w:val="21"/>
          <w:szCs w:val="21"/>
        </w:rPr>
        <w:t>确定应遵循下列原则：</w:t>
      </w:r>
    </w:p>
    <w:p w14:paraId="1A87F757">
      <w:pPr>
        <w:spacing w:line="360" w:lineRule="auto"/>
        <w:ind w:left="892" w:leftChars="269" w:hanging="139"/>
        <w:rPr>
          <w:rFonts w:ascii="Times New Roman" w:hAnsi="Times New Roman" w:cs="Times New Roman"/>
          <w:b/>
          <w:sz w:val="24"/>
          <w:szCs w:val="21"/>
        </w:rPr>
      </w:pPr>
      <w:r>
        <w:rPr>
          <w:rFonts w:ascii="Times New Roman" w:hAnsi="Times New Roman" w:eastAsia="黑体" w:cs="Times New Roman"/>
          <w:b/>
          <w:sz w:val="21"/>
          <w:szCs w:val="21"/>
        </w:rPr>
        <w:t>1</w:t>
      </w:r>
      <w:r>
        <w:rPr>
          <w:rFonts w:hint="eastAsia" w:ascii="宋体" w:hAnsi="宋体"/>
          <w:sz w:val="21"/>
          <w:szCs w:val="21"/>
        </w:rPr>
        <w:t>）</w:t>
      </w:r>
      <w:r>
        <w:rPr>
          <w:rFonts w:ascii="Times New Roman" w:hAnsi="Times New Roman" w:cs="Times New Roman"/>
          <w:i/>
          <w:sz w:val="21"/>
          <w:szCs w:val="21"/>
        </w:rPr>
        <w:t>B</w:t>
      </w:r>
      <w:r>
        <w:rPr>
          <w:rFonts w:ascii="Times New Roman" w:hAnsi="Times New Roman" w:cs="Times New Roman"/>
          <w:sz w:val="21"/>
          <w:szCs w:val="21"/>
          <w:vertAlign w:val="subscript"/>
        </w:rPr>
        <w:t>s</w:t>
      </w:r>
      <w:r>
        <w:rPr>
          <w:rFonts w:ascii="Times New Roman" w:hAnsi="Times New Roman" w:cs="Times New Roman"/>
          <w:sz w:val="21"/>
          <w:szCs w:val="21"/>
        </w:rPr>
        <w:t>与</w:t>
      </w:r>
      <w:r>
        <w:rPr>
          <w:rFonts w:ascii="Times New Roman" w:hAnsi="Times New Roman" w:cs="Times New Roman"/>
          <w:i/>
          <w:sz w:val="21"/>
          <w:szCs w:val="21"/>
        </w:rPr>
        <w:t>B</w:t>
      </w:r>
      <w:r>
        <w:rPr>
          <w:rFonts w:ascii="Times New Roman" w:hAnsi="Times New Roman" w:cs="Times New Roman"/>
          <w:sz w:val="21"/>
          <w:szCs w:val="21"/>
          <w:vertAlign w:val="subscript"/>
        </w:rPr>
        <w:t>g</w:t>
      </w:r>
      <w:r>
        <w:rPr>
          <w:rFonts w:ascii="Times New Roman" w:hAnsi="Times New Roman" w:cs="Times New Roman"/>
          <w:sz w:val="21"/>
          <w:szCs w:val="21"/>
        </w:rPr>
        <w:t>比值宜取1:1～1:3。</w:t>
      </w:r>
    </w:p>
    <w:p w14:paraId="56F3B273">
      <w:pPr>
        <w:snapToGrid w:val="0"/>
        <w:spacing w:line="360" w:lineRule="auto"/>
        <w:ind w:left="1054" w:leftChars="271" w:right="112" w:rightChars="40" w:hanging="295" w:hangingChars="140"/>
        <w:rPr>
          <w:rFonts w:ascii="Times New Roman" w:hAnsi="Times New Roman" w:cs="Times New Roman"/>
          <w:b/>
          <w:sz w:val="24"/>
          <w:szCs w:val="21"/>
        </w:rPr>
      </w:pPr>
      <w:r>
        <w:rPr>
          <w:rFonts w:ascii="Times New Roman" w:hAnsi="Times New Roman" w:eastAsia="黑体" w:cs="Times New Roman"/>
          <w:b/>
          <w:sz w:val="21"/>
          <w:szCs w:val="21"/>
        </w:rPr>
        <w:t>2</w:t>
      </w:r>
      <w:r>
        <w:rPr>
          <w:rFonts w:hint="eastAsia" w:ascii="宋体" w:hAnsi="宋体"/>
          <w:sz w:val="21"/>
          <w:szCs w:val="21"/>
        </w:rPr>
        <w:t>）</w:t>
      </w:r>
      <w:r>
        <w:rPr>
          <w:rFonts w:ascii="Times New Roman" w:hAnsi="Times New Roman" w:cs="Times New Roman"/>
          <w:sz w:val="21"/>
          <w:szCs w:val="21"/>
        </w:rPr>
        <w:t>应根据地面坡度、土质、植被和当地降雨情况，确定隔坡部分在设计暴雨条件下产生的径流、泥沙量和林草需水量，作为确定</w:t>
      </w:r>
      <w:r>
        <w:rPr>
          <w:rFonts w:ascii="Times New Roman" w:hAnsi="Times New Roman" w:cs="Times New Roman"/>
          <w:i/>
          <w:sz w:val="21"/>
          <w:szCs w:val="21"/>
        </w:rPr>
        <w:t>B</w:t>
      </w:r>
      <w:r>
        <w:rPr>
          <w:rFonts w:ascii="Times New Roman" w:hAnsi="Times New Roman" w:cs="Times New Roman"/>
          <w:sz w:val="21"/>
          <w:szCs w:val="21"/>
          <w:vertAlign w:val="subscript"/>
        </w:rPr>
        <w:t>g</w:t>
      </w:r>
      <w:r>
        <w:rPr>
          <w:rFonts w:ascii="Times New Roman" w:hAnsi="Times New Roman" w:cs="Times New Roman"/>
          <w:sz w:val="21"/>
          <w:szCs w:val="21"/>
        </w:rPr>
        <w:t>的主要依据。</w:t>
      </w:r>
    </w:p>
    <w:p w14:paraId="4ED1E6DB">
      <w:pPr>
        <w:snapToGrid w:val="0"/>
        <w:spacing w:line="360" w:lineRule="auto"/>
        <w:ind w:left="1056" w:leftChars="271" w:right="104" w:rightChars="37" w:hanging="297" w:hangingChars="141"/>
        <w:rPr>
          <w:rFonts w:ascii="Times New Roman" w:hAnsi="Times New Roman" w:cs="Times New Roman"/>
          <w:sz w:val="21"/>
          <w:szCs w:val="21"/>
        </w:rPr>
      </w:pPr>
      <w:r>
        <w:rPr>
          <w:rFonts w:ascii="Times New Roman" w:hAnsi="Times New Roman" w:cs="Times New Roman"/>
          <w:b/>
          <w:sz w:val="21"/>
          <w:szCs w:val="21"/>
        </w:rPr>
        <w:t>3</w:t>
      </w:r>
      <w:r>
        <w:rPr>
          <w:rFonts w:hint="eastAsia" w:ascii="宋体" w:hAnsi="宋体"/>
          <w:sz w:val="21"/>
          <w:szCs w:val="21"/>
        </w:rPr>
        <w:t>）</w:t>
      </w:r>
      <w:r>
        <w:rPr>
          <w:rFonts w:ascii="Times New Roman" w:hAnsi="Times New Roman" w:cs="Times New Roman"/>
          <w:sz w:val="21"/>
          <w:szCs w:val="21"/>
        </w:rPr>
        <w:t>应根据水平田面部分的宽度、土壤渗透性，分析暴雨中田面接受降雨后再接受隔坡部分径流的能力，具体确定</w:t>
      </w:r>
      <w:r>
        <w:rPr>
          <w:rFonts w:ascii="Times New Roman" w:hAnsi="Times New Roman" w:cs="Times New Roman"/>
          <w:i/>
          <w:sz w:val="21"/>
          <w:szCs w:val="21"/>
        </w:rPr>
        <w:t>B</w:t>
      </w:r>
      <w:r>
        <w:rPr>
          <w:rFonts w:ascii="Times New Roman" w:hAnsi="Times New Roman" w:cs="Times New Roman"/>
          <w:sz w:val="21"/>
          <w:szCs w:val="21"/>
          <w:vertAlign w:val="subscript"/>
        </w:rPr>
        <w:t>s</w:t>
      </w:r>
      <w:r>
        <w:rPr>
          <w:rFonts w:ascii="Times New Roman" w:hAnsi="Times New Roman" w:cs="Times New Roman"/>
          <w:sz w:val="21"/>
          <w:szCs w:val="21"/>
        </w:rPr>
        <w:t>和</w:t>
      </w:r>
      <w:r>
        <w:rPr>
          <w:rFonts w:ascii="Times New Roman" w:hAnsi="Times New Roman" w:cs="Times New Roman"/>
          <w:i/>
          <w:sz w:val="21"/>
          <w:szCs w:val="21"/>
        </w:rPr>
        <w:t>B</w:t>
      </w:r>
      <w:r>
        <w:rPr>
          <w:rFonts w:ascii="Times New Roman" w:hAnsi="Times New Roman" w:cs="Times New Roman"/>
          <w:sz w:val="21"/>
          <w:szCs w:val="21"/>
          <w:vertAlign w:val="subscript"/>
        </w:rPr>
        <w:t>g</w:t>
      </w:r>
      <w:r>
        <w:rPr>
          <w:rFonts w:ascii="Times New Roman" w:hAnsi="Times New Roman" w:cs="Times New Roman"/>
          <w:sz w:val="21"/>
          <w:szCs w:val="21"/>
        </w:rPr>
        <w:t>，要求在设计暴雨条件下水平田面能全部拦蓄隔坡的径流不发生漫溢。</w:t>
      </w:r>
      <w:r>
        <w:rPr>
          <w:rFonts w:ascii="Times New Roman" w:hAnsi="Times New Roman" w:cs="Times New Roman"/>
          <w:i/>
          <w:sz w:val="21"/>
          <w:szCs w:val="21"/>
        </w:rPr>
        <w:t>B</w:t>
      </w:r>
      <w:r>
        <w:rPr>
          <w:rFonts w:ascii="Times New Roman" w:hAnsi="Times New Roman" w:cs="Times New Roman"/>
          <w:sz w:val="21"/>
          <w:szCs w:val="21"/>
          <w:vertAlign w:val="subscript"/>
        </w:rPr>
        <w:t>s</w:t>
      </w:r>
      <w:r>
        <w:rPr>
          <w:rFonts w:ascii="Times New Roman" w:hAnsi="Times New Roman" w:cs="Times New Roman"/>
          <w:sz w:val="21"/>
          <w:szCs w:val="21"/>
        </w:rPr>
        <w:t>和</w:t>
      </w:r>
      <w:r>
        <w:rPr>
          <w:rFonts w:ascii="Times New Roman" w:hAnsi="Times New Roman" w:cs="Times New Roman"/>
          <w:i/>
          <w:sz w:val="21"/>
          <w:szCs w:val="21"/>
        </w:rPr>
        <w:t>B</w:t>
      </w:r>
      <w:r>
        <w:rPr>
          <w:rFonts w:ascii="Times New Roman" w:hAnsi="Times New Roman" w:cs="Times New Roman"/>
          <w:sz w:val="21"/>
          <w:szCs w:val="21"/>
          <w:vertAlign w:val="subscript"/>
        </w:rPr>
        <w:t>g</w:t>
      </w:r>
      <w:r>
        <w:rPr>
          <w:rFonts w:ascii="Times New Roman" w:hAnsi="Times New Roman" w:cs="Times New Roman"/>
          <w:sz w:val="21"/>
          <w:szCs w:val="21"/>
        </w:rPr>
        <w:t>应相互适应，根据不同情况通过试算确定。</w:t>
      </w:r>
    </w:p>
    <w:p w14:paraId="46561DD8">
      <w:pPr>
        <w:snapToGrid w:val="0"/>
        <w:spacing w:line="360" w:lineRule="auto"/>
        <w:ind w:left="1037" w:leftChars="258" w:right="112" w:rightChars="40" w:hanging="315" w:hangingChars="150"/>
        <w:rPr>
          <w:rFonts w:ascii="Times New Roman" w:hAnsi="Times New Roman" w:cs="Times New Roman"/>
          <w:b/>
          <w:sz w:val="24"/>
          <w:szCs w:val="24"/>
        </w:rPr>
      </w:pPr>
      <w:r>
        <w:rPr>
          <w:rFonts w:ascii="Times New Roman" w:hAnsi="Times New Roman" w:cs="Times New Roman"/>
          <w:sz w:val="21"/>
        </w:rPr>
        <mc:AlternateContent>
          <mc:Choice Requires="wpc">
            <w:drawing>
              <wp:inline distT="0" distB="0" distL="114300" distR="114300">
                <wp:extent cx="4023995" cy="1463040"/>
                <wp:effectExtent l="0" t="0" r="14605" b="0"/>
                <wp:docPr id="103" name="画布 103"/>
                <wp:cNvGraphicFramePr/>
                <a:graphic xmlns:a="http://schemas.openxmlformats.org/drawingml/2006/main">
                  <a:graphicData uri="http://schemas.microsoft.com/office/word/2010/wordprocessingCanvas">
                    <wpc:wpc>
                      <wpc:bg>
                        <a:noFill/>
                      </wpc:bg>
                      <wpc:whole>
                        <a:ln>
                          <a:noFill/>
                        </a:ln>
                      </wpc:whole>
                      <wps:wsp>
                        <wps:cNvPr id="53" name="直接连接符 53"/>
                        <wps:cNvCnPr/>
                        <wps:spPr>
                          <a:xfrm flipV="1">
                            <a:off x="17145" y="6350"/>
                            <a:ext cx="4000500" cy="1386840"/>
                          </a:xfrm>
                          <a:prstGeom prst="line">
                            <a:avLst/>
                          </a:prstGeom>
                          <a:ln w="12700" cap="flat" cmpd="sng">
                            <a:solidFill>
                              <a:srgbClr val="000000"/>
                            </a:solidFill>
                            <a:prstDash val="dash"/>
                            <a:round/>
                            <a:headEnd type="none" w="med" len="med"/>
                            <a:tailEnd type="none" w="med" len="med"/>
                          </a:ln>
                          <a:effectLst/>
                        </wps:spPr>
                        <wps:bodyPr/>
                      </wps:wsp>
                      <wps:wsp>
                        <wps:cNvPr id="54" name="直接连接符 54"/>
                        <wps:cNvCnPr/>
                        <wps:spPr>
                          <a:xfrm>
                            <a:off x="245745" y="1195069"/>
                            <a:ext cx="685799" cy="635"/>
                          </a:xfrm>
                          <a:prstGeom prst="line">
                            <a:avLst/>
                          </a:prstGeom>
                          <a:ln w="19050" cap="flat" cmpd="sng">
                            <a:solidFill>
                              <a:srgbClr val="000000"/>
                            </a:solidFill>
                            <a:prstDash val="solid"/>
                            <a:round/>
                            <a:headEnd type="none" w="med" len="med"/>
                            <a:tailEnd type="none" w="med" len="med"/>
                          </a:ln>
                          <a:effectLst/>
                        </wps:spPr>
                        <wps:bodyPr/>
                      </wps:wsp>
                      <wps:wsp>
                        <wps:cNvPr id="55" name="直接连接符 55"/>
                        <wps:cNvCnPr/>
                        <wps:spPr>
                          <a:xfrm>
                            <a:off x="1617345" y="699770"/>
                            <a:ext cx="800100" cy="635"/>
                          </a:xfrm>
                          <a:prstGeom prst="line">
                            <a:avLst/>
                          </a:prstGeom>
                          <a:ln w="19050" cap="flat" cmpd="sng">
                            <a:solidFill>
                              <a:srgbClr val="000000"/>
                            </a:solidFill>
                            <a:prstDash val="solid"/>
                            <a:round/>
                            <a:headEnd type="none" w="med" len="med"/>
                            <a:tailEnd type="none" w="med" len="med"/>
                          </a:ln>
                          <a:effectLst/>
                        </wps:spPr>
                        <wps:bodyPr/>
                      </wps:wsp>
                      <wps:wsp>
                        <wps:cNvPr id="56" name="直接连接符 56"/>
                        <wps:cNvCnPr/>
                        <wps:spPr>
                          <a:xfrm>
                            <a:off x="3103245" y="204470"/>
                            <a:ext cx="685800" cy="635"/>
                          </a:xfrm>
                          <a:prstGeom prst="line">
                            <a:avLst/>
                          </a:prstGeom>
                          <a:ln w="19050" cap="flat" cmpd="sng">
                            <a:solidFill>
                              <a:srgbClr val="000000"/>
                            </a:solidFill>
                            <a:prstDash val="solid"/>
                            <a:round/>
                            <a:headEnd type="none" w="med" len="med"/>
                            <a:tailEnd type="none" w="med" len="med"/>
                          </a:ln>
                          <a:effectLst/>
                        </wps:spPr>
                        <wps:bodyPr/>
                      </wps:wsp>
                      <wps:wsp>
                        <wps:cNvPr id="57" name="直接连接符 57"/>
                        <wps:cNvCnPr/>
                        <wps:spPr>
                          <a:xfrm rot="900000">
                            <a:off x="931544" y="1058545"/>
                            <a:ext cx="635" cy="136524"/>
                          </a:xfrm>
                          <a:prstGeom prst="line">
                            <a:avLst/>
                          </a:prstGeom>
                          <a:ln w="19050" cap="flat" cmpd="sng">
                            <a:solidFill>
                              <a:srgbClr val="000000"/>
                            </a:solidFill>
                            <a:prstDash val="solid"/>
                            <a:round/>
                            <a:headEnd type="none" w="med" len="med"/>
                            <a:tailEnd type="none" w="med" len="med"/>
                          </a:ln>
                          <a:effectLst/>
                        </wps:spPr>
                        <wps:bodyPr/>
                      </wps:wsp>
                      <wps:wsp>
                        <wps:cNvPr id="58" name="直接连接符 58"/>
                        <wps:cNvCnPr/>
                        <wps:spPr>
                          <a:xfrm rot="900000">
                            <a:off x="2416810" y="563245"/>
                            <a:ext cx="635" cy="136524"/>
                          </a:xfrm>
                          <a:prstGeom prst="line">
                            <a:avLst/>
                          </a:prstGeom>
                          <a:ln w="19050" cap="flat" cmpd="sng">
                            <a:solidFill>
                              <a:srgbClr val="000000"/>
                            </a:solidFill>
                            <a:prstDash val="solid"/>
                            <a:round/>
                            <a:headEnd type="none" w="med" len="med"/>
                            <a:tailEnd type="none" w="med" len="med"/>
                          </a:ln>
                          <a:effectLst/>
                        </wps:spPr>
                        <wps:bodyPr/>
                      </wps:wsp>
                      <wps:wsp>
                        <wps:cNvPr id="59" name="直接连接符 59"/>
                        <wps:cNvCnPr/>
                        <wps:spPr>
                          <a:xfrm rot="900000">
                            <a:off x="3788410" y="67945"/>
                            <a:ext cx="635" cy="136525"/>
                          </a:xfrm>
                          <a:prstGeom prst="line">
                            <a:avLst/>
                          </a:prstGeom>
                          <a:ln w="19050" cap="flat" cmpd="sng">
                            <a:solidFill>
                              <a:srgbClr val="000000"/>
                            </a:solidFill>
                            <a:prstDash val="solid"/>
                            <a:round/>
                            <a:headEnd type="none" w="med" len="med"/>
                            <a:tailEnd type="none" w="med" len="med"/>
                          </a:ln>
                          <a:effectLst/>
                        </wps:spPr>
                        <wps:bodyPr/>
                      </wps:wsp>
                      <wps:wsp>
                        <wps:cNvPr id="60" name="任意多边形 60"/>
                        <wps:cNvSpPr/>
                        <wps:spPr>
                          <a:xfrm rot="10800000">
                            <a:off x="1617345" y="633730"/>
                            <a:ext cx="114300" cy="64770"/>
                          </a:xfrm>
                          <a:custGeom>
                            <a:avLst/>
                            <a:gdLst/>
                            <a:ahLst/>
                            <a:cxnLst/>
                            <a:rect l="l" t="t" r="r" b="b"/>
                            <a:pathLst>
                              <a:path w="21600" h="21600">
                                <a:moveTo>
                                  <a:pt x="0" y="0"/>
                                </a:moveTo>
                                <a:lnTo>
                                  <a:pt x="5400" y="21600"/>
                                </a:lnTo>
                                <a:lnTo>
                                  <a:pt x="16200" y="21600"/>
                                </a:lnTo>
                                <a:lnTo>
                                  <a:pt x="21600" y="0"/>
                                </a:lnTo>
                                <a:lnTo>
                                  <a:pt x="0" y="0"/>
                                </a:lnTo>
                                <a:close/>
                              </a:path>
                            </a:pathLst>
                          </a:custGeom>
                          <a:solidFill>
                            <a:srgbClr val="FFFFFF"/>
                          </a:solidFill>
                          <a:ln w="19050" cap="flat" cmpd="sng">
                            <a:solidFill>
                              <a:srgbClr val="000000"/>
                            </a:solidFill>
                            <a:prstDash val="solid"/>
                            <a:miter/>
                            <a:headEnd type="none" w="med" len="med"/>
                            <a:tailEnd type="none" w="med" len="med"/>
                          </a:ln>
                          <a:effectLst/>
                        </wps:spPr>
                        <wps:bodyPr/>
                      </wps:wsp>
                      <wps:wsp>
                        <wps:cNvPr id="61" name="直接连接符 61"/>
                        <wps:cNvCnPr/>
                        <wps:spPr>
                          <a:xfrm flipH="1">
                            <a:off x="1503045" y="699770"/>
                            <a:ext cx="114300" cy="198120"/>
                          </a:xfrm>
                          <a:prstGeom prst="line">
                            <a:avLst/>
                          </a:prstGeom>
                          <a:ln w="19050" cap="flat" cmpd="sng">
                            <a:solidFill>
                              <a:srgbClr val="000000"/>
                            </a:solidFill>
                            <a:prstDash val="solid"/>
                            <a:round/>
                            <a:headEnd type="none" w="med" len="med"/>
                            <a:tailEnd type="none" w="med" len="med"/>
                          </a:ln>
                          <a:effectLst/>
                        </wps:spPr>
                        <wps:bodyPr/>
                      </wps:wsp>
                      <wps:wsp>
                        <wps:cNvPr id="62" name="任意多边形 62"/>
                        <wps:cNvSpPr/>
                        <wps:spPr>
                          <a:xfrm rot="10800000">
                            <a:off x="245745" y="1130300"/>
                            <a:ext cx="114299" cy="64769"/>
                          </a:xfrm>
                          <a:custGeom>
                            <a:avLst/>
                            <a:gdLst/>
                            <a:ahLst/>
                            <a:cxnLst/>
                            <a:rect l="l" t="t" r="r" b="b"/>
                            <a:pathLst>
                              <a:path w="21600" h="21600">
                                <a:moveTo>
                                  <a:pt x="0" y="0"/>
                                </a:moveTo>
                                <a:lnTo>
                                  <a:pt x="5400" y="21600"/>
                                </a:lnTo>
                                <a:lnTo>
                                  <a:pt x="16200" y="21600"/>
                                </a:lnTo>
                                <a:lnTo>
                                  <a:pt x="21600" y="0"/>
                                </a:lnTo>
                                <a:lnTo>
                                  <a:pt x="0" y="0"/>
                                </a:lnTo>
                                <a:close/>
                              </a:path>
                            </a:pathLst>
                          </a:custGeom>
                          <a:solidFill>
                            <a:srgbClr val="FFFFFF"/>
                          </a:solidFill>
                          <a:ln w="19050" cap="flat" cmpd="sng">
                            <a:solidFill>
                              <a:srgbClr val="000000"/>
                            </a:solidFill>
                            <a:prstDash val="solid"/>
                            <a:miter/>
                            <a:headEnd type="none" w="med" len="med"/>
                            <a:tailEnd type="none" w="med" len="med"/>
                          </a:ln>
                          <a:effectLst/>
                        </wps:spPr>
                        <wps:bodyPr/>
                      </wps:wsp>
                      <wps:wsp>
                        <wps:cNvPr id="63" name="直接连接符 63"/>
                        <wps:cNvCnPr/>
                        <wps:spPr>
                          <a:xfrm flipH="1">
                            <a:off x="131445" y="1195069"/>
                            <a:ext cx="114300" cy="198120"/>
                          </a:xfrm>
                          <a:prstGeom prst="line">
                            <a:avLst/>
                          </a:prstGeom>
                          <a:ln w="19050" cap="flat" cmpd="sng">
                            <a:solidFill>
                              <a:srgbClr val="000000"/>
                            </a:solidFill>
                            <a:prstDash val="solid"/>
                            <a:round/>
                            <a:headEnd type="none" w="med" len="med"/>
                            <a:tailEnd type="none" w="med" len="med"/>
                          </a:ln>
                          <a:effectLst/>
                        </wps:spPr>
                        <wps:bodyPr/>
                      </wps:wsp>
                      <wps:wsp>
                        <wps:cNvPr id="64" name="直接连接符 64"/>
                        <wps:cNvCnPr/>
                        <wps:spPr>
                          <a:xfrm flipH="1">
                            <a:off x="2988945" y="204470"/>
                            <a:ext cx="114300" cy="198120"/>
                          </a:xfrm>
                          <a:prstGeom prst="line">
                            <a:avLst/>
                          </a:prstGeom>
                          <a:ln w="19050" cap="flat" cmpd="sng">
                            <a:solidFill>
                              <a:srgbClr val="000000"/>
                            </a:solidFill>
                            <a:prstDash val="solid"/>
                            <a:round/>
                            <a:headEnd type="none" w="med" len="med"/>
                            <a:tailEnd type="none" w="med" len="med"/>
                          </a:ln>
                          <a:effectLst/>
                        </wps:spPr>
                        <wps:bodyPr/>
                      </wps:wsp>
                      <wps:wsp>
                        <wps:cNvPr id="65" name="任意多边形 65"/>
                        <wps:cNvSpPr/>
                        <wps:spPr>
                          <a:xfrm rot="10800000">
                            <a:off x="3103245" y="139700"/>
                            <a:ext cx="114300" cy="64770"/>
                          </a:xfrm>
                          <a:custGeom>
                            <a:avLst/>
                            <a:gdLst/>
                            <a:ahLst/>
                            <a:cxnLst/>
                            <a:rect l="l" t="t" r="r" b="b"/>
                            <a:pathLst>
                              <a:path w="21600" h="21600">
                                <a:moveTo>
                                  <a:pt x="0" y="0"/>
                                </a:moveTo>
                                <a:lnTo>
                                  <a:pt x="5400" y="21600"/>
                                </a:lnTo>
                                <a:lnTo>
                                  <a:pt x="16200" y="21600"/>
                                </a:lnTo>
                                <a:lnTo>
                                  <a:pt x="21600" y="0"/>
                                </a:lnTo>
                                <a:lnTo>
                                  <a:pt x="0" y="0"/>
                                </a:lnTo>
                                <a:close/>
                              </a:path>
                            </a:pathLst>
                          </a:custGeom>
                          <a:solidFill>
                            <a:srgbClr val="FFFFFF"/>
                          </a:solidFill>
                          <a:ln w="19050" cap="flat" cmpd="sng">
                            <a:solidFill>
                              <a:srgbClr val="000000"/>
                            </a:solidFill>
                            <a:prstDash val="solid"/>
                            <a:miter/>
                            <a:headEnd type="none" w="med" len="med"/>
                            <a:tailEnd type="none" w="med" len="med"/>
                          </a:ln>
                          <a:effectLst/>
                        </wps:spPr>
                        <wps:bodyPr/>
                      </wps:wsp>
                      <wps:wsp>
                        <wps:cNvPr id="66" name="直接连接符 66"/>
                        <wps:cNvCnPr/>
                        <wps:spPr>
                          <a:xfrm flipV="1">
                            <a:off x="1617345" y="6350"/>
                            <a:ext cx="0" cy="594360"/>
                          </a:xfrm>
                          <a:prstGeom prst="line">
                            <a:avLst/>
                          </a:prstGeom>
                          <a:ln w="9525" cap="flat" cmpd="sng">
                            <a:solidFill>
                              <a:srgbClr val="000000"/>
                            </a:solidFill>
                            <a:prstDash val="solid"/>
                            <a:round/>
                            <a:headEnd type="none" w="med" len="med"/>
                            <a:tailEnd type="none" w="med" len="med"/>
                          </a:ln>
                          <a:effectLst/>
                        </wps:spPr>
                        <wps:bodyPr/>
                      </wps:wsp>
                      <wps:wsp>
                        <wps:cNvPr id="67" name="直接连接符 67"/>
                        <wps:cNvCnPr/>
                        <wps:spPr>
                          <a:xfrm flipV="1">
                            <a:off x="2417445" y="6350"/>
                            <a:ext cx="0" cy="495300"/>
                          </a:xfrm>
                          <a:prstGeom prst="line">
                            <a:avLst/>
                          </a:prstGeom>
                          <a:ln w="9525" cap="flat" cmpd="sng">
                            <a:solidFill>
                              <a:srgbClr val="000000"/>
                            </a:solidFill>
                            <a:prstDash val="solid"/>
                            <a:round/>
                            <a:headEnd type="none" w="med" len="med"/>
                            <a:tailEnd type="none" w="med" len="med"/>
                          </a:ln>
                          <a:effectLst/>
                        </wps:spPr>
                        <wps:bodyPr/>
                      </wps:wsp>
                      <wps:wsp>
                        <wps:cNvPr id="68" name="直接连接符 68"/>
                        <wps:cNvCnPr/>
                        <wps:spPr>
                          <a:xfrm flipV="1">
                            <a:off x="931544" y="6350"/>
                            <a:ext cx="0" cy="990600"/>
                          </a:xfrm>
                          <a:prstGeom prst="line">
                            <a:avLst/>
                          </a:prstGeom>
                          <a:ln w="9525" cap="flat" cmpd="sng">
                            <a:solidFill>
                              <a:srgbClr val="000000"/>
                            </a:solidFill>
                            <a:prstDash val="solid"/>
                            <a:round/>
                            <a:headEnd type="none" w="med" len="med"/>
                            <a:tailEnd type="none" w="med" len="med"/>
                          </a:ln>
                          <a:effectLst/>
                        </wps:spPr>
                        <wps:bodyPr/>
                      </wps:wsp>
                      <wps:wsp>
                        <wps:cNvPr id="69" name="矩形 69"/>
                        <wps:cNvSpPr/>
                        <wps:spPr>
                          <a:xfrm>
                            <a:off x="1845945" y="105410"/>
                            <a:ext cx="342900" cy="297180"/>
                          </a:xfrm>
                          <a:prstGeom prst="rect">
                            <a:avLst/>
                          </a:prstGeom>
                          <a:noFill/>
                          <a:ln>
                            <a:noFill/>
                          </a:ln>
                          <a:effectLst/>
                        </wps:spPr>
                        <wps:txbx>
                          <w:txbxContent>
                            <w:p w14:paraId="3F0293E1">
                              <w:pPr>
                                <w:rPr>
                                  <w:rFonts w:ascii="Times New Roman" w:hAnsi="Times New Roman" w:cs="Times New Roman"/>
                                  <w:b/>
                                  <w:sz w:val="24"/>
                                  <w:szCs w:val="24"/>
                                </w:rPr>
                              </w:pPr>
                              <w:r>
                                <w:rPr>
                                  <w:rFonts w:hint="eastAsia" w:ascii="Times New Roman" w:hAnsi="Times New Roman" w:cs="Times New Roman"/>
                                  <w:b/>
                                  <w:i/>
                                  <w:sz w:val="24"/>
                                  <w:szCs w:val="24"/>
                                </w:rPr>
                                <w:t>B</w:t>
                              </w:r>
                              <w:r>
                                <w:rPr>
                                  <w:rFonts w:hint="eastAsia" w:ascii="Times New Roman" w:hAnsi="Times New Roman" w:cs="Times New Roman"/>
                                  <w:b/>
                                  <w:sz w:val="24"/>
                                  <w:szCs w:val="24"/>
                                  <w:vertAlign w:val="subscript"/>
                                </w:rPr>
                                <w:t>s</w:t>
                              </w:r>
                            </w:p>
                          </w:txbxContent>
                        </wps:txbx>
                        <wps:bodyPr upright="1"/>
                      </wps:wsp>
                      <wps:wsp>
                        <wps:cNvPr id="70" name="矩形 70"/>
                        <wps:cNvSpPr/>
                        <wps:spPr>
                          <a:xfrm>
                            <a:off x="1165225" y="33655"/>
                            <a:ext cx="342900" cy="375920"/>
                          </a:xfrm>
                          <a:prstGeom prst="rect">
                            <a:avLst/>
                          </a:prstGeom>
                          <a:noFill/>
                          <a:ln>
                            <a:noFill/>
                          </a:ln>
                          <a:effectLst/>
                        </wps:spPr>
                        <wps:txbx>
                          <w:txbxContent>
                            <w:p w14:paraId="146D7429">
                              <w:pPr>
                                <w:spacing w:line="360" w:lineRule="auto"/>
                                <w:jc w:val="left"/>
                                <w:rPr>
                                  <w:rFonts w:cs="Times New Roman"/>
                                  <w:b/>
                                  <w:bCs/>
                                  <w:sz w:val="21"/>
                                </w:rPr>
                              </w:pPr>
                              <w:r>
                                <w:rPr>
                                  <w:rFonts w:ascii="Times New Roman" w:hAnsi="Times New Roman" w:cs="Times New Roman"/>
                                  <w:b/>
                                  <w:bCs/>
                                  <w:i/>
                                  <w:sz w:val="21"/>
                                  <w:szCs w:val="21"/>
                                </w:rPr>
                                <w:t>B</w:t>
                              </w:r>
                              <w:r>
                                <w:rPr>
                                  <w:rFonts w:ascii="Times New Roman" w:hAnsi="Times New Roman" w:cs="Times New Roman"/>
                                  <w:b/>
                                  <w:bCs/>
                                  <w:sz w:val="21"/>
                                  <w:szCs w:val="21"/>
                                  <w:vertAlign w:val="subscript"/>
                                </w:rPr>
                                <w:t>g</w:t>
                              </w:r>
                            </w:p>
                          </w:txbxContent>
                        </wps:txbx>
                        <wps:bodyPr upright="1"/>
                      </wps:wsp>
                      <wps:wsp>
                        <wps:cNvPr id="71" name="直接连接符 71"/>
                        <wps:cNvCnPr/>
                        <wps:spPr>
                          <a:xfrm>
                            <a:off x="931544" y="402590"/>
                            <a:ext cx="685800" cy="635"/>
                          </a:xfrm>
                          <a:prstGeom prst="line">
                            <a:avLst/>
                          </a:prstGeom>
                          <a:ln w="6350" cap="flat" cmpd="sng">
                            <a:solidFill>
                              <a:srgbClr val="000000"/>
                            </a:solidFill>
                            <a:prstDash val="solid"/>
                            <a:round/>
                            <a:headEnd type="arrow" w="med" len="med"/>
                            <a:tailEnd type="arrow" w="med" len="med"/>
                          </a:ln>
                          <a:effectLst/>
                        </wps:spPr>
                        <wps:bodyPr/>
                      </wps:wsp>
                      <wps:wsp>
                        <wps:cNvPr id="72" name="直接连接符 72"/>
                        <wps:cNvCnPr/>
                        <wps:spPr>
                          <a:xfrm>
                            <a:off x="1617345" y="402590"/>
                            <a:ext cx="800100" cy="635"/>
                          </a:xfrm>
                          <a:prstGeom prst="line">
                            <a:avLst/>
                          </a:prstGeom>
                          <a:ln w="6350" cap="flat" cmpd="sng">
                            <a:solidFill>
                              <a:srgbClr val="000000"/>
                            </a:solidFill>
                            <a:prstDash val="solid"/>
                            <a:round/>
                            <a:headEnd type="arrow" w="med" len="med"/>
                            <a:tailEnd type="arrow" w="med" len="med"/>
                          </a:ln>
                          <a:effectLst/>
                        </wps:spPr>
                        <wps:bodyPr/>
                      </wps:wsp>
                      <wps:wsp>
                        <wps:cNvPr id="73" name="直接连接符 73"/>
                        <wps:cNvCnPr/>
                        <wps:spPr>
                          <a:xfrm rot="1200000">
                            <a:off x="245745" y="1294130"/>
                            <a:ext cx="634" cy="64770"/>
                          </a:xfrm>
                          <a:prstGeom prst="line">
                            <a:avLst/>
                          </a:prstGeom>
                          <a:ln w="12700" cap="flat" cmpd="sng">
                            <a:solidFill>
                              <a:srgbClr val="000000"/>
                            </a:solidFill>
                            <a:prstDash val="solid"/>
                            <a:round/>
                            <a:headEnd type="none" w="med" len="med"/>
                            <a:tailEnd type="none" w="med" len="med"/>
                          </a:ln>
                          <a:effectLst/>
                        </wps:spPr>
                        <wps:bodyPr/>
                      </wps:wsp>
                      <wps:wsp>
                        <wps:cNvPr id="74" name="直接连接符 74"/>
                        <wps:cNvCnPr/>
                        <wps:spPr>
                          <a:xfrm rot="1200000">
                            <a:off x="398145" y="1195069"/>
                            <a:ext cx="634" cy="64770"/>
                          </a:xfrm>
                          <a:prstGeom prst="line">
                            <a:avLst/>
                          </a:prstGeom>
                          <a:ln w="12700" cap="flat" cmpd="sng">
                            <a:solidFill>
                              <a:srgbClr val="000000"/>
                            </a:solidFill>
                            <a:prstDash val="solid"/>
                            <a:round/>
                            <a:headEnd type="none" w="med" len="med"/>
                            <a:tailEnd type="none" w="med" len="med"/>
                          </a:ln>
                          <a:effectLst/>
                        </wps:spPr>
                        <wps:bodyPr/>
                      </wps:wsp>
                      <wps:wsp>
                        <wps:cNvPr id="75" name="直接连接符 75"/>
                        <wps:cNvCnPr/>
                        <wps:spPr>
                          <a:xfrm rot="1200000">
                            <a:off x="550545" y="1195069"/>
                            <a:ext cx="634" cy="64770"/>
                          </a:xfrm>
                          <a:prstGeom prst="line">
                            <a:avLst/>
                          </a:prstGeom>
                          <a:ln w="12700" cap="flat" cmpd="sng">
                            <a:solidFill>
                              <a:srgbClr val="000000"/>
                            </a:solidFill>
                            <a:prstDash val="solid"/>
                            <a:round/>
                            <a:headEnd type="none" w="med" len="med"/>
                            <a:tailEnd type="none" w="med" len="med"/>
                          </a:ln>
                          <a:effectLst/>
                        </wps:spPr>
                        <wps:bodyPr/>
                      </wps:wsp>
                      <wps:wsp>
                        <wps:cNvPr id="76" name="直接连接符 76"/>
                        <wps:cNvCnPr/>
                        <wps:spPr>
                          <a:xfrm rot="1200000">
                            <a:off x="1159510" y="996950"/>
                            <a:ext cx="635" cy="64770"/>
                          </a:xfrm>
                          <a:prstGeom prst="line">
                            <a:avLst/>
                          </a:prstGeom>
                          <a:ln w="12700" cap="flat" cmpd="sng">
                            <a:solidFill>
                              <a:srgbClr val="000000"/>
                            </a:solidFill>
                            <a:prstDash val="solid"/>
                            <a:round/>
                            <a:headEnd type="none" w="med" len="med"/>
                            <a:tailEnd type="none" w="med" len="med"/>
                          </a:ln>
                          <a:effectLst/>
                        </wps:spPr>
                        <wps:bodyPr/>
                      </wps:wsp>
                      <wps:wsp>
                        <wps:cNvPr id="77" name="直接连接符 77"/>
                        <wps:cNvCnPr/>
                        <wps:spPr>
                          <a:xfrm rot="1200000">
                            <a:off x="1045844" y="1031240"/>
                            <a:ext cx="635" cy="64769"/>
                          </a:xfrm>
                          <a:prstGeom prst="line">
                            <a:avLst/>
                          </a:prstGeom>
                          <a:ln w="12700" cap="flat" cmpd="sng">
                            <a:solidFill>
                              <a:srgbClr val="000000"/>
                            </a:solidFill>
                            <a:prstDash val="solid"/>
                            <a:round/>
                            <a:headEnd type="none" w="med" len="med"/>
                            <a:tailEnd type="none" w="med" len="med"/>
                          </a:ln>
                          <a:effectLst/>
                        </wps:spPr>
                        <wps:bodyPr/>
                      </wps:wsp>
                      <wps:wsp>
                        <wps:cNvPr id="78" name="直接连接符 78"/>
                        <wps:cNvCnPr/>
                        <wps:spPr>
                          <a:xfrm rot="1200000">
                            <a:off x="245745" y="1195069"/>
                            <a:ext cx="634" cy="64770"/>
                          </a:xfrm>
                          <a:prstGeom prst="line">
                            <a:avLst/>
                          </a:prstGeom>
                          <a:ln w="12700" cap="flat" cmpd="sng">
                            <a:solidFill>
                              <a:srgbClr val="000000"/>
                            </a:solidFill>
                            <a:prstDash val="solid"/>
                            <a:round/>
                            <a:headEnd type="none" w="med" len="med"/>
                            <a:tailEnd type="none" w="med" len="med"/>
                          </a:ln>
                          <a:effectLst/>
                        </wps:spPr>
                        <wps:bodyPr/>
                      </wps:wsp>
                      <wps:wsp>
                        <wps:cNvPr id="79" name="直接连接符 79"/>
                        <wps:cNvCnPr/>
                        <wps:spPr>
                          <a:xfrm rot="1200000">
                            <a:off x="702945" y="1195069"/>
                            <a:ext cx="635" cy="64770"/>
                          </a:xfrm>
                          <a:prstGeom prst="line">
                            <a:avLst/>
                          </a:prstGeom>
                          <a:ln w="12700" cap="flat" cmpd="sng">
                            <a:solidFill>
                              <a:srgbClr val="000000"/>
                            </a:solidFill>
                            <a:prstDash val="solid"/>
                            <a:round/>
                            <a:headEnd type="none" w="med" len="med"/>
                            <a:tailEnd type="none" w="med" len="med"/>
                          </a:ln>
                          <a:effectLst/>
                        </wps:spPr>
                        <wps:bodyPr/>
                      </wps:wsp>
                      <wps:wsp>
                        <wps:cNvPr id="80" name="直接连接符 80"/>
                        <wps:cNvCnPr/>
                        <wps:spPr>
                          <a:xfrm rot="1200000">
                            <a:off x="855345" y="1195069"/>
                            <a:ext cx="635" cy="64770"/>
                          </a:xfrm>
                          <a:prstGeom prst="line">
                            <a:avLst/>
                          </a:prstGeom>
                          <a:ln w="12700" cap="flat" cmpd="sng">
                            <a:solidFill>
                              <a:srgbClr val="000000"/>
                            </a:solidFill>
                            <a:prstDash val="solid"/>
                            <a:round/>
                            <a:headEnd type="none" w="med" len="med"/>
                            <a:tailEnd type="none" w="med" len="med"/>
                          </a:ln>
                          <a:effectLst/>
                        </wps:spPr>
                        <wps:bodyPr/>
                      </wps:wsp>
                      <wps:wsp>
                        <wps:cNvPr id="81" name="直接连接符 81"/>
                        <wps:cNvCnPr/>
                        <wps:spPr>
                          <a:xfrm rot="1200000">
                            <a:off x="1388110" y="897890"/>
                            <a:ext cx="635" cy="64769"/>
                          </a:xfrm>
                          <a:prstGeom prst="line">
                            <a:avLst/>
                          </a:prstGeom>
                          <a:ln w="12700" cap="flat" cmpd="sng">
                            <a:solidFill>
                              <a:srgbClr val="000000"/>
                            </a:solidFill>
                            <a:prstDash val="solid"/>
                            <a:round/>
                            <a:headEnd type="none" w="med" len="med"/>
                            <a:tailEnd type="none" w="med" len="med"/>
                          </a:ln>
                          <a:effectLst/>
                        </wps:spPr>
                        <wps:bodyPr/>
                      </wps:wsp>
                      <wps:wsp>
                        <wps:cNvPr id="82" name="直接连接符 82"/>
                        <wps:cNvCnPr/>
                        <wps:spPr>
                          <a:xfrm rot="1200000">
                            <a:off x="2073910" y="699770"/>
                            <a:ext cx="635" cy="64770"/>
                          </a:xfrm>
                          <a:prstGeom prst="line">
                            <a:avLst/>
                          </a:prstGeom>
                          <a:ln w="12700" cap="flat" cmpd="sng">
                            <a:solidFill>
                              <a:srgbClr val="000000"/>
                            </a:solidFill>
                            <a:prstDash val="solid"/>
                            <a:round/>
                            <a:headEnd type="none" w="med" len="med"/>
                            <a:tailEnd type="none" w="med" len="med"/>
                          </a:ln>
                          <a:effectLst/>
                        </wps:spPr>
                        <wps:bodyPr/>
                      </wps:wsp>
                      <wps:wsp>
                        <wps:cNvPr id="83" name="直接连接符 83"/>
                        <wps:cNvCnPr/>
                        <wps:spPr>
                          <a:xfrm rot="1200000">
                            <a:off x="1959610" y="699770"/>
                            <a:ext cx="635" cy="64770"/>
                          </a:xfrm>
                          <a:prstGeom prst="line">
                            <a:avLst/>
                          </a:prstGeom>
                          <a:ln w="12700" cap="flat" cmpd="sng">
                            <a:solidFill>
                              <a:srgbClr val="000000"/>
                            </a:solidFill>
                            <a:prstDash val="solid"/>
                            <a:round/>
                            <a:headEnd type="none" w="med" len="med"/>
                            <a:tailEnd type="none" w="med" len="med"/>
                          </a:ln>
                          <a:effectLst/>
                        </wps:spPr>
                        <wps:bodyPr/>
                      </wps:wsp>
                      <wps:wsp>
                        <wps:cNvPr id="84" name="直接连接符 84"/>
                        <wps:cNvCnPr/>
                        <wps:spPr>
                          <a:xfrm rot="1200000">
                            <a:off x="1731010" y="699770"/>
                            <a:ext cx="635" cy="64770"/>
                          </a:xfrm>
                          <a:prstGeom prst="line">
                            <a:avLst/>
                          </a:prstGeom>
                          <a:ln w="12700" cap="flat" cmpd="sng">
                            <a:solidFill>
                              <a:srgbClr val="000000"/>
                            </a:solidFill>
                            <a:prstDash val="solid"/>
                            <a:round/>
                            <a:headEnd type="none" w="med" len="med"/>
                            <a:tailEnd type="none" w="med" len="med"/>
                          </a:ln>
                          <a:effectLst/>
                        </wps:spPr>
                        <wps:bodyPr/>
                      </wps:wsp>
                      <wps:wsp>
                        <wps:cNvPr id="85" name="直接连接符 85"/>
                        <wps:cNvCnPr/>
                        <wps:spPr>
                          <a:xfrm rot="1200000">
                            <a:off x="1654810" y="798830"/>
                            <a:ext cx="634" cy="64769"/>
                          </a:xfrm>
                          <a:prstGeom prst="line">
                            <a:avLst/>
                          </a:prstGeom>
                          <a:ln w="12700" cap="flat" cmpd="sng">
                            <a:solidFill>
                              <a:srgbClr val="000000"/>
                            </a:solidFill>
                            <a:prstDash val="solid"/>
                            <a:round/>
                            <a:headEnd type="none" w="med" len="med"/>
                            <a:tailEnd type="none" w="med" len="med"/>
                          </a:ln>
                          <a:effectLst/>
                        </wps:spPr>
                        <wps:bodyPr/>
                      </wps:wsp>
                      <wps:wsp>
                        <wps:cNvPr id="86" name="直接连接符 86"/>
                        <wps:cNvCnPr/>
                        <wps:spPr>
                          <a:xfrm rot="1200000">
                            <a:off x="1807210" y="699770"/>
                            <a:ext cx="635" cy="64770"/>
                          </a:xfrm>
                          <a:prstGeom prst="line">
                            <a:avLst/>
                          </a:prstGeom>
                          <a:ln w="12700" cap="flat" cmpd="sng">
                            <a:solidFill>
                              <a:srgbClr val="000000"/>
                            </a:solidFill>
                            <a:prstDash val="solid"/>
                            <a:round/>
                            <a:headEnd type="none" w="med" len="med"/>
                            <a:tailEnd type="none" w="med" len="med"/>
                          </a:ln>
                          <a:effectLst/>
                        </wps:spPr>
                        <wps:bodyPr/>
                      </wps:wsp>
                      <wps:wsp>
                        <wps:cNvPr id="87" name="直接连接符 87"/>
                        <wps:cNvCnPr/>
                        <wps:spPr>
                          <a:xfrm rot="1200000">
                            <a:off x="2188210" y="699770"/>
                            <a:ext cx="635" cy="64770"/>
                          </a:xfrm>
                          <a:prstGeom prst="line">
                            <a:avLst/>
                          </a:prstGeom>
                          <a:ln w="12700" cap="flat" cmpd="sng">
                            <a:solidFill>
                              <a:srgbClr val="000000"/>
                            </a:solidFill>
                            <a:prstDash val="solid"/>
                            <a:round/>
                            <a:headEnd type="none" w="med" len="med"/>
                            <a:tailEnd type="none" w="med" len="med"/>
                          </a:ln>
                          <a:effectLst/>
                        </wps:spPr>
                        <wps:bodyPr/>
                      </wps:wsp>
                      <wps:wsp>
                        <wps:cNvPr id="88" name="直接连接符 88"/>
                        <wps:cNvCnPr/>
                        <wps:spPr>
                          <a:xfrm rot="1200000">
                            <a:off x="17145" y="1393190"/>
                            <a:ext cx="634" cy="64770"/>
                          </a:xfrm>
                          <a:prstGeom prst="line">
                            <a:avLst/>
                          </a:prstGeom>
                          <a:ln w="12700" cap="flat" cmpd="sng">
                            <a:solidFill>
                              <a:srgbClr val="000000"/>
                            </a:solidFill>
                            <a:prstDash val="solid"/>
                            <a:round/>
                            <a:headEnd type="none" w="med" len="med"/>
                            <a:tailEnd type="none" w="med" len="med"/>
                          </a:ln>
                          <a:effectLst/>
                        </wps:spPr>
                        <wps:bodyPr/>
                      </wps:wsp>
                      <wps:wsp>
                        <wps:cNvPr id="89" name="直接连接符 89"/>
                        <wps:cNvCnPr/>
                        <wps:spPr>
                          <a:xfrm rot="1200000">
                            <a:off x="3216910" y="204470"/>
                            <a:ext cx="635" cy="64770"/>
                          </a:xfrm>
                          <a:prstGeom prst="line">
                            <a:avLst/>
                          </a:prstGeom>
                          <a:ln w="12700" cap="flat" cmpd="sng">
                            <a:solidFill>
                              <a:srgbClr val="000000"/>
                            </a:solidFill>
                            <a:prstDash val="solid"/>
                            <a:round/>
                            <a:headEnd type="none" w="med" len="med"/>
                            <a:tailEnd type="none" w="med" len="med"/>
                          </a:ln>
                          <a:effectLst/>
                        </wps:spPr>
                        <wps:bodyPr/>
                      </wps:wsp>
                      <wps:wsp>
                        <wps:cNvPr id="90" name="直接连接符 90"/>
                        <wps:cNvCnPr/>
                        <wps:spPr>
                          <a:xfrm rot="1200000">
                            <a:off x="2340610" y="699770"/>
                            <a:ext cx="635" cy="64770"/>
                          </a:xfrm>
                          <a:prstGeom prst="line">
                            <a:avLst/>
                          </a:prstGeom>
                          <a:ln w="12700" cap="flat" cmpd="sng">
                            <a:solidFill>
                              <a:srgbClr val="000000"/>
                            </a:solidFill>
                            <a:prstDash val="solid"/>
                            <a:round/>
                            <a:headEnd type="none" w="med" len="med"/>
                            <a:tailEnd type="none" w="med" len="med"/>
                          </a:ln>
                          <a:effectLst/>
                        </wps:spPr>
                        <wps:bodyPr/>
                      </wps:wsp>
                      <wps:wsp>
                        <wps:cNvPr id="91" name="直接连接符 91"/>
                        <wps:cNvCnPr/>
                        <wps:spPr>
                          <a:xfrm rot="1200000">
                            <a:off x="3102610" y="204470"/>
                            <a:ext cx="635" cy="64770"/>
                          </a:xfrm>
                          <a:prstGeom prst="line">
                            <a:avLst/>
                          </a:prstGeom>
                          <a:ln w="12700" cap="flat" cmpd="sng">
                            <a:solidFill>
                              <a:srgbClr val="000000"/>
                            </a:solidFill>
                            <a:prstDash val="solid"/>
                            <a:round/>
                            <a:headEnd type="none" w="med" len="med"/>
                            <a:tailEnd type="none" w="med" len="med"/>
                          </a:ln>
                          <a:effectLst/>
                        </wps:spPr>
                        <wps:bodyPr/>
                      </wps:wsp>
                      <wps:wsp>
                        <wps:cNvPr id="92" name="直接连接符 92"/>
                        <wps:cNvCnPr/>
                        <wps:spPr>
                          <a:xfrm rot="1200000">
                            <a:off x="3331210" y="204470"/>
                            <a:ext cx="635" cy="64770"/>
                          </a:xfrm>
                          <a:prstGeom prst="line">
                            <a:avLst/>
                          </a:prstGeom>
                          <a:ln w="12700" cap="flat" cmpd="sng">
                            <a:solidFill>
                              <a:srgbClr val="000000"/>
                            </a:solidFill>
                            <a:prstDash val="solid"/>
                            <a:round/>
                            <a:headEnd type="none" w="med" len="med"/>
                            <a:tailEnd type="none" w="med" len="med"/>
                          </a:ln>
                          <a:effectLst/>
                        </wps:spPr>
                        <wps:bodyPr/>
                      </wps:wsp>
                      <wps:wsp>
                        <wps:cNvPr id="93" name="直接连接符 93"/>
                        <wps:cNvCnPr/>
                        <wps:spPr>
                          <a:xfrm rot="1200000">
                            <a:off x="3445510" y="204470"/>
                            <a:ext cx="635" cy="64770"/>
                          </a:xfrm>
                          <a:prstGeom prst="line">
                            <a:avLst/>
                          </a:prstGeom>
                          <a:ln w="12700" cap="flat" cmpd="sng">
                            <a:solidFill>
                              <a:srgbClr val="000000"/>
                            </a:solidFill>
                            <a:prstDash val="solid"/>
                            <a:round/>
                            <a:headEnd type="none" w="med" len="med"/>
                            <a:tailEnd type="none" w="med" len="med"/>
                          </a:ln>
                          <a:effectLst/>
                        </wps:spPr>
                        <wps:bodyPr/>
                      </wps:wsp>
                      <wps:wsp>
                        <wps:cNvPr id="94" name="直接连接符 94"/>
                        <wps:cNvCnPr/>
                        <wps:spPr>
                          <a:xfrm rot="1200000">
                            <a:off x="3560445" y="204470"/>
                            <a:ext cx="634" cy="64770"/>
                          </a:xfrm>
                          <a:prstGeom prst="line">
                            <a:avLst/>
                          </a:prstGeom>
                          <a:ln w="12700" cap="flat" cmpd="sng">
                            <a:solidFill>
                              <a:srgbClr val="000000"/>
                            </a:solidFill>
                            <a:prstDash val="solid"/>
                            <a:round/>
                            <a:headEnd type="none" w="med" len="med"/>
                            <a:tailEnd type="none" w="med" len="med"/>
                          </a:ln>
                          <a:effectLst/>
                        </wps:spPr>
                        <wps:bodyPr/>
                      </wps:wsp>
                      <wps:wsp>
                        <wps:cNvPr id="95" name="直接连接符 95"/>
                        <wps:cNvCnPr/>
                        <wps:spPr>
                          <a:xfrm rot="1200000">
                            <a:off x="3674745" y="204470"/>
                            <a:ext cx="634" cy="64770"/>
                          </a:xfrm>
                          <a:prstGeom prst="line">
                            <a:avLst/>
                          </a:prstGeom>
                          <a:ln w="12700" cap="flat" cmpd="sng">
                            <a:solidFill>
                              <a:srgbClr val="000000"/>
                            </a:solidFill>
                            <a:prstDash val="solid"/>
                            <a:round/>
                            <a:headEnd type="none" w="med" len="med"/>
                            <a:tailEnd type="none" w="med" len="med"/>
                          </a:ln>
                          <a:effectLst/>
                        </wps:spPr>
                        <wps:bodyPr/>
                      </wps:wsp>
                      <wps:wsp>
                        <wps:cNvPr id="96" name="直接连接符 96"/>
                        <wps:cNvCnPr/>
                        <wps:spPr>
                          <a:xfrm rot="1200000">
                            <a:off x="2874010" y="402590"/>
                            <a:ext cx="635" cy="64769"/>
                          </a:xfrm>
                          <a:prstGeom prst="line">
                            <a:avLst/>
                          </a:prstGeom>
                          <a:ln w="12700" cap="flat" cmpd="sng">
                            <a:solidFill>
                              <a:srgbClr val="000000"/>
                            </a:solidFill>
                            <a:prstDash val="solid"/>
                            <a:round/>
                            <a:headEnd type="none" w="med" len="med"/>
                            <a:tailEnd type="none" w="med" len="med"/>
                          </a:ln>
                          <a:effectLst/>
                        </wps:spPr>
                        <wps:bodyPr/>
                      </wps:wsp>
                      <wps:wsp>
                        <wps:cNvPr id="97" name="直接连接符 97"/>
                        <wps:cNvCnPr/>
                        <wps:spPr>
                          <a:xfrm rot="1200000">
                            <a:off x="2531745" y="501650"/>
                            <a:ext cx="634" cy="64770"/>
                          </a:xfrm>
                          <a:prstGeom prst="line">
                            <a:avLst/>
                          </a:prstGeom>
                          <a:ln w="12700" cap="flat" cmpd="sng">
                            <a:solidFill>
                              <a:srgbClr val="000000"/>
                            </a:solidFill>
                            <a:prstDash val="solid"/>
                            <a:round/>
                            <a:headEnd type="none" w="med" len="med"/>
                            <a:tailEnd type="none" w="med" len="med"/>
                          </a:ln>
                          <a:effectLst/>
                        </wps:spPr>
                        <wps:bodyPr/>
                      </wps:wsp>
                      <wps:wsp>
                        <wps:cNvPr id="98" name="直接连接符 98"/>
                        <wps:cNvCnPr/>
                        <wps:spPr>
                          <a:xfrm rot="1200000">
                            <a:off x="1274445" y="932180"/>
                            <a:ext cx="635" cy="64770"/>
                          </a:xfrm>
                          <a:prstGeom prst="line">
                            <a:avLst/>
                          </a:prstGeom>
                          <a:ln w="12700" cap="flat" cmpd="sng">
                            <a:solidFill>
                              <a:srgbClr val="000000"/>
                            </a:solidFill>
                            <a:prstDash val="solid"/>
                            <a:round/>
                            <a:headEnd type="none" w="med" len="med"/>
                            <a:tailEnd type="none" w="med" len="med"/>
                          </a:ln>
                          <a:effectLst/>
                        </wps:spPr>
                        <wps:bodyPr/>
                      </wps:wsp>
                      <wps:wsp>
                        <wps:cNvPr id="99" name="直接连接符 99"/>
                        <wps:cNvCnPr/>
                        <wps:spPr>
                          <a:xfrm rot="1200000">
                            <a:off x="2646045" y="501650"/>
                            <a:ext cx="634" cy="64770"/>
                          </a:xfrm>
                          <a:prstGeom prst="line">
                            <a:avLst/>
                          </a:prstGeom>
                          <a:ln w="12700" cap="flat" cmpd="sng">
                            <a:solidFill>
                              <a:srgbClr val="000000"/>
                            </a:solidFill>
                            <a:prstDash val="solid"/>
                            <a:round/>
                            <a:headEnd type="none" w="med" len="med"/>
                            <a:tailEnd type="none" w="med" len="med"/>
                          </a:ln>
                          <a:effectLst/>
                        </wps:spPr>
                        <wps:bodyPr/>
                      </wps:wsp>
                      <wps:wsp>
                        <wps:cNvPr id="100" name="直接连接符 100"/>
                        <wps:cNvCnPr/>
                        <wps:spPr>
                          <a:xfrm rot="1200000">
                            <a:off x="3178810" y="303530"/>
                            <a:ext cx="635" cy="64770"/>
                          </a:xfrm>
                          <a:prstGeom prst="line">
                            <a:avLst/>
                          </a:prstGeom>
                          <a:ln w="12700" cap="flat" cmpd="sng">
                            <a:solidFill>
                              <a:srgbClr val="000000"/>
                            </a:solidFill>
                            <a:prstDash val="solid"/>
                            <a:round/>
                            <a:headEnd type="none" w="med" len="med"/>
                            <a:tailEnd type="none" w="med" len="med"/>
                          </a:ln>
                          <a:effectLst/>
                        </wps:spPr>
                        <wps:bodyPr/>
                      </wps:wsp>
                      <wps:wsp>
                        <wps:cNvPr id="101" name="直接连接符 101"/>
                        <wps:cNvCnPr/>
                        <wps:spPr>
                          <a:xfrm rot="1200000">
                            <a:off x="3103245" y="337820"/>
                            <a:ext cx="634" cy="64770"/>
                          </a:xfrm>
                          <a:prstGeom prst="line">
                            <a:avLst/>
                          </a:prstGeom>
                          <a:ln w="12700" cap="flat" cmpd="sng">
                            <a:solidFill>
                              <a:srgbClr val="000000"/>
                            </a:solidFill>
                            <a:prstDash val="solid"/>
                            <a:round/>
                            <a:headEnd type="none" w="med" len="med"/>
                            <a:tailEnd type="none" w="med" len="med"/>
                          </a:ln>
                          <a:effectLst/>
                        </wps:spPr>
                        <wps:bodyPr/>
                      </wps:wsp>
                      <wps:wsp>
                        <wps:cNvPr id="102" name="直接连接符 102"/>
                        <wps:cNvCnPr/>
                        <wps:spPr>
                          <a:xfrm rot="1200000">
                            <a:off x="2759710" y="436880"/>
                            <a:ext cx="635" cy="64769"/>
                          </a:xfrm>
                          <a:prstGeom prst="line">
                            <a:avLst/>
                          </a:prstGeom>
                          <a:ln w="12700" cap="flat" cmpd="sng">
                            <a:solidFill>
                              <a:srgbClr val="000000"/>
                            </a:solidFill>
                            <a:prstDash val="solid"/>
                            <a:round/>
                            <a:headEnd type="none" w="med" len="med"/>
                            <a:tailEnd type="none" w="med" len="med"/>
                          </a:ln>
                          <a:effectLst/>
                        </wps:spPr>
                        <wps:bodyPr/>
                      </wps:wsp>
                    </wpc:wpc>
                  </a:graphicData>
                </a:graphic>
              </wp:inline>
            </w:drawing>
          </mc:Choice>
          <mc:Fallback>
            <w:pict>
              <v:group id="_x0000_s1026" o:spid="_x0000_s1026" o:spt="203" style="height:115.2pt;width:316.85pt;" coordsize="4023995,1463040" editas="canvas" o:gfxdata="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&#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">
                <o:lock v:ext="edit" aspectratio="f"/>
                <v:shape id="_x0000_s1026" o:spid="_x0000_s1026" style="position:absolute;left:0;top:0;height:1463040;width:4023995;" filled="f" stroked="f" coordsize="21600,21600" o:gfxdata="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">
                  <v:fill on="f" focussize="0,0"/>
                  <v:stroke on="f"/>
                  <v:imagedata o:title=""/>
                  <o:lock v:ext="edit" aspectratio="f"/>
                </v:shape>
                <v:line id="_x0000_s1026" o:spid="_x0000_s1026" o:spt="20" style="position:absolute;left:17145;top:6350;flip:y;height:1386840;width:4000500;" filled="f" stroked="t" coordsize="21600,21600" o:gfxdata="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3O4igtQAAAAFAQAADwAAAAAAAAABACAAAAAi&#10;AAAAZHJzL2Rvd25yZXYueG1sUEsBAhQAFAAAAAgAh07iQEdbWh0OAgAACQQAAA4AAAAAAAAAAQAg&#10;AAAAIwEAAGRycy9lMm9Eb2MueG1sUEsFBgAAAAAGAAYAWQEAAKMFAAAAAA==&#10;">
                  <v:fill on="f" focussize="0,0"/>
                  <v:stroke weight="1pt" color="#000000" joinstyle="round" dashstyle="dash"/>
                  <v:imagedata o:title=""/>
                  <o:lock v:ext="edit" aspectratio="f"/>
                </v:line>
                <v:line id="_x0000_s1026" o:spid="_x0000_s1026" o:spt="20" style="position:absolute;left:245745;top:1195069;height:635;width:685799;" filled="f" stroked="t" coordsize="21600,21600" o:gfxdata="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mEYpdUAAAAFAQAADwAAAAAAAAABACAAAAAiAAAAZHJz&#10;L2Rvd25yZXYueG1sUEsBAhQAFAAAAAgAh07iQCaN00sHAgAA/wMAAA4AAAAAAAAAAQAgAAAAJAEA&#10;AGRycy9lMm9Eb2MueG1sUEsFBgAAAAAGAAYAWQEAAJ0FAAAAAA==&#10;">
                  <v:fill on="f" focussize="0,0"/>
                  <v:stroke weight="1.5pt" color="#000000" joinstyle="round"/>
                  <v:imagedata o:title=""/>
                  <o:lock v:ext="edit" aspectratio="f"/>
                </v:line>
                <v:line id="_x0000_s1026" o:spid="_x0000_s1026" o:spt="20" style="position:absolute;left:1617345;top:699770;height:635;width:800100;" filled="f" stroked="t" coordsize="21600,21600" o:gfxdata="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mEYpdUAAAAFAQAADwAAAAAAAAABACAAAAAiAAAAZHJzL2Rv&#10;d25yZXYueG1sUEsBAhQAFAAAAAgAh07iQCHwhq8EAgAA/wMAAA4AAAAAAAAAAQAgAAAAJAEAAGRy&#10;cy9lMm9Eb2MueG1sUEsFBgAAAAAGAAYAWQEAAJoFAAAAAA==&#10;">
                  <v:fill on="f" focussize="0,0"/>
                  <v:stroke weight="1.5pt" color="#000000" joinstyle="round"/>
                  <v:imagedata o:title=""/>
                  <o:lock v:ext="edit" aspectratio="f"/>
                </v:line>
                <v:line id="_x0000_s1026" o:spid="_x0000_s1026" o:spt="20" style="position:absolute;left:3103245;top:204470;height:635;width:685800;" filled="f" stroked="t" coordsize="21600,21600" o:gfxdata="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mEYpdUAAAAFAQAADwAAAAAAAAABACAAAAAiAAAAZHJzL2Rv&#10;d25yZXYueG1sUEsBAhQAFAAAAAgAh07iQHy6MxwEAgAA/wMAAA4AAAAAAAAAAQAgAAAAJAEAAGRy&#10;cy9lMm9Eb2MueG1sUEsFBgAAAAAGAAYAWQEAAJoFAAAAAA==&#10;">
                  <v:fill on="f" focussize="0,0"/>
                  <v:stroke weight="1.5pt" color="#000000" joinstyle="round"/>
                  <v:imagedata o:title=""/>
                  <o:lock v:ext="edit" aspectratio="f"/>
                </v:line>
                <v:line id="_x0000_s1026" o:spid="_x0000_s1026" o:spt="20" style="position:absolute;left:931544;top:1058545;height:136524;width:635;rotation:983040f;" filled="f" stroked="t" coordsize="21600,21600" o:gfxdata="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JO3V9QAAAAFAQAADwAAAAAAAAABACAAAAAi&#10;AAAAZHJzL2Rvd25yZXYueG1sUEsBAhQAFAAAAAgAh07iQLFWm0AOAgAADAQAAA4AAAAAAAAAAQAg&#10;AAAAIwEAAGRycy9lMm9Eb2MueG1sUEsFBgAAAAAGAAYAWQEAAKMFAAAAAA==&#10;">
                  <v:fill on="f" focussize="0,0"/>
                  <v:stroke weight="1.5pt" color="#000000" joinstyle="round"/>
                  <v:imagedata o:title=""/>
                  <o:lock v:ext="edit" aspectratio="f"/>
                </v:line>
                <v:line id="_x0000_s1026" o:spid="_x0000_s1026" o:spt="20" style="position:absolute;left:2416810;top:563245;height:136524;width:635;rotation:983040f;" filled="f" stroked="t" coordsize="21600,21600" o:gfxdata="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ok7dX1AAAAAUBAAAPAAAAAAAAAAEAIAAAACIA&#10;AABkcnMvZG93bnJldi54bWxQSwECFAAUAAAACACHTuJAcY2s6Q0CAAAMBAAADgAAAAAAAAABACAA&#10;AAAjAQAAZHJzL2Uyb0RvYy54bWxQSwUGAAAAAAYABgBZAQAAogUAAAAA&#10;">
                  <v:fill on="f" focussize="0,0"/>
                  <v:stroke weight="1.5pt" color="#000000" joinstyle="round"/>
                  <v:imagedata o:title=""/>
                  <o:lock v:ext="edit" aspectratio="f"/>
                </v:line>
                <v:line id="_x0000_s1026" o:spid="_x0000_s1026" o:spt="20" style="position:absolute;left:3788410;top:67945;height:136525;width:635;rotation:983040f;" filled="f" stroked="t" coordsize="21600,21600" o:gfxdata="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iTt1fUAAAABQEAAA8AAAAAAAAAAQAgAAAA&#10;IgAAAGRycy9kb3ducmV2LnhtbFBLAQIUABQAAAAIAIdO4kBF66ysDwIAAAsEAAAOAAAAAAAAAAEA&#10;IAAAACMBAABkcnMvZTJvRG9jLnhtbFBLBQYAAAAABgAGAFkBAACkBQAAAAA=&#10;">
                  <v:fill on="f" focussize="0,0"/>
                  <v:stroke weight="1.5pt" color="#000000" joinstyle="round"/>
                  <v:imagedata o:title=""/>
                  <o:lock v:ext="edit" aspectratio="f"/>
                </v:line>
                <v:shape id="_x0000_s1026" o:spid="_x0000_s1026" o:spt="100" style="position:absolute;left:1617345;top:633730;height:64770;width:114300;rotation:11796480f;" fillcolor="#FFFFFF" filled="t" stroked="t" coordsize="21600,21600" o:gfxdata="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GjhFarWAAAABQEAAA8AAAAAAAAA&#10;AQAgAAAAIgAAAGRycy9kb3ducmV2LnhtbFBLAQIUABQAAAAIAIdO4kCbI5NFhQIAAIkFAAAOAAAA&#10;AAAAAAEAIAAAACUBAABkcnMvZTJvRG9jLnhtbFBLBQYAAAAABgAGAFkBAAAcBgAAAAA=&#10;" path="m0,0l5400,21600,16200,21600,21600,0,0,0xe">
                  <v:fill on="t" focussize="0,0"/>
                  <v:stroke weight="1.5pt" color="#000000" joinstyle="miter"/>
                  <v:imagedata o:title=""/>
                  <o:lock v:ext="edit" aspectratio="f"/>
                </v:shape>
                <v:line id="_x0000_s1026" o:spid="_x0000_s1026" o:spt="20" style="position:absolute;left:1503045;top:699770;flip:x;height:198120;width:114300;" filled="f" stroked="t" coordsize="21600,21600" o:gfxdata="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INPq+1QAAAAUBAAAPAAAAAAAAAAEAIAAA&#10;ACIAAABkcnMvZG93bnJldi54bWxQSwECFAAUAAAACACHTuJAxGYIVg8CAAAMBAAADgAAAAAAAAAB&#10;ACAAAAAkAQAAZHJzL2Uyb0RvYy54bWxQSwUGAAAAAAYABgBZAQAApQUAAAAA&#10;">
                  <v:fill on="f" focussize="0,0"/>
                  <v:stroke weight="1.5pt" color="#000000" joinstyle="round"/>
                  <v:imagedata o:title=""/>
                  <o:lock v:ext="edit" aspectratio="f"/>
                </v:line>
                <v:shape id="_x0000_s1026" o:spid="_x0000_s1026" o:spt="100" style="position:absolute;left:245745;top:1130300;height:64769;width:114299;rotation:11796480f;" fillcolor="#FFFFFF" filled="t" stroked="t" coordsize="21600,21600" o:gfxdata="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o4RWq1gAAAAUBAAAPAAAA&#10;AAAAAAEAIAAAACIAAABkcnMvZG93bnJldi54bWxQSwECFAAUAAAACACHTuJA0P6brYkCAACJBQAA&#10;DgAAAAAAAAABACAAAAAlAQAAZHJzL2Uyb0RvYy54bWxQSwUGAAAAAAYABgBZAQAAIAYAAAAA&#10;" path="m0,0l5400,21600,16200,21600,21600,0,0,0xe">
                  <v:fill on="t" focussize="0,0"/>
                  <v:stroke weight="1.5pt" color="#000000" joinstyle="miter"/>
                  <v:imagedata o:title=""/>
                  <o:lock v:ext="edit" aspectratio="f"/>
                </v:shape>
                <v:line id="_x0000_s1026" o:spid="_x0000_s1026" o:spt="20" style="position:absolute;left:131445;top:1195069;flip:x;height:198120;width:114300;" filled="f" stroked="t" coordsize="21600,21600" o:gfxdata="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g0+r7VAAAABQEAAA8AAAAAAAAAAQAgAAAA&#10;IgAAAGRycy9kb3ducmV2LnhtbFBLAQIUABQAAAAIAIdO4kDFpV6MDgIAAAwEAAAOAAAAAAAAAAEA&#10;IAAAACQBAABkcnMvZTJvRG9jLnhtbFBLBQYAAAAABgAGAFkBAACkBQAAAAA=&#10;">
                  <v:fill on="f" focussize="0,0"/>
                  <v:stroke weight="1.5pt" color="#000000" joinstyle="round"/>
                  <v:imagedata o:title=""/>
                  <o:lock v:ext="edit" aspectratio="f"/>
                </v:line>
                <v:line id="_x0000_s1026" o:spid="_x0000_s1026" o:spt="20" style="position:absolute;left:2988945;top:204470;flip:x;height:198120;width:114300;" filled="f" stroked="t" coordsize="21600,21600" o:gfxdata="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DT6vtUAAAAFAQAADwAAAAAAAAABACAA&#10;AAAiAAAAZHJzL2Rvd25yZXYueG1sUEsBAhQAFAAAAAgAh07iQLxYGl4QAgAADAQAAA4AAAAAAAAA&#10;AQAgAAAAJAEAAGRycy9lMm9Eb2MueG1sUEsFBgAAAAAGAAYAWQEAAKYFAAAAAA==&#10;">
                  <v:fill on="f" focussize="0,0"/>
                  <v:stroke weight="1.5pt" color="#000000" joinstyle="round"/>
                  <v:imagedata o:title=""/>
                  <o:lock v:ext="edit" aspectratio="f"/>
                </v:line>
                <v:shape id="_x0000_s1026" o:spid="_x0000_s1026" o:spt="100" style="position:absolute;left:3103245;top:139700;height:64770;width:114300;rotation:11796480f;" fillcolor="#FFFFFF" filled="t" stroked="t" coordsize="21600,21600" o:gfxdata="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o4RWq1gAAAAUBAAAPAAAAAAAA&#10;AAEAIAAAACIAAABkcnMvZG93bnJldi54bWxQSwECFAAUAAAACACHTuJAxKhSV4YCAACJBQAADgAA&#10;AAAAAAABACAAAAAlAQAAZHJzL2Uyb0RvYy54bWxQSwUGAAAAAAYABgBZAQAAHQYAAAAA&#10;" path="m0,0l5400,21600,16200,21600,21600,0,0,0xe">
                  <v:fill on="t" focussize="0,0"/>
                  <v:stroke weight="1.5pt" color="#000000" joinstyle="miter"/>
                  <v:imagedata o:title=""/>
                  <o:lock v:ext="edit" aspectratio="f"/>
                </v:shape>
                <v:line id="_x0000_s1026" o:spid="_x0000_s1026" o:spt="20" style="position:absolute;left:1617345;top:6350;flip:y;height:594360;width:0;" filled="f" stroked="t" coordsize="21600,21600" o:gfxdata="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vYTS31QAAAAUBAAAPAAAAAAAAAAEAIAAAACIAAABk&#10;cnMvZG93bnJldi54bWxQSwECFAAUAAAACACHTuJAjheQPgkCAAAEBAAADgAAAAAAAAABACAAAAAk&#10;AQAAZHJzL2Uyb0RvYy54bWxQSwUGAAAAAAYABgBZAQAAnwUAAAAA&#10;">
                  <v:fill on="f" focussize="0,0"/>
                  <v:stroke color="#000000" joinstyle="round"/>
                  <v:imagedata o:title=""/>
                  <o:lock v:ext="edit" aspectratio="f"/>
                </v:line>
                <v:line id="_x0000_s1026" o:spid="_x0000_s1026" o:spt="20" style="position:absolute;left:2417445;top:6350;flip:y;height:495300;width:0;" filled="f" stroked="t" coordsize="21600,21600" o:gfxdata="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9hNLfVAAAABQEAAA8AAAAAAAAAAQAgAAAAIgAA&#10;AGRycy9kb3ducmV2LnhtbFBLAQIUABQAAAAIAIdO4kCIoRSWCwIAAAQEAAAOAAAAAAAAAAEAIAAA&#10;ACQBAABkcnMvZTJvRG9jLnhtbFBLBQYAAAAABgAGAFkBAAChBQAAAAA=&#10;">
                  <v:fill on="f" focussize="0,0"/>
                  <v:stroke color="#000000" joinstyle="round"/>
                  <v:imagedata o:title=""/>
                  <o:lock v:ext="edit" aspectratio="f"/>
                </v:line>
                <v:line id="_x0000_s1026" o:spid="_x0000_s1026" o:spt="20" style="position:absolute;left:931544;top:6350;flip:y;height:990600;width:0;" filled="f" stroked="t" coordsize="21600,21600" o:gfxdata="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9hNLfVAAAABQEAAA8AAAAAAAAAAQAgAAAAIgAAAGRy&#10;cy9kb3ducmV2LnhtbFBLAQIUABQAAAAIAIdO4kAX16L0CAIAAAMEAAAOAAAAAAAAAAEAIAAAACQB&#10;AABkcnMvZTJvRG9jLnhtbFBLBQYAAAAABgAGAFkBAACeBQAAAAA=&#10;">
                  <v:fill on="f" focussize="0,0"/>
                  <v:stroke color="#000000" joinstyle="round"/>
                  <v:imagedata o:title=""/>
                  <o:lock v:ext="edit" aspectratio="f"/>
                </v:line>
                <v:rect id="_x0000_s1026" o:spid="_x0000_s1026" o:spt="1" style="position:absolute;left:1845945;top:105410;height:297180;width:342900;" filled="f" stroked="f" coordsize="21600,21600" o:gfxdata="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d&#10;UwVm1wAAAAUBAAAPAAAAAAAAAAEAIAAAACIAAABkcnMvZG93bnJldi54bWxQSwECFAAUAAAACACH&#10;TuJA603RzbMBAABbAwAADgAAAAAAAAABACAAAAAmAQAAZHJzL2Uyb0RvYy54bWxQSwUGAAAAAAYA&#10;BgBZAQAASwUAAAAA&#10;">
                  <v:fill on="f" focussize="0,0"/>
                  <v:stroke on="f"/>
                  <v:imagedata o:title=""/>
                  <o:lock v:ext="edit" aspectratio="f"/>
                  <v:textbox>
                    <w:txbxContent>
                      <w:p w14:paraId="3F0293E1">
                        <w:pPr>
                          <w:rPr>
                            <w:rFonts w:ascii="Times New Roman" w:hAnsi="Times New Roman" w:cs="Times New Roman"/>
                            <w:b/>
                            <w:sz w:val="24"/>
                            <w:szCs w:val="24"/>
                          </w:rPr>
                        </w:pPr>
                        <w:r>
                          <w:rPr>
                            <w:rFonts w:hint="eastAsia" w:ascii="Times New Roman" w:hAnsi="Times New Roman" w:cs="Times New Roman"/>
                            <w:b/>
                            <w:i/>
                            <w:sz w:val="24"/>
                            <w:szCs w:val="24"/>
                          </w:rPr>
                          <w:t>B</w:t>
                        </w:r>
                        <w:r>
                          <w:rPr>
                            <w:rFonts w:hint="eastAsia" w:ascii="Times New Roman" w:hAnsi="Times New Roman" w:cs="Times New Roman"/>
                            <w:b/>
                            <w:sz w:val="24"/>
                            <w:szCs w:val="24"/>
                            <w:vertAlign w:val="subscript"/>
                          </w:rPr>
                          <w:t>s</w:t>
                        </w:r>
                      </w:p>
                    </w:txbxContent>
                  </v:textbox>
                </v:rect>
                <v:rect id="_x0000_s1026" o:spid="_x0000_s1026" o:spt="1" style="position:absolute;left:1165225;top:33655;height:375920;width:342900;" filled="f" stroked="f" coordsize="21600,21600" o:gfxdata="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3VMFZtcAAAAFAQAADwAAAAAAAAABACAAAAAiAAAAZHJzL2Rvd25yZXYueG1sUEsBAhQAFAAAAAgA&#10;h07iQNUMZcS0AQAAWgMAAA4AAAAAAAAAAQAgAAAAJgEAAGRycy9lMm9Eb2MueG1sUEsFBgAAAAAG&#10;AAYAWQEAAEwFAAAAAA==&#10;">
                  <v:fill on="f" focussize="0,0"/>
                  <v:stroke on="f"/>
                  <v:imagedata o:title=""/>
                  <o:lock v:ext="edit" aspectratio="f"/>
                  <v:textbox>
                    <w:txbxContent>
                      <w:p w14:paraId="146D7429">
                        <w:pPr>
                          <w:spacing w:line="360" w:lineRule="auto"/>
                          <w:jc w:val="left"/>
                          <w:rPr>
                            <w:rFonts w:cs="Times New Roman"/>
                            <w:b/>
                            <w:bCs/>
                            <w:sz w:val="21"/>
                          </w:rPr>
                        </w:pPr>
                        <w:r>
                          <w:rPr>
                            <w:rFonts w:ascii="Times New Roman" w:hAnsi="Times New Roman" w:cs="Times New Roman"/>
                            <w:b/>
                            <w:bCs/>
                            <w:i/>
                            <w:sz w:val="21"/>
                            <w:szCs w:val="21"/>
                          </w:rPr>
                          <w:t>B</w:t>
                        </w:r>
                        <w:r>
                          <w:rPr>
                            <w:rFonts w:ascii="Times New Roman" w:hAnsi="Times New Roman" w:cs="Times New Roman"/>
                            <w:b/>
                            <w:bCs/>
                            <w:sz w:val="21"/>
                            <w:szCs w:val="21"/>
                            <w:vertAlign w:val="subscript"/>
                          </w:rPr>
                          <w:t>g</w:t>
                        </w:r>
                      </w:p>
                    </w:txbxContent>
                  </v:textbox>
                </v:rect>
                <v:line id="_x0000_s1026" o:spid="_x0000_s1026" o:spt="20" style="position:absolute;left:931544;top:402590;height:635;width:685800;" filled="f" stroked="t" coordsize="21600,21600" o:gfxdata="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eyu5QdEAAAAFAQAADwAAAAAAAAABACAAAAAiAAAAZHJzL2Rvd25yZXYu&#10;eG1sUEsBAhQAFAAAAAgAh07iQPABPkICAgAA/wMAAA4AAAAAAAAAAQAgAAAAIAEAAGRycy9lMm9E&#10;b2MueG1sUEsFBgAAAAAGAAYAWQEAAJQFAAAAAA==&#10;">
                  <v:fill on="f" focussize="0,0"/>
                  <v:stroke weight="0.5pt" color="#000000" joinstyle="round" startarrow="open" endarrow="open"/>
                  <v:imagedata o:title=""/>
                  <o:lock v:ext="edit" aspectratio="f"/>
                </v:line>
                <v:line id="_x0000_s1026" o:spid="_x0000_s1026" o:spt="20" style="position:absolute;left:1617345;top:402590;height:635;width:800100;" filled="f" stroked="t" coordsize="21600,21600" o:gfxdata="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eyu5QdEAAAAFAQAADwAAAAAAAAABACAAAAAiAAAAZHJzL2Rvd25yZXYu&#10;eG1sUEsBAhQAFAAAAAgAh07iQABEsokCAgAAAAQAAA4AAAAAAAAAAQAgAAAAIAEAAGRycy9lMm9E&#10;b2MueG1sUEsFBgAAAAAGAAYAWQEAAJQFAAAAAA==&#10;">
                  <v:fill on="f" focussize="0,0"/>
                  <v:stroke weight="0.5pt" color="#000000" joinstyle="round" startarrow="open" endarrow="open"/>
                  <v:imagedata o:title=""/>
                  <o:lock v:ext="edit" aspectratio="f"/>
                </v:line>
                <v:line id="_x0000_s1026" o:spid="_x0000_s1026" o:spt="20" style="position:absolute;left:245745;top:1294130;height:64770;width:634;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NlCTT1AAAAAUBAAAPAAAAAAAAAAEAIAAAACIA&#10;AABkcnMvZG93bnJldi54bWxQSwECFAAUAAAACACHTuJAvPzrcA0CAAAMBAAADgAAAAAAAAABACAA&#10;AAAjAQAAZHJzL2Uyb0RvYy54bWxQSwUGAAAAAAYABgBZAQAAogUAAAAA&#10;">
                  <v:fill on="f" focussize="0,0"/>
                  <v:stroke weight="1pt" color="#000000" joinstyle="round"/>
                  <v:imagedata o:title=""/>
                  <o:lock v:ext="edit" aspectratio="f"/>
                </v:line>
                <v:line id="_x0000_s1026" o:spid="_x0000_s1026" o:spt="20" style="position:absolute;left:398145;top:1195069;height:64770;width:634;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ZQk09QAAAAFAQAADwAAAAAAAAABACAAAAAi&#10;AAAAZHJzL2Rvd25yZXYueG1sUEsBAhQAFAAAAAgAh07iQFFC4HIOAgAADAQAAA4AAAAAAAAAAQAg&#10;AAAAIwEAAGRycy9lMm9Eb2MueG1sUEsFBgAAAAAGAAYAWQEAAKMFAAAAAA==&#10;">
                  <v:fill on="f" focussize="0,0"/>
                  <v:stroke weight="1pt" color="#000000" joinstyle="round"/>
                  <v:imagedata o:title=""/>
                  <o:lock v:ext="edit" aspectratio="f"/>
                </v:line>
                <v:line id="_x0000_s1026" o:spid="_x0000_s1026" o:spt="20" style="position:absolute;left:550545;top:1195069;height:64770;width:634;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NlCTT1AAAAAUBAAAPAAAAAAAAAAEAIAAAACIA&#10;AABkcnMvZG93bnJldi54bWxQSwECFAAUAAAACACHTuJA0CRYyA0CAAAMBAAADgAAAAAAAAABACAA&#10;AAAjAQAAZHJzL2Uyb0RvYy54bWxQSwUGAAAAAAYABgBZAQAAogUAAAAA&#10;">
                  <v:fill on="f" focussize="0,0"/>
                  <v:stroke weight="1pt" color="#000000" joinstyle="round"/>
                  <v:imagedata o:title=""/>
                  <o:lock v:ext="edit" aspectratio="f"/>
                </v:line>
                <v:line id="_x0000_s1026" o:spid="_x0000_s1026" o:spt="20" style="position:absolute;left:1159510;top:996950;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NlCTT1AAAAAUBAAAPAAAAAAAAAAEAIAAAACIA&#10;AABkcnMvZG93bnJldi54bWxQSwECFAAUAAAACACHTuJAEzWOMA0CAAAMBAAADgAAAAAAAAABACAA&#10;AAAjAQAAZHJzL2Uyb0RvYy54bWxQSwUGAAAAAAYABgBZAQAAogUAAAAA&#10;">
                  <v:fill on="f" focussize="0,0"/>
                  <v:stroke weight="1pt" color="#000000" joinstyle="round"/>
                  <v:imagedata o:title=""/>
                  <o:lock v:ext="edit" aspectratio="f"/>
                </v:line>
                <v:line id="_x0000_s1026" o:spid="_x0000_s1026" o:spt="20" style="position:absolute;left:1045844;top:1031240;height:64769;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NlCTT1AAAAAUBAAAPAAAAAAAAAAEAIAAAACIA&#10;AABkcnMvZG93bnJldi54bWxQSwECFAAUAAAACACHTuJAgR26hQ0CAAANBAAADgAAAAAAAAABACAA&#10;AAAjAQAAZHJzL2Uyb0RvYy54bWxQSwUGAAAAAAYABgBZAQAAogUAAAAA&#10;">
                  <v:fill on="f" focussize="0,0"/>
                  <v:stroke weight="1pt" color="#000000" joinstyle="round"/>
                  <v:imagedata o:title=""/>
                  <o:lock v:ext="edit" aspectratio="f"/>
                </v:line>
                <v:line id="_x0000_s1026" o:spid="_x0000_s1026" o:spt="20" style="position:absolute;left:245745;top:1195069;height:64770;width:634;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NlCTT1AAAAAUBAAAPAAAAAAAAAAEAIAAAACIA&#10;AABkcnMvZG93bnJldi54bWxQSwECFAAUAAAACACHTuJAj6+sgw0CAAAMBAAADgAAAAAAAAABACAA&#10;AAAjAQAAZHJzL2Uyb0RvYy54bWxQSwUGAAAAAAYABgBZAQAAogUAAAAA&#10;">
                  <v:fill on="f" focussize="0,0"/>
                  <v:stroke weight="1pt" color="#000000" joinstyle="round"/>
                  <v:imagedata o:title=""/>
                  <o:lock v:ext="edit" aspectratio="f"/>
                </v:line>
                <v:line id="_x0000_s1026" o:spid="_x0000_s1026" o:spt="20" style="position:absolute;left:702945;top:1195069;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NlCTT1AAAAAUBAAAPAAAAAAAAAAEAIAAAACIA&#10;AABkcnMvZG93bnJldi54bWxQSwECFAAUAAAACACHTuJAbJDKQA0CAAAMBAAADgAAAAAAAAABACAA&#10;AAAjAQAAZHJzL2Uyb0RvYy54bWxQSwUGAAAAAAYABgBZAQAAogUAAAAA&#10;">
                  <v:fill on="f" focussize="0,0"/>
                  <v:stroke weight="1pt" color="#000000" joinstyle="round"/>
                  <v:imagedata o:title=""/>
                  <o:lock v:ext="edit" aspectratio="f"/>
                </v:line>
                <v:line id="_x0000_s1026" o:spid="_x0000_s1026" o:spt="20" style="position:absolute;left:855345;top:1195069;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NlCTT1AAAAAUBAAAPAAAAAAAAAAEAIAAAACIA&#10;AABkcnMvZG93bnJldi54bWxQSwECFAAUAAAACACHTuJAo8jOrQ0CAAAMBAAADgAAAAAAAAABACAA&#10;AAAjAQAAZHJzL2Uyb0RvYy54bWxQSwUGAAAAAAYABgBZAQAAogUAAAAA&#10;">
                  <v:fill on="f" focussize="0,0"/>
                  <v:stroke weight="1pt" color="#000000" joinstyle="round"/>
                  <v:imagedata o:title=""/>
                  <o:lock v:ext="edit" aspectratio="f"/>
                </v:line>
                <v:line id="_x0000_s1026" o:spid="_x0000_s1026" o:spt="20" style="position:absolute;left:1388110;top:897890;height:64769;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2UJNPUAAAABQEAAA8AAAAAAAAAAQAgAAAAIgAA&#10;AGRycy9kb3ducmV2LnhtbFBLAQIUABQAAAAIAIdO4kDop5AKDAIAAAwEAAAOAAAAAAAAAAEAIAAA&#10;ACMBAABkcnMvZTJvRG9jLnhtbFBLBQYAAAAABgAGAFkBAAChBQAAAAA=&#10;">
                  <v:fill on="f" focussize="0,0"/>
                  <v:stroke weight="1pt" color="#000000" joinstyle="round"/>
                  <v:imagedata o:title=""/>
                  <o:lock v:ext="edit" aspectratio="f"/>
                </v:line>
                <v:line id="_x0000_s1026" o:spid="_x0000_s1026" o:spt="20" style="position:absolute;left:2073910;top:699770;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2UJNPUAAAABQEAAA8AAAAAAAAAAQAgAAAAIgAA&#10;AGRycy9kb3ducmV2LnhtbFBLAQIUABQAAAAIAIdO4kDbQGfTDAIAAAwEAAAOAAAAAAAAAAEAIAAA&#10;ACMBAABkcnMvZTJvRG9jLnhtbFBLBQYAAAAABgAGAFkBAAChBQAAAAA=&#10;">
                  <v:fill on="f" focussize="0,0"/>
                  <v:stroke weight="1pt" color="#000000" joinstyle="round"/>
                  <v:imagedata o:title=""/>
                  <o:lock v:ext="edit" aspectratio="f"/>
                </v:line>
                <v:line id="_x0000_s1026" o:spid="_x0000_s1026" o:spt="20" style="position:absolute;left:1959610;top:699770;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2UJNPUAAAABQEAAA8AAAAAAAAAAQAgAAAAIgAA&#10;AGRycy9kb3ducmV2LnhtbFBLAQIUABQAAAAIAIdO4kB4of7vDAIAAAwEAAAOAAAAAAAAAAEAIAAA&#10;ACMBAABkcnMvZTJvRG9jLnhtbFBLBQYAAAAABgAGAFkBAAChBQAAAAA=&#10;">
                  <v:fill on="f" focussize="0,0"/>
                  <v:stroke weight="1pt" color="#000000" joinstyle="round"/>
                  <v:imagedata o:title=""/>
                  <o:lock v:ext="edit" aspectratio="f"/>
                </v:line>
                <v:line id="_x0000_s1026" o:spid="_x0000_s1026" o:spt="20" style="position:absolute;left:1731010;top:699770;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ZQk09QAAAAFAQAADwAAAAAAAAABACAAAAAiAAAA&#10;ZHJzL2Rvd25yZXYueG1sUEsBAhQAFAAAAAgAh07iQJLTXM0LAgAADAQAAA4AAAAAAAAAAQAgAAAA&#10;IwEAAGRycy9lMm9Eb2MueG1sUEsFBgAAAAAGAAYAWQEAAKAFAAAAAA==&#10;">
                  <v:fill on="f" focussize="0,0"/>
                  <v:stroke weight="1pt" color="#000000" joinstyle="round"/>
                  <v:imagedata o:title=""/>
                  <o:lock v:ext="edit" aspectratio="f"/>
                </v:line>
                <v:line id="_x0000_s1026" o:spid="_x0000_s1026" o:spt="20" style="position:absolute;left:1654810;top:798830;height:64769;width:634;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ZQk09QAAAAFAQAADwAAAAAAAAABACAAAAAi&#10;AAAAZHJzL2Rvd25yZXYueG1sUEsBAhQAFAAAAAgAh07iQMzmSz0OAgAADAQAAA4AAAAAAAAAAQAg&#10;AAAAIwEAAGRycy9lMm9Eb2MueG1sUEsFBgAAAAAGAAYAWQEAAKMFAAAAAA==&#10;">
                  <v:fill on="f" focussize="0,0"/>
                  <v:stroke weight="1pt" color="#000000" joinstyle="round"/>
                  <v:imagedata o:title=""/>
                  <o:lock v:ext="edit" aspectratio="f"/>
                </v:line>
                <v:line id="_x0000_s1026" o:spid="_x0000_s1026" o:spt="20" style="position:absolute;left:1807210;top:699770;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ZQk09QAAAAFAQAADwAAAAAAAAABACAAAAAiAAAA&#10;ZHJzL2Rvd25yZXYueG1sUEsBAhQAFAAAAAgAh07iQHZFAzsLAgAADAQAAA4AAAAAAAAAAQAgAAAA&#10;IwEAAGRycy9lMm9Eb2MueG1sUEsFBgAAAAAGAAYAWQEAAKAFAAAAAA==&#10;">
                  <v:fill on="f" focussize="0,0"/>
                  <v:stroke weight="1pt" color="#000000" joinstyle="round"/>
                  <v:imagedata o:title=""/>
                  <o:lock v:ext="edit" aspectratio="f"/>
                </v:line>
                <v:line id="_x0000_s1026" o:spid="_x0000_s1026" o:spt="20" style="position:absolute;left:2188210;top:699770;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2UJNPUAAAABQEAAA8AAAAAAAAAAQAgAAAAIgAA&#10;AGRycy9kb3ducmV2LnhtbFBLAQIUABQAAAAIAIdO4kB0IluCDAIAAAwEAAAOAAAAAAAAAAEAIAAA&#10;ACMBAABkcnMvZTJvRG9jLnhtbFBLBQYAAAAABgAGAFkBAAChBQAAAAA=&#10;">
                  <v:fill on="f" focussize="0,0"/>
                  <v:stroke weight="1pt" color="#000000" joinstyle="round"/>
                  <v:imagedata o:title=""/>
                  <o:lock v:ext="edit" aspectratio="f"/>
                </v:line>
                <v:line id="_x0000_s1026" o:spid="_x0000_s1026" o:spt="20" style="position:absolute;left:17145;top:1393190;height:64770;width:634;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2UJNPUAAAABQEAAA8AAAAAAAAAAQAgAAAAIgAA&#10;AGRycy9kb3ducmV2LnhtbFBLAQIUABQAAAAIAIdO4kBlotNBDAIAAAsEAAAOAAAAAAAAAAEAIAAA&#10;ACMBAABkcnMvZTJvRG9jLnhtbFBLBQYAAAAABgAGAFkBAAChBQAAAAA=&#10;">
                  <v:fill on="f" focussize="0,0"/>
                  <v:stroke weight="1pt" color="#000000" joinstyle="round"/>
                  <v:imagedata o:title=""/>
                  <o:lock v:ext="edit" aspectratio="f"/>
                </v:line>
                <v:line id="_x0000_s1026" o:spid="_x0000_s1026" o:spt="20" style="position:absolute;left:3216910;top:204470;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ZQk09QAAAAFAQAADwAAAAAAAAABACAAAAAi&#10;AAAAZHJzL2Rvd25yZXYueG1sUEsBAhQAFAAAAAgAh07iQBBX8tgOAgAADAQAAA4AAAAAAAAAAQAg&#10;AAAAIwEAAGRycy9lMm9Eb2MueG1sUEsFBgAAAAAGAAYAWQEAAKMFAAAAAA==&#10;">
                  <v:fill on="f" focussize="0,0"/>
                  <v:stroke weight="1pt" color="#000000" joinstyle="round"/>
                  <v:imagedata o:title=""/>
                  <o:lock v:ext="edit" aspectratio="f"/>
                </v:line>
                <v:line id="_x0000_s1026" o:spid="_x0000_s1026" o:spt="20" style="position:absolute;left:2340610;top:699770;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2UJNPUAAAABQEAAA8AAAAAAAAAAQAgAAAAIgAA&#10;AGRycy9kb3ducmV2LnhtbFBLAQIUABQAAAAIAIdO4kBR8xMDDAIAAAwEAAAOAAAAAAAAAAEAIAAA&#10;ACMBAABkcnMvZTJvRG9jLnhtbFBLBQYAAAAABgAGAFkBAAChBQAAAAA=&#10;">
                  <v:fill on="f" focussize="0,0"/>
                  <v:stroke weight="1pt" color="#000000" joinstyle="round"/>
                  <v:imagedata o:title=""/>
                  <o:lock v:ext="edit" aspectratio="f"/>
                </v:line>
                <v:line id="_x0000_s1026" o:spid="_x0000_s1026" o:spt="20" style="position:absolute;left:3102610;top:204470;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ZQk09QAAAAFAQAADwAAAAAAAAABACAAAAAi&#10;AAAAZHJzL2Rvd25yZXYueG1sUEsBAhQAFAAAAAgAh07iQKKNo40OAgAADAQAAA4AAAAAAAAAAQAg&#10;AAAAIwEAAGRycy9lMm9Eb2MueG1sUEsFBgAAAAAGAAYAWQEAAKMFAAAAAA==&#10;">
                  <v:fill on="f" focussize="0,0"/>
                  <v:stroke weight="1pt" color="#000000" joinstyle="round"/>
                  <v:imagedata o:title=""/>
                  <o:lock v:ext="edit" aspectratio="f"/>
                </v:line>
                <v:line id="_x0000_s1026" o:spid="_x0000_s1026" o:spt="20" style="position:absolute;left:3331210;top:204470;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NlCTT1AAAAAUBAAAPAAAAAAAAAAEAIAAAACIA&#10;AABkcnMvZG93bnJldi54bWxQSwECFAAUAAAACACHTuJADwOqyg0CAAAMBAAADgAAAAAAAAABACAA&#10;AAAjAQAAZHJzL2Uyb0RvYy54bWxQSwUGAAAAAAYABgBZAQAAogUAAAAA&#10;">
                  <v:fill on="f" focussize="0,0"/>
                  <v:stroke weight="1pt" color="#000000" joinstyle="round"/>
                  <v:imagedata o:title=""/>
                  <o:lock v:ext="edit" aspectratio="f"/>
                </v:line>
                <v:line id="_x0000_s1026" o:spid="_x0000_s1026" o:spt="20" style="position:absolute;left:3445510;top:204470;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M2UJNPUAAAABQEAAA8AAAAAAAAAAQAgAAAAIgAA&#10;AGRycy9kb3ducmV2LnhtbFBLAQIUABQAAAAIAIdO4kBSBESrDAIAAAwEAAAOAAAAAAAAAAEAIAAA&#10;ACMBAABkcnMvZTJvRG9jLnhtbFBLBQYAAAAABgAGAFkBAAChBQAAAAA=&#10;">
                  <v:fill on="f" focussize="0,0"/>
                  <v:stroke weight="1pt" color="#000000" joinstyle="round"/>
                  <v:imagedata o:title=""/>
                  <o:lock v:ext="edit" aspectratio="f"/>
                </v:line>
                <v:line id="_x0000_s1026" o:spid="_x0000_s1026" o:spt="20" style="position:absolute;left:3560445;top:204470;height:64770;width:634;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NlCTT1AAAAAUBAAAPAAAAAAAAAAEAIAAAACIA&#10;AABkcnMvZG93bnJldi54bWxQSwECFAAUAAAACACHTuJAUqIXuA0CAAAMBAAADgAAAAAAAAABACAA&#10;AAAjAQAAZHJzL2Uyb0RvYy54bWxQSwUGAAAAAAYABgBZAQAAogUAAAAA&#10;">
                  <v:fill on="f" focussize="0,0"/>
                  <v:stroke weight="1pt" color="#000000" joinstyle="round"/>
                  <v:imagedata o:title=""/>
                  <o:lock v:ext="edit" aspectratio="f"/>
                </v:line>
                <v:line id="_x0000_s1026" o:spid="_x0000_s1026" o:spt="20" style="position:absolute;left:3674745;top:204470;height:64770;width:634;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NlCTT1AAAAAUBAAAPAAAAAAAAAAEAIAAAACIA&#10;AABkcnMvZG93bnJldi54bWxQSwECFAAUAAAACACHTuJAL2Fg1g0CAAAMBAAADgAAAAAAAAABACAA&#10;AAAjAQAAZHJzL2Uyb0RvYy54bWxQSwUGAAAAAAYABgBZAQAAogUAAAAA&#10;">
                  <v:fill on="f" focussize="0,0"/>
                  <v:stroke weight="1pt" color="#000000" joinstyle="round"/>
                  <v:imagedata o:title=""/>
                  <o:lock v:ext="edit" aspectratio="f"/>
                </v:line>
                <v:line id="_x0000_s1026" o:spid="_x0000_s1026" o:spt="20" style="position:absolute;left:2874010;top:402590;height:64769;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ZQk09QAAAAFAQAADwAAAAAAAAABACAAAAAi&#10;AAAAZHJzL2Rvd25yZXYueG1sUEsBAhQAFAAAAAgAh07iQB35ItUOAgAADAQAAA4AAAAAAAAAAQAg&#10;AAAAIwEAAGRycy9lMm9Eb2MueG1sUEsFBgAAAAAGAAYAWQEAAKMFAAAAAA==&#10;">
                  <v:fill on="f" focussize="0,0"/>
                  <v:stroke weight="1pt" color="#000000" joinstyle="round"/>
                  <v:imagedata o:title=""/>
                  <o:lock v:ext="edit" aspectratio="f"/>
                </v:line>
                <v:line id="_x0000_s1026" o:spid="_x0000_s1026" o:spt="20" style="position:absolute;left:2531745;top:501650;height:64770;width:634;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ZQk09QAAAAFAQAADwAAAAAAAAABACAAAAAi&#10;AAAAZHJzL2Rvd25yZXYueG1sUEsBAhQAFAAAAAgAh07iQBwZ2l0OAgAADAQAAA4AAAAAAAAAAQAg&#10;AAAAIwEAAGRycy9lMm9Eb2MueG1sUEsFBgAAAAAGAAYAWQEAAKMFAAAAAA==&#10;">
                  <v:fill on="f" focussize="0,0"/>
                  <v:stroke weight="1pt" color="#000000" joinstyle="round"/>
                  <v:imagedata o:title=""/>
                  <o:lock v:ext="edit" aspectratio="f"/>
                </v:line>
                <v:line id="_x0000_s1026" o:spid="_x0000_s1026" o:spt="20" style="position:absolute;left:1274445;top:932180;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&#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NlCTT1AAAAAUBAAAPAAAAAAAAAAEAIAAAACIAAABk&#10;cnMvZG93bnJldi54bWxQSwECFAAUAAAACACHTuJAui0BcAoCAAAMBAAADgAAAAAAAAABACAAAAAj&#10;AQAAZHJzL2Uyb0RvYy54bWxQSwUGAAAAAAYABgBZAQAAnwUAAAAA&#10;">
                  <v:fill on="f" focussize="0,0"/>
                  <v:stroke weight="1pt" color="#000000" joinstyle="round"/>
                  <v:imagedata o:title=""/>
                  <o:lock v:ext="edit" aspectratio="f"/>
                </v:line>
                <v:line id="_x0000_s1026" o:spid="_x0000_s1026" o:spt="20" style="position:absolute;left:2646045;top:501650;height:64770;width:634;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ZQk09QAAAAFAQAADwAAAAAAAAABACAAAAAi&#10;AAAAZHJzL2Rvd25yZXYueG1sUEsBAhQAFAAAAAgAh07iQFUObEYOAgAADAQAAA4AAAAAAAAAAQAg&#10;AAAAIwEAAGRycy9lMm9Eb2MueG1sUEsFBgAAAAAGAAYAWQEAAKMFAAAAAA==&#10;">
                  <v:fill on="f" focussize="0,0"/>
                  <v:stroke weight="1pt" color="#000000" joinstyle="round"/>
                  <v:imagedata o:title=""/>
                  <o:lock v:ext="edit" aspectratio="f"/>
                </v:line>
                <v:line id="_x0000_s1026" o:spid="_x0000_s1026" o:spt="20" style="position:absolute;left:3178810;top:303530;height:64770;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NlCTT1AAAAAUBAAAPAAAAAAAAAAEAIAAAACIA&#10;AABkcnMvZG93bnJldi54bWxQSwECFAAUAAAACACHTuJAQmT8iw0CAAAOBAAADgAAAAAAAAABACAA&#10;AAAjAQAAZHJzL2Uyb0RvYy54bWxQSwUGAAAAAAYABgBZAQAAogUAAAAA&#10;">
                  <v:fill on="f" focussize="0,0"/>
                  <v:stroke weight="1pt" color="#000000" joinstyle="round"/>
                  <v:imagedata o:title=""/>
                  <o:lock v:ext="edit" aspectratio="f"/>
                </v:line>
                <v:line id="_x0000_s1026" o:spid="_x0000_s1026" o:spt="20" style="position:absolute;left:3103245;top:337820;height:64770;width:634;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ZQk09QAAAAFAQAADwAAAAAAAAABACAAAAAi&#10;AAAAZHJzL2Rvd25yZXYueG1sUEsBAhQAFAAAAAgAh07iQGAm52AOAgAADgQAAA4AAAAAAAAAAQAg&#10;AAAAIwEAAGRycy9lMm9Eb2MueG1sUEsFBgAAAAAGAAYAWQEAAKMFAAAAAA==&#10;">
                  <v:fill on="f" focussize="0,0"/>
                  <v:stroke weight="1pt" color="#000000" joinstyle="round"/>
                  <v:imagedata o:title=""/>
                  <o:lock v:ext="edit" aspectratio="f"/>
                </v:line>
                <v:line id="_x0000_s1026" o:spid="_x0000_s1026" o:spt="20" style="position:absolute;left:2759710;top:436880;height:64769;width:635;rotation:1310720f;" filled="f" stroked="t" coordsize="21600,21600" o:gfxdata="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2UJNPUAAAABQEAAA8AAAAAAAAAAQAgAAAA&#10;IgAAAGRycy9kb3ducmV2LnhtbFBLAQIUABQAAAAIAIdO4kAYFIgEDwIAAA4EAAAOAAAAAAAAAAEA&#10;IAAAACMBAABkcnMvZTJvRG9jLnhtbFBLBQYAAAAABgAGAFkBAACkBQAAAAA=&#10;">
                  <v:fill on="f" focussize="0,0"/>
                  <v:stroke weight="1pt" color="#000000" joinstyle="round"/>
                  <v:imagedata o:title=""/>
                  <o:lock v:ext="edit" aspectratio="f"/>
                </v:line>
                <w10:wrap type="none"/>
                <w10:anchorlock/>
              </v:group>
            </w:pict>
          </mc:Fallback>
        </mc:AlternateContent>
      </w:r>
    </w:p>
    <w:p w14:paraId="525EF26E">
      <w:pPr>
        <w:ind w:firstLine="529" w:firstLineChars="294"/>
        <w:jc w:val="center"/>
        <w:rPr>
          <w:rFonts w:ascii="Times New Roman" w:hAnsi="Times New Roman" w:eastAsia="黑体" w:cs="Times New Roman"/>
          <w:b/>
          <w:sz w:val="18"/>
          <w:szCs w:val="18"/>
        </w:rPr>
      </w:pPr>
      <w:r>
        <w:rPr>
          <w:rFonts w:ascii="Times New Roman" w:hAnsi="Times New Roman" w:eastAsia="黑体" w:cs="Times New Roman"/>
          <w:sz w:val="18"/>
          <w:szCs w:val="18"/>
        </w:rPr>
        <w:t>图4</w:t>
      </w:r>
      <w:r>
        <w:rPr>
          <w:rFonts w:ascii="Times New Roman" w:hAnsi="Times New Roman" w:cs="Times New Roman"/>
          <w:sz w:val="18"/>
          <w:szCs w:val="18"/>
        </w:rPr>
        <w:t>.</w:t>
      </w:r>
      <w:r>
        <w:rPr>
          <w:rFonts w:ascii="Times New Roman" w:hAnsi="Times New Roman" w:eastAsia="黑体" w:cs="Times New Roman"/>
          <w:sz w:val="18"/>
          <w:szCs w:val="18"/>
        </w:rPr>
        <w:t>3</w:t>
      </w:r>
      <w:r>
        <w:rPr>
          <w:rFonts w:ascii="Times New Roman" w:hAnsi="Times New Roman" w:cs="Times New Roman"/>
          <w:sz w:val="18"/>
          <w:szCs w:val="18"/>
        </w:rPr>
        <w:t>.</w:t>
      </w:r>
      <w:r>
        <w:rPr>
          <w:rFonts w:ascii="Times New Roman" w:hAnsi="Times New Roman" w:eastAsia="黑体" w:cs="Times New Roman"/>
          <w:sz w:val="18"/>
          <w:szCs w:val="18"/>
        </w:rPr>
        <w:t>9  隔坡梯田断面</w:t>
      </w:r>
    </w:p>
    <w:p w14:paraId="23273834">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Ⅲ 埂坎植物设计</w:t>
      </w:r>
    </w:p>
    <w:p w14:paraId="40C4E2E3">
      <w:pPr>
        <w:spacing w:line="360" w:lineRule="auto"/>
        <w:rPr>
          <w:rFonts w:ascii="Times New Roman" w:hAnsi="Times New Roman" w:cs="Times New Roman"/>
          <w:b/>
          <w:sz w:val="24"/>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cs="Times New Roman"/>
          <w:b/>
          <w:sz w:val="21"/>
          <w:szCs w:val="21"/>
        </w:rPr>
        <w:t>.</w:t>
      </w:r>
      <w:r>
        <w:rPr>
          <w:rFonts w:ascii="Times New Roman" w:hAnsi="Times New Roman" w:eastAsia="黑体" w:cs="Times New Roman"/>
          <w:b/>
          <w:sz w:val="21"/>
          <w:szCs w:val="21"/>
        </w:rPr>
        <w:t>10</w:t>
      </w:r>
      <w:r>
        <w:rPr>
          <w:rFonts w:ascii="Times New Roman" w:hAnsi="Times New Roman" w:eastAsia="黑体" w:cs="Times New Roman"/>
          <w:sz w:val="21"/>
          <w:szCs w:val="21"/>
        </w:rPr>
        <w:t xml:space="preserve">  </w:t>
      </w:r>
      <w:r>
        <w:rPr>
          <w:rFonts w:ascii="Times New Roman" w:hAnsi="Times New Roman" w:cs="Times New Roman"/>
          <w:sz w:val="21"/>
          <w:szCs w:val="21"/>
        </w:rPr>
        <w:t>梯田埂坎宜充分利用并种植埂坎植物，应选种经济价值高、胁地较小的植物，宜以乡土植物为主。</w:t>
      </w:r>
    </w:p>
    <w:p w14:paraId="3F1280F3">
      <w:pPr>
        <w:spacing w:line="360" w:lineRule="auto"/>
        <w:rPr>
          <w:rFonts w:ascii="Times New Roman" w:hAnsi="Times New Roman" w:cs="Times New Roman"/>
          <w:b/>
          <w:sz w:val="24"/>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cs="Times New Roman"/>
          <w:b/>
          <w:sz w:val="21"/>
          <w:szCs w:val="21"/>
        </w:rPr>
        <w:t>.</w:t>
      </w:r>
      <w:r>
        <w:rPr>
          <w:rFonts w:ascii="Times New Roman" w:hAnsi="Times New Roman" w:eastAsia="黑体" w:cs="Times New Roman"/>
          <w:b/>
          <w:sz w:val="21"/>
          <w:szCs w:val="21"/>
        </w:rPr>
        <w:t>11</w:t>
      </w:r>
      <w:r>
        <w:rPr>
          <w:rFonts w:ascii="Times New Roman" w:hAnsi="Times New Roman" w:cs="Times New Roman"/>
          <w:sz w:val="21"/>
          <w:szCs w:val="21"/>
        </w:rPr>
        <w:t xml:space="preserve"> </w:t>
      </w:r>
      <w:r>
        <w:rPr>
          <w:rFonts w:hint="eastAsia" w:ascii="Times New Roman" w:hAnsi="Times New Roman" w:cs="Times New Roman"/>
          <w:sz w:val="21"/>
          <w:szCs w:val="21"/>
        </w:rPr>
        <w:t xml:space="preserve"> </w:t>
      </w:r>
      <w:r>
        <w:rPr>
          <w:rFonts w:ascii="Times New Roman" w:hAnsi="Times New Roman" w:cs="Times New Roman"/>
          <w:sz w:val="21"/>
          <w:szCs w:val="21"/>
        </w:rPr>
        <w:t>土坎梯田田面可根据田面宽度、坎高、坎坡度配置相应植物。田面宽度北方小于6m、南方小于4m时，宜配置灌草植物；田面宽度北方不小于6m、南方不小于4m时，宜配置乔灌木。黄土高原土质梯坎高而缓时，可在坎上修筑一台阶，在台阶上种植。梯田设埂时，宜在埂内种植1行乔灌木或草本植物。</w:t>
      </w:r>
    </w:p>
    <w:p w14:paraId="6F748C45">
      <w:pPr>
        <w:spacing w:line="360" w:lineRule="auto"/>
        <w:rPr>
          <w:rFonts w:ascii="Times New Roman" w:hAnsi="Times New Roman" w:cs="Times New Roman"/>
          <w:b/>
          <w:sz w:val="24"/>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cs="Times New Roman"/>
          <w:b/>
          <w:sz w:val="21"/>
          <w:szCs w:val="21"/>
        </w:rPr>
        <w:t>.</w:t>
      </w:r>
      <w:r>
        <w:rPr>
          <w:rFonts w:ascii="Times New Roman" w:hAnsi="Times New Roman" w:eastAsia="黑体" w:cs="Times New Roman"/>
          <w:b/>
          <w:sz w:val="21"/>
          <w:szCs w:val="21"/>
        </w:rPr>
        <w:t>12</w:t>
      </w:r>
      <w:r>
        <w:rPr>
          <w:rFonts w:ascii="Times New Roman" w:hAnsi="Times New Roman" w:cs="Times New Roman"/>
          <w:sz w:val="21"/>
          <w:szCs w:val="21"/>
        </w:rPr>
        <w:t xml:space="preserve">  石坎梯田田面宽度小于4m时，不宜配置埂坎乔木植物，宜在埂内或坎下种植有经济价值的1行灌木、草本或攀援植物；宽度大于4m宜种植灌或乔木经济树种。</w:t>
      </w:r>
    </w:p>
    <w:p w14:paraId="464CB935">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Ⅳ 田间道路设计</w:t>
      </w:r>
    </w:p>
    <w:p w14:paraId="3D9CE4EF">
      <w:pPr>
        <w:spacing w:line="360" w:lineRule="auto"/>
        <w:rPr>
          <w:rFonts w:ascii="Times New Roman" w:hAnsi="Times New Roman" w:cs="Times New Roman"/>
          <w:b/>
          <w:sz w:val="24"/>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cs="Times New Roman"/>
          <w:b/>
          <w:sz w:val="21"/>
          <w:szCs w:val="21"/>
        </w:rPr>
        <w:t>.</w:t>
      </w:r>
      <w:r>
        <w:rPr>
          <w:rFonts w:ascii="Times New Roman" w:hAnsi="Times New Roman" w:eastAsia="黑体" w:cs="Times New Roman"/>
          <w:b/>
          <w:sz w:val="21"/>
          <w:szCs w:val="21"/>
        </w:rPr>
        <w:t>13</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田间道路选线应与自然地形相协调，避免深挖高填；应与梯田、小型蓄排工程等协调；路面宽度应根据生产作业与使用机械的情况取1m～5m；纵坡不宜大于8%。</w:t>
      </w:r>
    </w:p>
    <w:p w14:paraId="0EBCAF75">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cs="Times New Roman"/>
          <w:b/>
          <w:sz w:val="21"/>
          <w:szCs w:val="21"/>
        </w:rPr>
        <w:t>.</w:t>
      </w:r>
      <w:r>
        <w:rPr>
          <w:rFonts w:ascii="Times New Roman" w:hAnsi="Times New Roman" w:eastAsia="黑体" w:cs="Times New Roman"/>
          <w:b/>
          <w:sz w:val="21"/>
          <w:szCs w:val="21"/>
        </w:rPr>
        <w:t>14</w:t>
      </w:r>
      <w:r>
        <w:rPr>
          <w:rFonts w:ascii="Times New Roman" w:hAnsi="Times New Roman" w:cs="Times New Roman"/>
          <w:sz w:val="21"/>
          <w:szCs w:val="24"/>
        </w:rPr>
        <w:t xml:space="preserve">  路面排水应与梯田排水结合。</w:t>
      </w:r>
    </w:p>
    <w:p w14:paraId="2CD203E7">
      <w:pPr>
        <w:spacing w:line="360" w:lineRule="auto"/>
        <w:rPr>
          <w:rFonts w:ascii="Times New Roman" w:hAnsi="Times New Roman" w:cs="Times New Roman"/>
          <w:sz w:val="21"/>
          <w:szCs w:val="24"/>
        </w:rPr>
      </w:pPr>
      <w:r>
        <w:rPr>
          <w:rFonts w:ascii="Times New Roman" w:hAnsi="Times New Roman" w:cs="Times New Roman"/>
          <w:b/>
          <w:sz w:val="21"/>
          <w:szCs w:val="24"/>
        </w:rPr>
        <w:t>4.3.1</w:t>
      </w:r>
      <w:r>
        <w:rPr>
          <w:rFonts w:hint="eastAsia" w:ascii="Times New Roman" w:hAnsi="Times New Roman" w:cs="Times New Roman"/>
          <w:b/>
          <w:sz w:val="21"/>
          <w:szCs w:val="24"/>
        </w:rPr>
        <w:t>5</w:t>
      </w:r>
      <w:r>
        <w:rPr>
          <w:rFonts w:ascii="Times New Roman" w:hAnsi="Times New Roman" w:cs="Times New Roman"/>
          <w:sz w:val="21"/>
          <w:szCs w:val="24"/>
        </w:rPr>
        <w:t xml:space="preserve">  田间道路边坡应采取植物防护，可参照埂坎设计。</w:t>
      </w:r>
    </w:p>
    <w:p w14:paraId="12B81DCD">
      <w:pPr>
        <w:spacing w:line="360" w:lineRule="auto"/>
        <w:rPr>
          <w:rFonts w:ascii="Times New Roman" w:hAnsi="Times New Roman" w:cs="Times New Roman"/>
          <w:b/>
          <w:sz w:val="24"/>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cs="Times New Roman"/>
          <w:b/>
          <w:sz w:val="21"/>
          <w:szCs w:val="21"/>
        </w:rPr>
        <w:t>.</w:t>
      </w:r>
      <w:r>
        <w:rPr>
          <w:rFonts w:ascii="Times New Roman" w:hAnsi="Times New Roman" w:eastAsia="黑体" w:cs="Times New Roman"/>
          <w:b/>
          <w:sz w:val="21"/>
          <w:szCs w:val="21"/>
        </w:rPr>
        <w:t>1</w:t>
      </w:r>
      <w:r>
        <w:rPr>
          <w:rFonts w:hint="eastAsia" w:ascii="Times New Roman" w:hAnsi="Times New Roman" w:eastAsia="黑体" w:cs="Times New Roman"/>
          <w:b/>
          <w:sz w:val="21"/>
          <w:szCs w:val="21"/>
        </w:rPr>
        <w:t>6</w:t>
      </w:r>
      <w:r>
        <w:rPr>
          <w:rFonts w:ascii="Times New Roman" w:hAnsi="Times New Roman" w:cs="Times New Roman"/>
          <w:sz w:val="21"/>
          <w:szCs w:val="24"/>
        </w:rPr>
        <w:t xml:space="preserve">  结合当地条件和生产生活需要，可采用水泥、砂石、泥结碎石、素土、透水砖、生态透水混凝土等路面。</w:t>
      </w:r>
    </w:p>
    <w:p w14:paraId="3D62D9B7">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Ⅴ 施工组织</w:t>
      </w:r>
      <w:r>
        <w:rPr>
          <w:rFonts w:ascii="Times New Roman" w:hAnsi="Times New Roman" w:eastAsia="黑体" w:cs="Times New Roman"/>
          <w:bCs/>
          <w:sz w:val="24"/>
          <w:szCs w:val="24"/>
        </w:rPr>
        <w:tab/>
      </w:r>
    </w:p>
    <w:p w14:paraId="6B67365A">
      <w:pPr>
        <w:spacing w:line="360" w:lineRule="auto"/>
        <w:rPr>
          <w:rFonts w:ascii="Times New Roman" w:hAnsi="Times New Roman" w:cs="Times New Roman"/>
          <w:b/>
          <w:sz w:val="24"/>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cs="Times New Roman"/>
          <w:b/>
          <w:sz w:val="21"/>
          <w:szCs w:val="21"/>
        </w:rPr>
        <w:t>.</w:t>
      </w:r>
      <w:r>
        <w:rPr>
          <w:rFonts w:ascii="Times New Roman" w:hAnsi="Times New Roman" w:eastAsia="黑体" w:cs="Times New Roman"/>
          <w:b/>
          <w:sz w:val="21"/>
          <w:szCs w:val="21"/>
        </w:rPr>
        <w:t>1</w:t>
      </w:r>
      <w:r>
        <w:rPr>
          <w:rFonts w:hint="eastAsia" w:ascii="Times New Roman" w:hAnsi="Times New Roman" w:eastAsia="黑体" w:cs="Times New Roman"/>
          <w:b/>
          <w:sz w:val="21"/>
          <w:szCs w:val="21"/>
        </w:rPr>
        <w:t>7</w:t>
      </w:r>
      <w:r>
        <w:rPr>
          <w:rFonts w:ascii="Times New Roman" w:hAnsi="Times New Roman" w:cs="Times New Roman"/>
          <w:sz w:val="21"/>
          <w:szCs w:val="24"/>
        </w:rPr>
        <w:t xml:space="preserve">  梯田应根据地形坡度、土层厚度和田面宽度条件，确定合理的表土剥离和回覆方案。</w:t>
      </w:r>
    </w:p>
    <w:p w14:paraId="0CED2347">
      <w:pPr>
        <w:spacing w:line="360" w:lineRule="auto"/>
        <w:rPr>
          <w:rFonts w:ascii="Times New Roman" w:hAnsi="Times New Roman" w:cs="Times New Roman"/>
          <w:b/>
          <w:sz w:val="24"/>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cs="Times New Roman"/>
          <w:b/>
          <w:sz w:val="21"/>
          <w:szCs w:val="21"/>
        </w:rPr>
        <w:t>.</w:t>
      </w:r>
      <w:r>
        <w:rPr>
          <w:rFonts w:ascii="Times New Roman" w:hAnsi="Times New Roman" w:eastAsia="黑体" w:cs="Times New Roman"/>
          <w:b/>
          <w:sz w:val="21"/>
          <w:szCs w:val="21"/>
        </w:rPr>
        <w:t>1</w:t>
      </w:r>
      <w:r>
        <w:rPr>
          <w:rFonts w:hint="eastAsia" w:ascii="Times New Roman" w:hAnsi="Times New Roman" w:eastAsia="黑体" w:cs="Times New Roman"/>
          <w:b/>
          <w:sz w:val="21"/>
          <w:szCs w:val="21"/>
        </w:rPr>
        <w:t>8</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梯田施工宜安排在秋冬季节。</w:t>
      </w:r>
    </w:p>
    <w:p w14:paraId="0A9DDE53">
      <w:pPr>
        <w:spacing w:line="360" w:lineRule="auto"/>
        <w:rPr>
          <w:rFonts w:ascii="Times New Roman" w:hAnsi="Times New Roman" w:cs="Times New Roman"/>
          <w:b/>
          <w:sz w:val="24"/>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cs="Times New Roman"/>
          <w:b/>
          <w:sz w:val="21"/>
          <w:szCs w:val="21"/>
        </w:rPr>
        <w:t>.</w:t>
      </w:r>
      <w:r>
        <w:rPr>
          <w:rFonts w:ascii="Times New Roman" w:hAnsi="Times New Roman" w:eastAsia="黑体" w:cs="Times New Roman"/>
          <w:b/>
          <w:sz w:val="21"/>
          <w:szCs w:val="21"/>
        </w:rPr>
        <w:t>1</w:t>
      </w:r>
      <w:r>
        <w:rPr>
          <w:rFonts w:hint="eastAsia" w:ascii="Times New Roman" w:hAnsi="Times New Roman" w:eastAsia="黑体" w:cs="Times New Roman"/>
          <w:b/>
          <w:sz w:val="21"/>
          <w:szCs w:val="21"/>
        </w:rPr>
        <w:t>9</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梯田施工应先修筑临时道路，充分利用施工机械和设备；临时道路宜和田间道路永临结合。</w:t>
      </w:r>
    </w:p>
    <w:p w14:paraId="07581C96">
      <w:pPr>
        <w:spacing w:line="360" w:lineRule="auto"/>
        <w:rPr>
          <w:rFonts w:ascii="Times New Roman" w:hAnsi="Times New Roman" w:cs="Times New Roman" w:eastAsiaTheme="minorEastAsia"/>
          <w:bCs/>
          <w:sz w:val="21"/>
          <w:szCs w:val="21"/>
        </w:rPr>
      </w:pPr>
      <w:r>
        <w:rPr>
          <w:rFonts w:ascii="Times New Roman" w:hAnsi="Times New Roman" w:eastAsia="黑体" w:cs="Times New Roman"/>
          <w:b/>
          <w:sz w:val="21"/>
          <w:szCs w:val="21"/>
        </w:rPr>
        <w:t>4.3.</w:t>
      </w:r>
      <w:r>
        <w:rPr>
          <w:rFonts w:hint="eastAsia" w:ascii="Times New Roman" w:hAnsi="Times New Roman" w:eastAsia="黑体" w:cs="Times New Roman"/>
          <w:b/>
          <w:sz w:val="21"/>
          <w:szCs w:val="21"/>
        </w:rPr>
        <w:t>20</w:t>
      </w:r>
      <w:r>
        <w:rPr>
          <w:rFonts w:ascii="Times New Roman" w:hAnsi="Times New Roman" w:eastAsia="黑体" w:cs="Times New Roman"/>
          <w:b/>
          <w:sz w:val="21"/>
          <w:szCs w:val="21"/>
        </w:rPr>
        <w:t xml:space="preserve">  </w:t>
      </w:r>
      <w:r>
        <w:rPr>
          <w:rFonts w:ascii="Times New Roman" w:hAnsi="Times New Roman" w:cs="Times New Roman" w:eastAsiaTheme="minorEastAsia"/>
          <w:bCs/>
          <w:sz w:val="21"/>
          <w:szCs w:val="21"/>
        </w:rPr>
        <w:t>田坎修筑时，石坎砌石粒径大于300mm的不得少于70%；土坎应分层夯筑，每层铺虚土厚度不应大于0.2m，田坎压实度不应小于90%。</w:t>
      </w:r>
    </w:p>
    <w:p w14:paraId="3E08C2D7">
      <w:pPr>
        <w:keepNext/>
        <w:keepLines/>
        <w:spacing w:before="260" w:after="260" w:line="415" w:lineRule="auto"/>
        <w:jc w:val="center"/>
        <w:outlineLvl w:val="1"/>
        <w:rPr>
          <w:rFonts w:ascii="Times New Roman" w:hAnsi="Times New Roman" w:eastAsia="黑体" w:cs="Times New Roman"/>
          <w:bCs/>
          <w:sz w:val="30"/>
          <w:szCs w:val="32"/>
        </w:rPr>
      </w:pPr>
      <w:bookmarkStart w:id="71" w:name="_Toc9657"/>
      <w:bookmarkStart w:id="72" w:name="_Toc32027"/>
      <w:r>
        <w:rPr>
          <w:rFonts w:ascii="Times New Roman" w:hAnsi="Times New Roman" w:eastAsia="黑体" w:cs="Times New Roman"/>
          <w:bCs/>
          <w:sz w:val="30"/>
          <w:szCs w:val="32"/>
        </w:rPr>
        <w:t>4.4 淤地坝工程</w:t>
      </w:r>
      <w:bookmarkEnd w:id="71"/>
      <w:bookmarkEnd w:id="72"/>
    </w:p>
    <w:p w14:paraId="365E93F4">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Ⅰ 一般规定</w:t>
      </w:r>
    </w:p>
    <w:p w14:paraId="57EDE5CA">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在下游影响范围内有居民点、学校、工矿、交通等重要设施的沟道内不宜布设大、中型淤地坝。</w:t>
      </w:r>
    </w:p>
    <w:p w14:paraId="3486A330">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w:t>
      </w:r>
      <w:r>
        <w:rPr>
          <w:rFonts w:ascii="Times New Roman" w:hAnsi="Times New Roman" w:eastAsia="黑体" w:cs="Times New Roman"/>
          <w:sz w:val="21"/>
          <w:szCs w:val="21"/>
        </w:rPr>
        <w:t xml:space="preserve">  </w:t>
      </w:r>
      <w:r>
        <w:rPr>
          <w:rFonts w:ascii="Times New Roman" w:hAnsi="Times New Roman" w:cs="Times New Roman"/>
          <w:sz w:val="21"/>
          <w:szCs w:val="21"/>
        </w:rPr>
        <w:t>在同一沟道内，当上游有大型淤地坝时，其下游不宜布设同等级淤地坝，确需布设时应进行论证。</w:t>
      </w:r>
    </w:p>
    <w:p w14:paraId="642C7954">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中、小型淤地坝原则上应布设在大型淤地坝坝控区域内，否则需提高设计标准。</w:t>
      </w:r>
    </w:p>
    <w:p w14:paraId="444E3FC2">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大型淤地坝由坝体、放水建筑物、溢洪道组成，当不具备设置溢洪道条件时，应对其安全进行论证。</w:t>
      </w:r>
    </w:p>
    <w:p w14:paraId="3C8D076F">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5</w:t>
      </w:r>
      <w:r>
        <w:rPr>
          <w:rFonts w:ascii="Times New Roman" w:hAnsi="Times New Roman" w:eastAsia="黑体" w:cs="Times New Roman"/>
          <w:sz w:val="21"/>
          <w:szCs w:val="21"/>
        </w:rPr>
        <w:t xml:space="preserve">  </w:t>
      </w:r>
      <w:r>
        <w:rPr>
          <w:rFonts w:ascii="Times New Roman" w:hAnsi="Times New Roman" w:cs="Times New Roman"/>
          <w:sz w:val="21"/>
          <w:szCs w:val="21"/>
        </w:rPr>
        <w:t>淤地坝放水建筑物</w:t>
      </w:r>
      <w:r>
        <w:rPr>
          <w:rFonts w:ascii="Times New Roman" w:hAnsi="Times New Roman" w:cs="Times New Roman"/>
          <w:sz w:val="21"/>
          <w:szCs w:val="24"/>
        </w:rPr>
        <w:t>应满足3~7天放完库内滞留洪水的要求。</w:t>
      </w:r>
    </w:p>
    <w:p w14:paraId="1F0E9279">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6</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场地地震基本烈度为Ⅶ度以下地区布设淤地坝工程可不进行抗震计算，地震基本烈度Ⅶ度及以上地区布设淤地坝应满足抗震要求。</w:t>
      </w:r>
    </w:p>
    <w:p w14:paraId="21E9E923">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Ⅱ 坝址、坝型和工程布置</w:t>
      </w:r>
    </w:p>
    <w:p w14:paraId="094B1D79">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7</w:t>
      </w:r>
      <w:r>
        <w:rPr>
          <w:rFonts w:ascii="Times New Roman" w:hAnsi="Times New Roman" w:cs="Times New Roman"/>
          <w:sz w:val="21"/>
          <w:szCs w:val="24"/>
        </w:rPr>
        <w:t xml:space="preserve">  坝址附近应有较充足的筑坝材料，且材料的种类、性质、数量、位置和运输条件应满足坝型选择的要求。</w:t>
      </w:r>
    </w:p>
    <w:p w14:paraId="0B5A9775">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 xml:space="preserve">8 </w:t>
      </w:r>
      <w:r>
        <w:rPr>
          <w:rFonts w:ascii="Times New Roman" w:hAnsi="Times New Roman" w:cs="Times New Roman"/>
          <w:sz w:val="21"/>
          <w:szCs w:val="24"/>
        </w:rPr>
        <w:t xml:space="preserve"> 大中型淤地坝应有便于布设放水工程、溢洪道的地形和地质条件，宜选择岩基或粘土基础。</w:t>
      </w:r>
    </w:p>
    <w:p w14:paraId="157FC113">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 xml:space="preserve">9 </w:t>
      </w:r>
      <w:r>
        <w:rPr>
          <w:rFonts w:ascii="Times New Roman" w:hAnsi="Times New Roman" w:cs="Times New Roman"/>
          <w:sz w:val="21"/>
          <w:szCs w:val="24"/>
        </w:rPr>
        <w:t xml:space="preserve"> 坝址应避开较大弯道、跌水、泉眼、断层、滑坡体、洞穴等，坝肩不得有冲沟。</w:t>
      </w:r>
    </w:p>
    <w:p w14:paraId="4117F8F7">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10</w:t>
      </w:r>
      <w:r>
        <w:rPr>
          <w:rFonts w:ascii="Times New Roman" w:hAnsi="Times New Roman" w:cs="Times New Roman"/>
          <w:b/>
          <w:sz w:val="21"/>
          <w:szCs w:val="24"/>
        </w:rPr>
        <w:t xml:space="preserve"> </w:t>
      </w:r>
      <w:r>
        <w:rPr>
          <w:rFonts w:ascii="Times New Roman" w:hAnsi="Times New Roman" w:cs="Times New Roman"/>
          <w:sz w:val="21"/>
          <w:szCs w:val="24"/>
        </w:rPr>
        <w:t xml:space="preserve"> 淤地坝库区应淹没损失小，对村镇、工矿、交通干线、高压线路的安全影响小。</w:t>
      </w:r>
    </w:p>
    <w:p w14:paraId="3C545808">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 xml:space="preserve">11 </w:t>
      </w:r>
      <w:r>
        <w:rPr>
          <w:rFonts w:ascii="Times New Roman" w:hAnsi="Times New Roman" w:cs="Times New Roman"/>
          <w:sz w:val="21"/>
          <w:szCs w:val="24"/>
        </w:rPr>
        <w:t xml:space="preserve"> 坝型选择应符合下列要求：</w:t>
      </w:r>
    </w:p>
    <w:p w14:paraId="43A325A3">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1</w:t>
      </w:r>
      <w:r>
        <w:rPr>
          <w:rFonts w:ascii="Times New Roman" w:hAnsi="Times New Roman" w:cs="Times New Roman"/>
          <w:sz w:val="21"/>
          <w:szCs w:val="21"/>
        </w:rPr>
        <w:t xml:space="preserve">  黄土料丰富地区，宜采用碾压式土坝。</w:t>
      </w:r>
    </w:p>
    <w:p w14:paraId="49B5476B">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2</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石料丰富，相对容易采集，且土料缺乏时可采用浆砌石坝。</w:t>
      </w:r>
    </w:p>
    <w:p w14:paraId="1BB19211">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3</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结合当地的自然经济条件、坝址地形地质条件、建筑材料情况等，经技术经济比较后选择其它坝型。</w:t>
      </w:r>
    </w:p>
    <w:p w14:paraId="3810A321">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 xml:space="preserve">12 </w:t>
      </w:r>
      <w:r>
        <w:rPr>
          <w:rFonts w:ascii="Times New Roman" w:hAnsi="Times New Roman" w:cs="Times New Roman"/>
          <w:sz w:val="21"/>
          <w:szCs w:val="24"/>
        </w:rPr>
        <w:t xml:space="preserve"> 坝体布置应遵循坝轴线短的原则，宜采用直线型布置方式。</w:t>
      </w:r>
    </w:p>
    <w:p w14:paraId="7DFEA6F6">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13</w:t>
      </w:r>
      <w:r>
        <w:rPr>
          <w:rFonts w:ascii="Times New Roman" w:hAnsi="Times New Roman" w:cs="Times New Roman"/>
          <w:b/>
          <w:sz w:val="21"/>
          <w:szCs w:val="24"/>
        </w:rPr>
        <w:t xml:space="preserve"> </w:t>
      </w:r>
      <w:r>
        <w:rPr>
          <w:rFonts w:ascii="Times New Roman" w:hAnsi="Times New Roman" w:cs="Times New Roman"/>
          <w:sz w:val="21"/>
          <w:szCs w:val="24"/>
        </w:rPr>
        <w:t xml:space="preserve"> 溢洪道布置应符合下列要求：</w:t>
      </w:r>
    </w:p>
    <w:p w14:paraId="13BFD614">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1</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溢洪道布设应利用开挖量小的有利地形，进、出口附近的坝坡和岸坡应有可靠的防护措施和足够的稳定性。</w:t>
      </w:r>
    </w:p>
    <w:p w14:paraId="2F1470DA">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2</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溢洪道布置宜避开堆积体和滑坡体。</w:t>
      </w:r>
    </w:p>
    <w:p w14:paraId="13D8CCA4">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3</w:t>
      </w:r>
      <w:r>
        <w:rPr>
          <w:rFonts w:ascii="Times New Roman" w:hAnsi="Times New Roman" w:cs="Times New Roman"/>
          <w:sz w:val="21"/>
          <w:szCs w:val="24"/>
        </w:rPr>
        <w:t xml:space="preserve">  进水口距坝肩不宜小于10m，出水口距下游坝脚不宜小于20m，进出水口的布置应确保坝体安全。</w:t>
      </w:r>
    </w:p>
    <w:p w14:paraId="69FEF03E">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4"/>
        </w:rPr>
        <w:t xml:space="preserve"> </w:t>
      </w:r>
      <w:r>
        <w:rPr>
          <w:rFonts w:ascii="Times New Roman" w:hAnsi="Times New Roman" w:cs="Times New Roman"/>
          <w:sz w:val="21"/>
          <w:szCs w:val="24"/>
        </w:rPr>
        <w:t xml:space="preserve"> 当坝址上游有较大支沟汇入时，溢洪道宜布设在有支沟一侧的岸坡上。</w:t>
      </w:r>
    </w:p>
    <w:p w14:paraId="42904339">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14</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放水工程布置应符合下列要求：</w:t>
      </w:r>
    </w:p>
    <w:p w14:paraId="416AE527">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1</w:t>
      </w:r>
      <w:r>
        <w:rPr>
          <w:rFonts w:ascii="Times New Roman" w:hAnsi="Times New Roman" w:cs="Times New Roman"/>
          <w:sz w:val="21"/>
          <w:szCs w:val="24"/>
        </w:rPr>
        <w:t xml:space="preserve">  卧管布置应根据坝址地形条件、运行管护方式等因素，选择岸坡稳定、开挖量小的位置，卧管涵洞连接处应设消力池或消力井。</w:t>
      </w:r>
    </w:p>
    <w:p w14:paraId="4F593B03">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2</w:t>
      </w:r>
      <w:r>
        <w:rPr>
          <w:rFonts w:ascii="Times New Roman" w:hAnsi="Times New Roman" w:cs="Times New Roman"/>
          <w:sz w:val="21"/>
          <w:szCs w:val="24"/>
        </w:rPr>
        <w:t xml:space="preserve">  涵洞轴线布设宜采用直线型并与坝轴线垂直；当受地形、地质条件限制需转弯时，弯道曲率半径应大于洞径的5倍；涵洞的进、出口均应伸出坝体以外。涵洞出口水流应采取妥善的消能措施，并应使消能后的水流与尾水渠或下游沟道衔接。</w:t>
      </w:r>
    </w:p>
    <w:p w14:paraId="076EAA21">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3</w:t>
      </w:r>
      <w:r>
        <w:rPr>
          <w:rFonts w:ascii="Times New Roman" w:hAnsi="Times New Roman" w:cs="Times New Roman"/>
          <w:sz w:val="21"/>
          <w:szCs w:val="24"/>
        </w:rPr>
        <w:t xml:space="preserve">  涵洞应布设在岩基或稳定坚实的原状土基上，不得布置在坝体填筑体上。</w:t>
      </w:r>
    </w:p>
    <w:p w14:paraId="7AF40E03">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Ⅲ 坝体设计</w:t>
      </w:r>
    </w:p>
    <w:p w14:paraId="2BAA3B3A">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15</w:t>
      </w:r>
      <w:r>
        <w:rPr>
          <w:rFonts w:ascii="Times New Roman" w:hAnsi="Times New Roman" w:cs="Times New Roman"/>
          <w:sz w:val="21"/>
          <w:szCs w:val="24"/>
        </w:rPr>
        <w:t xml:space="preserve">  </w:t>
      </w:r>
      <w:r>
        <w:rPr>
          <w:rFonts w:ascii="Times New Roman" w:hAnsi="Times New Roman" w:cs="Times New Roman"/>
          <w:sz w:val="21"/>
          <w:szCs w:val="21"/>
        </w:rPr>
        <w:t>碾压坝土料其有机质含量不应超过5%，水溶盐含量不应超过5%，渗透系数不应大于1×10</w:t>
      </w:r>
      <w:r>
        <w:rPr>
          <w:rFonts w:ascii="Times New Roman" w:hAnsi="Times New Roman" w:cs="Times New Roman"/>
          <w:sz w:val="21"/>
          <w:szCs w:val="21"/>
          <w:vertAlign w:val="superscript"/>
        </w:rPr>
        <w:t>-4</w:t>
      </w:r>
      <w:r>
        <w:rPr>
          <w:rFonts w:ascii="Times New Roman" w:hAnsi="Times New Roman" w:cs="Times New Roman"/>
          <w:sz w:val="21"/>
          <w:szCs w:val="21"/>
        </w:rPr>
        <w:t>cm/s；坝体填筑土料压实度不应小于0.94，无粘性土相对密度不得小于0.65。</w:t>
      </w:r>
    </w:p>
    <w:p w14:paraId="7F2E8D40">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16</w:t>
      </w:r>
      <w:r>
        <w:rPr>
          <w:rFonts w:ascii="Times New Roman" w:hAnsi="Times New Roman" w:cs="Times New Roman"/>
          <w:sz w:val="21"/>
          <w:szCs w:val="24"/>
        </w:rPr>
        <w:t xml:space="preserve">  </w:t>
      </w:r>
      <w:r>
        <w:rPr>
          <w:rFonts w:ascii="Times New Roman" w:hAnsi="Times New Roman" w:cs="Times New Roman"/>
          <w:sz w:val="21"/>
          <w:szCs w:val="21"/>
        </w:rPr>
        <w:t>总库容和拦泥库容应按下列公式计算。滞洪库容的确定应包括两种情况：不设溢洪道时，应按本标准表4.2.6中建筑物级别设计标准对应的校核洪水计算；设置溢洪道时，应进行调洪计算。</w:t>
      </w:r>
    </w:p>
    <w:tbl>
      <w:tblPr>
        <w:tblStyle w:val="10"/>
        <w:tblW w:w="4930" w:type="pct"/>
        <w:tblInd w:w="0" w:type="dxa"/>
        <w:tblLayout w:type="fixed"/>
        <w:tblCellMar>
          <w:top w:w="0" w:type="dxa"/>
          <w:left w:w="108" w:type="dxa"/>
          <w:bottom w:w="0" w:type="dxa"/>
          <w:right w:w="108" w:type="dxa"/>
        </w:tblCellMar>
      </w:tblPr>
      <w:tblGrid>
        <w:gridCol w:w="847"/>
        <w:gridCol w:w="696"/>
        <w:gridCol w:w="4295"/>
        <w:gridCol w:w="2352"/>
      </w:tblGrid>
      <w:tr w14:paraId="795B16DD">
        <w:tblPrEx>
          <w:tblCellMar>
            <w:top w:w="0" w:type="dxa"/>
            <w:left w:w="108" w:type="dxa"/>
            <w:bottom w:w="0" w:type="dxa"/>
            <w:right w:w="108" w:type="dxa"/>
          </w:tblCellMar>
        </w:tblPrEx>
        <w:trPr>
          <w:trHeight w:val="115" w:hRule="atLeast"/>
        </w:trPr>
        <w:tc>
          <w:tcPr>
            <w:tcW w:w="942" w:type="pct"/>
            <w:gridSpan w:val="2"/>
            <w:vAlign w:val="center"/>
          </w:tcPr>
          <w:p w14:paraId="16ED12AC">
            <w:pPr>
              <w:snapToGrid w:val="0"/>
              <w:spacing w:line="360" w:lineRule="auto"/>
              <w:rPr>
                <w:rFonts w:ascii="Times New Roman" w:hAnsi="Times New Roman" w:cs="Times New Roman"/>
                <w:sz w:val="21"/>
                <w:szCs w:val="21"/>
              </w:rPr>
            </w:pPr>
          </w:p>
        </w:tc>
        <w:tc>
          <w:tcPr>
            <w:tcW w:w="2621" w:type="pct"/>
            <w:vAlign w:val="center"/>
          </w:tcPr>
          <w:p w14:paraId="3C06BE28">
            <w:pPr>
              <w:snapToGrid w:val="0"/>
              <w:spacing w:line="360" w:lineRule="auto"/>
              <w:ind w:firstLine="1890" w:firstLineChars="900"/>
              <w:rPr>
                <w:rFonts w:ascii="Times New Roman" w:hAnsi="Times New Roman" w:cs="Times New Roman"/>
                <w:i/>
                <w:sz w:val="21"/>
                <w:szCs w:val="21"/>
              </w:rPr>
            </w:pPr>
            <w:r>
              <w:rPr>
                <w:rFonts w:ascii="Times New Roman" w:hAnsi="Times New Roman" w:cs="Times New Roman"/>
                <w:i/>
                <w:sz w:val="21"/>
                <w:szCs w:val="21"/>
              </w:rPr>
              <w:t>V=V</w:t>
            </w:r>
            <w:r>
              <w:rPr>
                <w:rFonts w:ascii="Times New Roman" w:hAnsi="Times New Roman" w:cs="Times New Roman"/>
                <w:i/>
                <w:sz w:val="21"/>
                <w:szCs w:val="21"/>
                <w:vertAlign w:val="subscript"/>
              </w:rPr>
              <w:t>L</w:t>
            </w:r>
            <w:r>
              <w:rPr>
                <w:rFonts w:ascii="Times New Roman" w:hAnsi="Times New Roman" w:cs="Times New Roman"/>
                <w:i/>
                <w:sz w:val="21"/>
                <w:szCs w:val="21"/>
              </w:rPr>
              <w:t>+V</w:t>
            </w:r>
            <w:r>
              <w:rPr>
                <w:rFonts w:ascii="Times New Roman" w:hAnsi="Times New Roman" w:cs="Times New Roman"/>
                <w:i/>
                <w:sz w:val="21"/>
                <w:szCs w:val="21"/>
                <w:vertAlign w:val="subscript"/>
              </w:rPr>
              <w:t>z</w:t>
            </w:r>
          </w:p>
        </w:tc>
        <w:tc>
          <w:tcPr>
            <w:tcW w:w="1436" w:type="pct"/>
            <w:vAlign w:val="center"/>
          </w:tcPr>
          <w:p w14:paraId="79DA009B">
            <w:pPr>
              <w:snapToGrid w:val="0"/>
              <w:spacing w:line="360" w:lineRule="auto"/>
              <w:ind w:firstLine="1050" w:firstLineChars="500"/>
              <w:jc w:val="right"/>
              <w:rPr>
                <w:rFonts w:ascii="Times New Roman" w:hAnsi="Times New Roman" w:cs="Times New Roman"/>
                <w:sz w:val="21"/>
                <w:szCs w:val="21"/>
              </w:rPr>
            </w:pPr>
            <w:r>
              <w:rPr>
                <w:rFonts w:ascii="Times New Roman" w:hAnsi="Times New Roman" w:cs="Times New Roman"/>
                <w:sz w:val="21"/>
                <w:szCs w:val="21"/>
              </w:rPr>
              <w:t>（4.4.16-1）</w:t>
            </w:r>
          </w:p>
        </w:tc>
      </w:tr>
      <w:tr w14:paraId="380553D8">
        <w:tblPrEx>
          <w:tblCellMar>
            <w:top w:w="0" w:type="dxa"/>
            <w:left w:w="108" w:type="dxa"/>
            <w:bottom w:w="0" w:type="dxa"/>
            <w:right w:w="108" w:type="dxa"/>
          </w:tblCellMar>
        </w:tblPrEx>
        <w:trPr>
          <w:trHeight w:val="115" w:hRule="atLeast"/>
        </w:trPr>
        <w:tc>
          <w:tcPr>
            <w:tcW w:w="942" w:type="pct"/>
            <w:gridSpan w:val="2"/>
            <w:vAlign w:val="center"/>
          </w:tcPr>
          <w:p w14:paraId="7FDF2294">
            <w:pPr>
              <w:snapToGrid w:val="0"/>
              <w:spacing w:line="360" w:lineRule="auto"/>
              <w:rPr>
                <w:rFonts w:ascii="Times New Roman" w:hAnsi="Times New Roman" w:cs="Times New Roman"/>
                <w:sz w:val="21"/>
                <w:szCs w:val="21"/>
              </w:rPr>
            </w:pPr>
          </w:p>
        </w:tc>
        <w:tc>
          <w:tcPr>
            <w:tcW w:w="2621" w:type="pct"/>
            <w:vAlign w:val="center"/>
          </w:tcPr>
          <w:p w14:paraId="7D579183">
            <w:pPr>
              <w:snapToGrid w:val="0"/>
              <w:spacing w:line="360" w:lineRule="auto"/>
              <w:ind w:firstLine="1265" w:firstLineChars="600"/>
              <w:rPr>
                <w:rFonts w:ascii="Times New Roman" w:hAnsi="Times New Roman" w:cs="Times New Roman"/>
                <w:i/>
                <w:sz w:val="21"/>
                <w:szCs w:val="21"/>
              </w:rPr>
            </w:pPr>
            <w:r>
              <w:rPr>
                <w:rFonts w:ascii="Times New Roman" w:hAnsi="Times New Roman" w:cs="Times New Roman"/>
                <w:b/>
                <w:sz w:val="21"/>
                <w:szCs w:val="21"/>
              </w:rPr>
              <w:object>
                <v:shape id="_x0000_i1032" o:spt="75" type="#_x0000_t75" style="height:32.4pt;width:86.95pt;" o:ole="t" filled="f" o:preferrelative="t" stroked="f" coordsize="21600,21600">
                  <v:path/>
                  <v:fill on="f" focussize="0,0"/>
                  <v:stroke on="f" joinstyle="miter"/>
                  <v:imagedata r:id="rId34" o:title=""/>
                  <o:lock v:ext="edit" aspectratio="t"/>
                  <w10:wrap type="none"/>
                  <w10:anchorlock/>
                </v:shape>
                <o:OLEObject Type="Embed" ProgID="Equation.3" ShapeID="_x0000_i1032" DrawAspect="Content" ObjectID="_1468075732" r:id="rId33">
                  <o:LockedField>false</o:LockedField>
                </o:OLEObject>
              </w:object>
            </w:r>
          </w:p>
        </w:tc>
        <w:tc>
          <w:tcPr>
            <w:tcW w:w="1436" w:type="pct"/>
            <w:vAlign w:val="center"/>
          </w:tcPr>
          <w:p w14:paraId="4D22CFF1">
            <w:pPr>
              <w:snapToGrid w:val="0"/>
              <w:spacing w:line="360" w:lineRule="auto"/>
              <w:ind w:firstLine="1050" w:firstLineChars="500"/>
              <w:jc w:val="right"/>
              <w:rPr>
                <w:rFonts w:ascii="Times New Roman" w:hAnsi="Times New Roman" w:cs="Times New Roman"/>
                <w:sz w:val="21"/>
                <w:szCs w:val="21"/>
              </w:rPr>
            </w:pPr>
            <w:r>
              <w:rPr>
                <w:rFonts w:ascii="Times New Roman" w:hAnsi="Times New Roman" w:cs="Times New Roman"/>
                <w:sz w:val="21"/>
                <w:szCs w:val="21"/>
              </w:rPr>
              <w:t>（4.4.16-2）</w:t>
            </w:r>
          </w:p>
        </w:tc>
      </w:tr>
      <w:tr w14:paraId="7416A176">
        <w:tblPrEx>
          <w:tblCellMar>
            <w:top w:w="0" w:type="dxa"/>
            <w:left w:w="108" w:type="dxa"/>
            <w:bottom w:w="0" w:type="dxa"/>
            <w:right w:w="108" w:type="dxa"/>
          </w:tblCellMar>
        </w:tblPrEx>
        <w:trPr>
          <w:trHeight w:val="151" w:hRule="atLeast"/>
        </w:trPr>
        <w:tc>
          <w:tcPr>
            <w:tcW w:w="517" w:type="pct"/>
            <w:vAlign w:val="center"/>
          </w:tcPr>
          <w:p w14:paraId="70E3E735">
            <w:pPr>
              <w:snapToGrid w:val="0"/>
              <w:spacing w:line="360" w:lineRule="auto"/>
              <w:jc w:val="right"/>
              <w:rPr>
                <w:rFonts w:ascii="Times New Roman" w:hAnsi="Times New Roman" w:cs="Times New Roman"/>
                <w:sz w:val="21"/>
                <w:szCs w:val="21"/>
              </w:rPr>
            </w:pPr>
            <w:r>
              <w:rPr>
                <w:rFonts w:ascii="Times New Roman" w:hAnsi="Times New Roman" w:cs="Times New Roman"/>
                <w:sz w:val="21"/>
                <w:szCs w:val="21"/>
              </w:rPr>
              <w:t>式中：</w:t>
            </w:r>
          </w:p>
        </w:tc>
        <w:tc>
          <w:tcPr>
            <w:tcW w:w="425" w:type="pct"/>
            <w:vAlign w:val="center"/>
          </w:tcPr>
          <w:p w14:paraId="30CD52A9">
            <w:pPr>
              <w:snapToGrid w:val="0"/>
              <w:spacing w:line="360" w:lineRule="auto"/>
              <w:jc w:val="right"/>
              <w:rPr>
                <w:rFonts w:ascii="Times New Roman" w:hAnsi="Times New Roman" w:cs="Times New Roman"/>
                <w:i/>
                <w:sz w:val="21"/>
                <w:szCs w:val="21"/>
              </w:rPr>
            </w:pPr>
            <w:r>
              <w:rPr>
                <w:rFonts w:ascii="Times New Roman" w:hAnsi="Times New Roman" w:cs="Times New Roman"/>
                <w:i/>
                <w:sz w:val="21"/>
                <w:szCs w:val="21"/>
              </w:rPr>
              <w:t>V</w:t>
            </w:r>
          </w:p>
        </w:tc>
        <w:tc>
          <w:tcPr>
            <w:tcW w:w="4057" w:type="pct"/>
            <w:gridSpan w:val="2"/>
            <w:vAlign w:val="center"/>
          </w:tcPr>
          <w:p w14:paraId="2FA1B3D8">
            <w:pPr>
              <w:snapToGrid w:val="0"/>
              <w:spacing w:line="360" w:lineRule="auto"/>
              <w:rPr>
                <w:rFonts w:ascii="Times New Roman" w:hAnsi="Times New Roman" w:cs="Times New Roman"/>
                <w:sz w:val="21"/>
                <w:szCs w:val="21"/>
              </w:rPr>
            </w:pPr>
            <w:r>
              <w:rPr>
                <w:rFonts w:ascii="Times New Roman" w:hAnsi="Times New Roman" w:cs="Times New Roman"/>
                <w:sz w:val="21"/>
                <w:szCs w:val="21"/>
              </w:rPr>
              <w:t>——总库容，10</w:t>
            </w:r>
            <w:r>
              <w:rPr>
                <w:rFonts w:ascii="Times New Roman" w:hAnsi="Times New Roman" w:cs="Times New Roman"/>
                <w:sz w:val="21"/>
                <w:szCs w:val="21"/>
                <w:vertAlign w:val="superscript"/>
              </w:rPr>
              <w:t>4</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w:t>
            </w:r>
          </w:p>
        </w:tc>
      </w:tr>
      <w:tr w14:paraId="675F5FC8">
        <w:tblPrEx>
          <w:tblCellMar>
            <w:top w:w="0" w:type="dxa"/>
            <w:left w:w="108" w:type="dxa"/>
            <w:bottom w:w="0" w:type="dxa"/>
            <w:right w:w="108" w:type="dxa"/>
          </w:tblCellMar>
        </w:tblPrEx>
        <w:trPr>
          <w:trHeight w:val="417" w:hRule="atLeast"/>
        </w:trPr>
        <w:tc>
          <w:tcPr>
            <w:tcW w:w="517" w:type="pct"/>
          </w:tcPr>
          <w:p w14:paraId="0F6A2A8C">
            <w:pPr>
              <w:snapToGrid w:val="0"/>
              <w:spacing w:line="360" w:lineRule="auto"/>
              <w:rPr>
                <w:rFonts w:ascii="Times New Roman" w:hAnsi="Times New Roman" w:cs="Times New Roman"/>
                <w:sz w:val="21"/>
                <w:szCs w:val="21"/>
              </w:rPr>
            </w:pPr>
          </w:p>
        </w:tc>
        <w:tc>
          <w:tcPr>
            <w:tcW w:w="425" w:type="pct"/>
            <w:vAlign w:val="center"/>
          </w:tcPr>
          <w:p w14:paraId="7E516499">
            <w:pPr>
              <w:snapToGrid w:val="0"/>
              <w:spacing w:line="360" w:lineRule="auto"/>
              <w:jc w:val="right"/>
              <w:rPr>
                <w:rFonts w:ascii="Times New Roman" w:hAnsi="Times New Roman" w:cs="Times New Roman"/>
                <w:i/>
                <w:sz w:val="21"/>
                <w:szCs w:val="21"/>
              </w:rPr>
            </w:pPr>
            <w:r>
              <w:rPr>
                <w:rFonts w:ascii="Times New Roman" w:hAnsi="Times New Roman" w:cs="Times New Roman"/>
                <w:i/>
                <w:sz w:val="21"/>
                <w:szCs w:val="21"/>
              </w:rPr>
              <w:t>V</w:t>
            </w:r>
            <w:r>
              <w:rPr>
                <w:rFonts w:ascii="Times New Roman" w:hAnsi="Times New Roman" w:cs="Times New Roman"/>
                <w:i/>
                <w:sz w:val="21"/>
                <w:szCs w:val="21"/>
                <w:vertAlign w:val="subscript"/>
              </w:rPr>
              <w:t>L</w:t>
            </w:r>
          </w:p>
        </w:tc>
        <w:tc>
          <w:tcPr>
            <w:tcW w:w="4057" w:type="pct"/>
            <w:gridSpan w:val="2"/>
            <w:vAlign w:val="center"/>
          </w:tcPr>
          <w:p w14:paraId="2771FEC0">
            <w:pPr>
              <w:snapToGrid w:val="0"/>
              <w:spacing w:line="360" w:lineRule="auto"/>
              <w:ind w:right="608" w:rightChars="217"/>
              <w:rPr>
                <w:rFonts w:ascii="Times New Roman" w:hAnsi="Times New Roman" w:cs="Times New Roman"/>
                <w:sz w:val="21"/>
                <w:szCs w:val="21"/>
              </w:rPr>
            </w:pPr>
            <w:r>
              <w:rPr>
                <w:rFonts w:ascii="Times New Roman" w:hAnsi="Times New Roman" w:cs="Times New Roman"/>
                <w:sz w:val="21"/>
                <w:szCs w:val="21"/>
              </w:rPr>
              <w:t>——拦泥库容，10</w:t>
            </w:r>
            <w:r>
              <w:rPr>
                <w:rFonts w:ascii="Times New Roman" w:hAnsi="Times New Roman" w:cs="Times New Roman"/>
                <w:sz w:val="21"/>
                <w:szCs w:val="21"/>
                <w:vertAlign w:val="superscript"/>
              </w:rPr>
              <w:t>4</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w:t>
            </w:r>
          </w:p>
        </w:tc>
      </w:tr>
      <w:tr w14:paraId="50BF50E0">
        <w:tblPrEx>
          <w:tblCellMar>
            <w:top w:w="0" w:type="dxa"/>
            <w:left w:w="108" w:type="dxa"/>
            <w:bottom w:w="0" w:type="dxa"/>
            <w:right w:w="108" w:type="dxa"/>
          </w:tblCellMar>
        </w:tblPrEx>
        <w:trPr>
          <w:trHeight w:val="432" w:hRule="atLeast"/>
        </w:trPr>
        <w:tc>
          <w:tcPr>
            <w:tcW w:w="517" w:type="pct"/>
          </w:tcPr>
          <w:p w14:paraId="20DA9D62">
            <w:pPr>
              <w:snapToGrid w:val="0"/>
              <w:spacing w:line="360" w:lineRule="auto"/>
              <w:rPr>
                <w:rFonts w:ascii="Times New Roman" w:hAnsi="Times New Roman" w:cs="Times New Roman"/>
                <w:sz w:val="21"/>
                <w:szCs w:val="21"/>
              </w:rPr>
            </w:pPr>
          </w:p>
        </w:tc>
        <w:tc>
          <w:tcPr>
            <w:tcW w:w="425" w:type="pct"/>
            <w:vAlign w:val="center"/>
          </w:tcPr>
          <w:p w14:paraId="12AC0D9C">
            <w:pPr>
              <w:snapToGrid w:val="0"/>
              <w:spacing w:line="360" w:lineRule="auto"/>
              <w:jc w:val="right"/>
              <w:rPr>
                <w:rFonts w:ascii="Times New Roman" w:hAnsi="Times New Roman" w:cs="Times New Roman"/>
                <w:i/>
                <w:sz w:val="21"/>
                <w:szCs w:val="21"/>
              </w:rPr>
            </w:pPr>
            <w:r>
              <w:rPr>
                <w:rFonts w:ascii="Times New Roman" w:hAnsi="Times New Roman" w:cs="Times New Roman"/>
                <w:i/>
                <w:sz w:val="21"/>
                <w:szCs w:val="21"/>
              </w:rPr>
              <w:t>V</w:t>
            </w:r>
            <w:r>
              <w:rPr>
                <w:rFonts w:ascii="Times New Roman" w:hAnsi="Times New Roman" w:cs="Times New Roman"/>
                <w:i/>
                <w:sz w:val="21"/>
                <w:szCs w:val="21"/>
                <w:vertAlign w:val="subscript"/>
              </w:rPr>
              <w:t>z</w:t>
            </w:r>
          </w:p>
        </w:tc>
        <w:tc>
          <w:tcPr>
            <w:tcW w:w="4057" w:type="pct"/>
            <w:gridSpan w:val="2"/>
            <w:vAlign w:val="center"/>
          </w:tcPr>
          <w:p w14:paraId="7E9E88AA">
            <w:pPr>
              <w:snapToGrid w:val="0"/>
              <w:spacing w:line="360" w:lineRule="auto"/>
              <w:rPr>
                <w:rFonts w:ascii="Times New Roman" w:hAnsi="Times New Roman" w:cs="Times New Roman"/>
                <w:sz w:val="21"/>
                <w:szCs w:val="21"/>
              </w:rPr>
            </w:pPr>
            <w:r>
              <w:rPr>
                <w:rFonts w:ascii="Times New Roman" w:hAnsi="Times New Roman" w:cs="Times New Roman"/>
                <w:sz w:val="21"/>
                <w:szCs w:val="21"/>
              </w:rPr>
              <w:t>——滞洪库容，10</w:t>
            </w:r>
            <w:r>
              <w:rPr>
                <w:rFonts w:ascii="Times New Roman" w:hAnsi="Times New Roman" w:cs="Times New Roman"/>
                <w:sz w:val="21"/>
                <w:szCs w:val="21"/>
                <w:vertAlign w:val="superscript"/>
              </w:rPr>
              <w:t>4</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w:t>
            </w:r>
          </w:p>
        </w:tc>
      </w:tr>
      <w:tr w14:paraId="049D5D06">
        <w:tblPrEx>
          <w:tblCellMar>
            <w:top w:w="0" w:type="dxa"/>
            <w:left w:w="108" w:type="dxa"/>
            <w:bottom w:w="0" w:type="dxa"/>
            <w:right w:w="108" w:type="dxa"/>
          </w:tblCellMar>
        </w:tblPrEx>
        <w:trPr>
          <w:trHeight w:val="432" w:hRule="atLeast"/>
        </w:trPr>
        <w:tc>
          <w:tcPr>
            <w:tcW w:w="517" w:type="pct"/>
          </w:tcPr>
          <w:p w14:paraId="72C50CE6">
            <w:pPr>
              <w:snapToGrid w:val="0"/>
              <w:spacing w:line="360" w:lineRule="auto"/>
              <w:rPr>
                <w:rFonts w:ascii="Times New Roman" w:hAnsi="Times New Roman" w:cs="Times New Roman"/>
                <w:sz w:val="21"/>
                <w:szCs w:val="21"/>
              </w:rPr>
            </w:pPr>
          </w:p>
        </w:tc>
        <w:tc>
          <w:tcPr>
            <w:tcW w:w="425" w:type="pct"/>
            <w:vAlign w:val="center"/>
          </w:tcPr>
          <w:p w14:paraId="2D1591C6">
            <w:pPr>
              <w:snapToGrid w:val="0"/>
              <w:spacing w:line="360" w:lineRule="auto"/>
              <w:jc w:val="right"/>
              <w:rPr>
                <w:rFonts w:ascii="Times New Roman" w:hAnsi="Times New Roman" w:cs="Times New Roman"/>
                <w:i/>
                <w:sz w:val="21"/>
                <w:szCs w:val="21"/>
              </w:rPr>
            </w:pPr>
            <w:r>
              <w:rPr>
                <w:rFonts w:ascii="Times New Roman" w:hAnsi="Times New Roman" w:cs="Times New Roman"/>
                <w:b/>
                <w:sz w:val="21"/>
                <w:szCs w:val="21"/>
              </w:rPr>
              <w:object>
                <v:shape id="_x0000_i1033" o:spt="75" type="#_x0000_t75" style="height:19.2pt;width:19.2pt;" o:ole="t" fillcolor="#6D6D6D" filled="f" o:preferrelative="t" stroked="f" coordsize="21600,21600">
                  <v:path/>
                  <v:fill on="f" focussize="0,0"/>
                  <v:stroke on="f" joinstyle="miter"/>
                  <v:imagedata r:id="rId36" o:title=""/>
                  <o:lock v:ext="edit" aspectratio="t"/>
                  <w10:wrap type="none"/>
                  <w10:anchorlock/>
                </v:shape>
                <o:OLEObject Type="Embed" ProgID="Equation.3" ShapeID="_x0000_i1033" DrawAspect="Content" ObjectID="_1468075733" r:id="rId35">
                  <o:LockedField>false</o:LockedField>
                </o:OLEObject>
              </w:object>
            </w:r>
          </w:p>
        </w:tc>
        <w:tc>
          <w:tcPr>
            <w:tcW w:w="4057" w:type="pct"/>
            <w:gridSpan w:val="2"/>
            <w:vAlign w:val="center"/>
          </w:tcPr>
          <w:p w14:paraId="6B8F01B2">
            <w:pPr>
              <w:snapToGrid w:val="0"/>
              <w:spacing w:line="360" w:lineRule="auto"/>
              <w:rPr>
                <w:rFonts w:ascii="Times New Roman" w:hAnsi="Times New Roman" w:cs="Times New Roman"/>
                <w:sz w:val="21"/>
                <w:szCs w:val="21"/>
              </w:rPr>
            </w:pPr>
            <w:r>
              <w:rPr>
                <w:rFonts w:ascii="Times New Roman" w:hAnsi="Times New Roman" w:cs="Times New Roman"/>
                <w:sz w:val="21"/>
                <w:szCs w:val="21"/>
              </w:rPr>
              <w:t>——多年平均总输沙量，10</w:t>
            </w:r>
            <w:r>
              <w:rPr>
                <w:rFonts w:ascii="Times New Roman" w:hAnsi="Times New Roman" w:cs="Times New Roman"/>
                <w:sz w:val="21"/>
                <w:szCs w:val="21"/>
                <w:vertAlign w:val="superscript"/>
              </w:rPr>
              <w:t>4</w:t>
            </w:r>
            <w:r>
              <w:rPr>
                <w:rFonts w:ascii="Times New Roman" w:hAnsi="Times New Roman" w:cs="Times New Roman"/>
                <w:sz w:val="21"/>
                <w:szCs w:val="21"/>
              </w:rPr>
              <w:t>t/a，按本标准附录A计算；</w:t>
            </w:r>
          </w:p>
        </w:tc>
      </w:tr>
      <w:tr w14:paraId="3B6D5A45">
        <w:tblPrEx>
          <w:tblCellMar>
            <w:top w:w="0" w:type="dxa"/>
            <w:left w:w="108" w:type="dxa"/>
            <w:bottom w:w="0" w:type="dxa"/>
            <w:right w:w="108" w:type="dxa"/>
          </w:tblCellMar>
        </w:tblPrEx>
        <w:trPr>
          <w:trHeight w:val="432" w:hRule="atLeast"/>
        </w:trPr>
        <w:tc>
          <w:tcPr>
            <w:tcW w:w="517" w:type="pct"/>
          </w:tcPr>
          <w:p w14:paraId="2F753807">
            <w:pPr>
              <w:snapToGrid w:val="0"/>
              <w:spacing w:line="360" w:lineRule="auto"/>
              <w:rPr>
                <w:rFonts w:ascii="Times New Roman" w:hAnsi="Times New Roman" w:cs="Times New Roman"/>
                <w:sz w:val="21"/>
                <w:szCs w:val="21"/>
              </w:rPr>
            </w:pPr>
          </w:p>
        </w:tc>
        <w:tc>
          <w:tcPr>
            <w:tcW w:w="425" w:type="pct"/>
            <w:vAlign w:val="center"/>
          </w:tcPr>
          <w:p w14:paraId="42B7A3B9">
            <w:pPr>
              <w:snapToGrid w:val="0"/>
              <w:spacing w:line="360" w:lineRule="auto"/>
              <w:jc w:val="right"/>
              <w:rPr>
                <w:rFonts w:ascii="Times New Roman" w:hAnsi="Times New Roman" w:cs="Times New Roman"/>
                <w:i/>
                <w:sz w:val="21"/>
                <w:szCs w:val="21"/>
              </w:rPr>
            </w:pPr>
            <w:r>
              <w:rPr>
                <w:rFonts w:ascii="Times New Roman" w:hAnsi="Times New Roman" w:cs="Times New Roman"/>
                <w:i/>
                <w:sz w:val="21"/>
                <w:szCs w:val="21"/>
              </w:rPr>
              <w:t>η</w:t>
            </w:r>
            <w:r>
              <w:rPr>
                <w:rFonts w:ascii="Times New Roman" w:hAnsi="Times New Roman" w:cs="Times New Roman"/>
                <w:i/>
                <w:sz w:val="21"/>
                <w:szCs w:val="21"/>
                <w:vertAlign w:val="subscript"/>
              </w:rPr>
              <w:t>s</w:t>
            </w:r>
          </w:p>
        </w:tc>
        <w:tc>
          <w:tcPr>
            <w:tcW w:w="4057" w:type="pct"/>
            <w:gridSpan w:val="2"/>
            <w:vAlign w:val="center"/>
          </w:tcPr>
          <w:p w14:paraId="6CD19FBF">
            <w:pPr>
              <w:snapToGrid w:val="0"/>
              <w:spacing w:line="360" w:lineRule="auto"/>
              <w:rPr>
                <w:rFonts w:ascii="Times New Roman" w:hAnsi="Times New Roman" w:cs="Times New Roman"/>
                <w:sz w:val="21"/>
                <w:szCs w:val="21"/>
              </w:rPr>
            </w:pPr>
            <w:r>
              <w:rPr>
                <w:rFonts w:ascii="Times New Roman" w:hAnsi="Times New Roman" w:cs="Times New Roman"/>
                <w:sz w:val="21"/>
                <w:szCs w:val="21"/>
              </w:rPr>
              <w:t>——坝库排沙比，可采用当地经验值；</w:t>
            </w:r>
          </w:p>
        </w:tc>
      </w:tr>
      <w:tr w14:paraId="68598967">
        <w:tblPrEx>
          <w:tblCellMar>
            <w:top w:w="0" w:type="dxa"/>
            <w:left w:w="108" w:type="dxa"/>
            <w:bottom w:w="0" w:type="dxa"/>
            <w:right w:w="108" w:type="dxa"/>
          </w:tblCellMar>
        </w:tblPrEx>
        <w:trPr>
          <w:trHeight w:val="432" w:hRule="atLeast"/>
        </w:trPr>
        <w:tc>
          <w:tcPr>
            <w:tcW w:w="517" w:type="pct"/>
          </w:tcPr>
          <w:p w14:paraId="05226C8C">
            <w:pPr>
              <w:snapToGrid w:val="0"/>
              <w:spacing w:line="360" w:lineRule="auto"/>
              <w:rPr>
                <w:rFonts w:ascii="Times New Roman" w:hAnsi="Times New Roman" w:cs="Times New Roman"/>
                <w:sz w:val="21"/>
                <w:szCs w:val="21"/>
              </w:rPr>
            </w:pPr>
          </w:p>
        </w:tc>
        <w:tc>
          <w:tcPr>
            <w:tcW w:w="425" w:type="pct"/>
            <w:vAlign w:val="center"/>
          </w:tcPr>
          <w:p w14:paraId="10C41DAE">
            <w:pPr>
              <w:snapToGrid w:val="0"/>
              <w:spacing w:line="360" w:lineRule="auto"/>
              <w:jc w:val="right"/>
              <w:rPr>
                <w:rFonts w:ascii="Times New Roman" w:hAnsi="Times New Roman" w:cs="Times New Roman"/>
                <w:i/>
                <w:sz w:val="21"/>
                <w:szCs w:val="21"/>
              </w:rPr>
            </w:pPr>
            <w:r>
              <w:rPr>
                <w:rFonts w:ascii="Times New Roman" w:hAnsi="Times New Roman" w:cs="Times New Roman"/>
                <w:i/>
                <w:sz w:val="21"/>
                <w:szCs w:val="21"/>
              </w:rPr>
              <w:t>N</w:t>
            </w:r>
          </w:p>
        </w:tc>
        <w:tc>
          <w:tcPr>
            <w:tcW w:w="4057" w:type="pct"/>
            <w:gridSpan w:val="2"/>
            <w:vAlign w:val="center"/>
          </w:tcPr>
          <w:p w14:paraId="5B58A74C">
            <w:pPr>
              <w:snapToGrid w:val="0"/>
              <w:spacing w:line="360" w:lineRule="auto"/>
              <w:rPr>
                <w:rFonts w:ascii="Times New Roman" w:hAnsi="Times New Roman" w:cs="Times New Roman"/>
                <w:sz w:val="21"/>
                <w:szCs w:val="21"/>
              </w:rPr>
            </w:pPr>
            <w:r>
              <w:rPr>
                <w:rFonts w:ascii="Times New Roman" w:hAnsi="Times New Roman" w:cs="Times New Roman"/>
                <w:sz w:val="21"/>
                <w:szCs w:val="21"/>
              </w:rPr>
              <w:t>——设计淤积年限</w:t>
            </w:r>
            <w:r>
              <w:rPr>
                <w:rFonts w:hint="eastAsia" w:ascii="宋体" w:hAnsi="宋体"/>
                <w:sz w:val="21"/>
                <w:szCs w:val="21"/>
              </w:rPr>
              <w:t>(</w:t>
            </w:r>
            <w:r>
              <w:rPr>
                <w:rFonts w:ascii="Times New Roman" w:hAnsi="Times New Roman" w:cs="Times New Roman"/>
                <w:sz w:val="21"/>
                <w:szCs w:val="21"/>
              </w:rPr>
              <w:t>a</w:t>
            </w:r>
            <w:r>
              <w:rPr>
                <w:rFonts w:hint="eastAsia" w:ascii="宋体" w:hAnsi="宋体"/>
                <w:sz w:val="21"/>
                <w:szCs w:val="21"/>
              </w:rPr>
              <w:t>)</w:t>
            </w:r>
            <w:r>
              <w:rPr>
                <w:rFonts w:ascii="Times New Roman" w:hAnsi="Times New Roman" w:cs="Times New Roman"/>
                <w:sz w:val="21"/>
                <w:szCs w:val="21"/>
              </w:rPr>
              <w:t>，可按表4.4.16确定；</w:t>
            </w:r>
          </w:p>
        </w:tc>
      </w:tr>
      <w:tr w14:paraId="73AAABE9">
        <w:tblPrEx>
          <w:tblCellMar>
            <w:top w:w="0" w:type="dxa"/>
            <w:left w:w="108" w:type="dxa"/>
            <w:bottom w:w="0" w:type="dxa"/>
            <w:right w:w="108" w:type="dxa"/>
          </w:tblCellMar>
        </w:tblPrEx>
        <w:trPr>
          <w:trHeight w:val="432" w:hRule="atLeast"/>
        </w:trPr>
        <w:tc>
          <w:tcPr>
            <w:tcW w:w="517" w:type="pct"/>
          </w:tcPr>
          <w:p w14:paraId="429CF3BB">
            <w:pPr>
              <w:snapToGrid w:val="0"/>
              <w:spacing w:line="360" w:lineRule="auto"/>
              <w:rPr>
                <w:rFonts w:ascii="Times New Roman" w:hAnsi="Times New Roman" w:cs="Times New Roman"/>
                <w:sz w:val="21"/>
                <w:szCs w:val="21"/>
              </w:rPr>
            </w:pPr>
          </w:p>
        </w:tc>
        <w:tc>
          <w:tcPr>
            <w:tcW w:w="425" w:type="pct"/>
            <w:vAlign w:val="center"/>
          </w:tcPr>
          <w:p w14:paraId="7D554DCB">
            <w:pPr>
              <w:snapToGrid w:val="0"/>
              <w:spacing w:line="360" w:lineRule="auto"/>
              <w:jc w:val="right"/>
              <w:rPr>
                <w:rFonts w:ascii="Times New Roman" w:hAnsi="Times New Roman" w:cs="Times New Roman"/>
                <w:i/>
                <w:sz w:val="21"/>
                <w:szCs w:val="21"/>
              </w:rPr>
            </w:pPr>
            <w:r>
              <w:rPr>
                <w:rFonts w:ascii="Times New Roman" w:hAnsi="Times New Roman" w:cs="Times New Roman"/>
                <w:b/>
                <w:sz w:val="21"/>
                <w:szCs w:val="21"/>
              </w:rPr>
              <w:object>
                <v:shape id="_x0000_i1034" o:spt="75" type="#_x0000_t75" style="height:18.6pt;width:11.4pt;" o:ole="t" filled="f" o:preferrelative="t" stroked="f" coordsize="21600,21600">
                  <v:path/>
                  <v:fill on="f" focussize="0,0"/>
                  <v:stroke on="f" joinstyle="miter"/>
                  <v:imagedata r:id="rId38" o:title=""/>
                  <o:lock v:ext="edit" aspectratio="t"/>
                  <w10:wrap type="none"/>
                  <w10:anchorlock/>
                </v:shape>
                <o:OLEObject Type="Embed" ProgID="Equation.3" ShapeID="_x0000_i1034" DrawAspect="Content" ObjectID="_1468075734" r:id="rId37">
                  <o:LockedField>false</o:LockedField>
                </o:OLEObject>
              </w:object>
            </w:r>
          </w:p>
        </w:tc>
        <w:tc>
          <w:tcPr>
            <w:tcW w:w="4057" w:type="pct"/>
            <w:gridSpan w:val="2"/>
            <w:vAlign w:val="center"/>
          </w:tcPr>
          <w:p w14:paraId="51954916">
            <w:pPr>
              <w:snapToGrid w:val="0"/>
              <w:spacing w:line="360" w:lineRule="auto"/>
              <w:rPr>
                <w:rFonts w:ascii="Times New Roman" w:hAnsi="Times New Roman" w:cs="Times New Roman"/>
                <w:sz w:val="21"/>
                <w:szCs w:val="21"/>
              </w:rPr>
            </w:pPr>
            <w:r>
              <w:rPr>
                <w:rFonts w:ascii="Times New Roman" w:hAnsi="Times New Roman" w:cs="Times New Roman"/>
                <w:sz w:val="21"/>
                <w:szCs w:val="21"/>
              </w:rPr>
              <w:t>——淤积泥沙干容重，可取1.3t/m</w:t>
            </w:r>
            <w:r>
              <w:rPr>
                <w:rFonts w:ascii="Times New Roman" w:hAnsi="Times New Roman" w:cs="Times New Roman"/>
                <w:sz w:val="21"/>
                <w:szCs w:val="21"/>
                <w:vertAlign w:val="superscript"/>
              </w:rPr>
              <w:t>3</w:t>
            </w:r>
            <w:r>
              <w:rPr>
                <w:rFonts w:ascii="Times New Roman" w:hAnsi="Times New Roman" w:cs="Times New Roman"/>
                <w:sz w:val="21"/>
                <w:szCs w:val="21"/>
              </w:rPr>
              <w:t>～1.35t/m</w:t>
            </w:r>
            <w:r>
              <w:rPr>
                <w:rFonts w:ascii="Times New Roman" w:hAnsi="Times New Roman" w:cs="Times New Roman"/>
                <w:sz w:val="21"/>
                <w:szCs w:val="21"/>
                <w:vertAlign w:val="superscript"/>
              </w:rPr>
              <w:t>3</w:t>
            </w:r>
            <w:r>
              <w:rPr>
                <w:rFonts w:ascii="Times New Roman" w:hAnsi="Times New Roman" w:cs="Times New Roman"/>
                <w:sz w:val="21"/>
                <w:szCs w:val="21"/>
              </w:rPr>
              <w:t>。</w:t>
            </w:r>
          </w:p>
        </w:tc>
      </w:tr>
    </w:tbl>
    <w:p w14:paraId="6B11011B">
      <w:pPr>
        <w:jc w:val="center"/>
        <w:rPr>
          <w:rFonts w:ascii="Times New Roman" w:hAnsi="Times New Roman" w:eastAsia="黑体" w:cs="Times New Roman"/>
          <w:bCs/>
          <w:sz w:val="18"/>
          <w:szCs w:val="18"/>
        </w:rPr>
      </w:pPr>
      <w:r>
        <w:rPr>
          <w:rFonts w:ascii="Times New Roman" w:hAnsi="Times New Roman" w:eastAsia="黑体" w:cs="Times New Roman"/>
          <w:bCs/>
          <w:sz w:val="18"/>
          <w:szCs w:val="18"/>
        </w:rPr>
        <w:t>表4</w:t>
      </w:r>
      <w:r>
        <w:rPr>
          <w:rFonts w:ascii="Times New Roman" w:hAnsi="Times New Roman" w:cs="Times New Roman"/>
          <w:bCs/>
          <w:sz w:val="18"/>
          <w:szCs w:val="18"/>
        </w:rPr>
        <w:t>.</w:t>
      </w:r>
      <w:r>
        <w:rPr>
          <w:rFonts w:ascii="Times New Roman" w:hAnsi="Times New Roman" w:eastAsia="黑体" w:cs="Times New Roman"/>
          <w:bCs/>
          <w:sz w:val="18"/>
          <w:szCs w:val="18"/>
        </w:rPr>
        <w:t>4</w:t>
      </w:r>
      <w:r>
        <w:rPr>
          <w:rFonts w:ascii="Times New Roman" w:hAnsi="Times New Roman" w:cs="Times New Roman"/>
          <w:bCs/>
          <w:sz w:val="18"/>
          <w:szCs w:val="18"/>
        </w:rPr>
        <w:t>.</w:t>
      </w:r>
      <w:r>
        <w:rPr>
          <w:rFonts w:ascii="Times New Roman" w:hAnsi="Times New Roman" w:eastAsia="黑体" w:cs="Times New Roman"/>
          <w:bCs/>
          <w:sz w:val="18"/>
          <w:szCs w:val="18"/>
        </w:rPr>
        <w:t>16  淤地坝淤积年限</w:t>
      </w:r>
    </w:p>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51"/>
        <w:gridCol w:w="1674"/>
        <w:gridCol w:w="1950"/>
        <w:gridCol w:w="2401"/>
      </w:tblGrid>
      <w:tr w14:paraId="5ECD31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vMerge w:val="restart"/>
            <w:vAlign w:val="center"/>
          </w:tcPr>
          <w:p w14:paraId="2D1FD99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工程等别</w:t>
            </w:r>
          </w:p>
        </w:tc>
        <w:tc>
          <w:tcPr>
            <w:tcW w:w="2189" w:type="pct"/>
            <w:gridSpan w:val="2"/>
            <w:vMerge w:val="restart"/>
            <w:vAlign w:val="center"/>
          </w:tcPr>
          <w:p w14:paraId="70BF32C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工程规模</w:t>
            </w:r>
          </w:p>
        </w:tc>
        <w:tc>
          <w:tcPr>
            <w:tcW w:w="1450" w:type="pct"/>
            <w:vMerge w:val="restart"/>
            <w:vAlign w:val="center"/>
          </w:tcPr>
          <w:p w14:paraId="278AAC2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泥沙设计淤积年限(年)</w:t>
            </w:r>
          </w:p>
        </w:tc>
      </w:tr>
      <w:tr w14:paraId="2D07E0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1360" w:type="pct"/>
            <w:vMerge w:val="continue"/>
            <w:vAlign w:val="center"/>
          </w:tcPr>
          <w:p w14:paraId="709E5C33">
            <w:pPr>
              <w:widowControl/>
              <w:jc w:val="left"/>
              <w:rPr>
                <w:rFonts w:ascii="Times New Roman" w:hAnsi="Times New Roman" w:cs="Times New Roman"/>
                <w:kern w:val="0"/>
                <w:sz w:val="15"/>
                <w:szCs w:val="15"/>
              </w:rPr>
            </w:pPr>
          </w:p>
        </w:tc>
        <w:tc>
          <w:tcPr>
            <w:tcW w:w="2189" w:type="pct"/>
            <w:gridSpan w:val="2"/>
            <w:vMerge w:val="continue"/>
            <w:vAlign w:val="center"/>
          </w:tcPr>
          <w:p w14:paraId="031B9049">
            <w:pPr>
              <w:widowControl/>
              <w:jc w:val="left"/>
              <w:rPr>
                <w:rFonts w:ascii="Times New Roman" w:hAnsi="Times New Roman" w:cs="Times New Roman"/>
                <w:kern w:val="0"/>
                <w:sz w:val="15"/>
                <w:szCs w:val="15"/>
              </w:rPr>
            </w:pPr>
          </w:p>
        </w:tc>
        <w:tc>
          <w:tcPr>
            <w:tcW w:w="1450" w:type="pct"/>
            <w:vMerge w:val="continue"/>
            <w:vAlign w:val="center"/>
          </w:tcPr>
          <w:p w14:paraId="0329D611">
            <w:pPr>
              <w:widowControl/>
              <w:jc w:val="left"/>
              <w:rPr>
                <w:rFonts w:ascii="Times New Roman" w:hAnsi="Times New Roman" w:cs="Times New Roman"/>
                <w:kern w:val="0"/>
                <w:sz w:val="15"/>
                <w:szCs w:val="15"/>
              </w:rPr>
            </w:pPr>
          </w:p>
        </w:tc>
      </w:tr>
      <w:tr w14:paraId="476EB8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60" w:type="pct"/>
            <w:vMerge w:val="restart"/>
            <w:vAlign w:val="center"/>
          </w:tcPr>
          <w:p w14:paraId="06D8F1E9">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Ⅰ</w:t>
            </w:r>
          </w:p>
        </w:tc>
        <w:tc>
          <w:tcPr>
            <w:tcW w:w="1011" w:type="pct"/>
            <w:vMerge w:val="restart"/>
            <w:vAlign w:val="center"/>
          </w:tcPr>
          <w:p w14:paraId="29F8D3A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大型淤地坝</w:t>
            </w:r>
          </w:p>
        </w:tc>
        <w:tc>
          <w:tcPr>
            <w:tcW w:w="1178" w:type="pct"/>
            <w:vAlign w:val="center"/>
          </w:tcPr>
          <w:p w14:paraId="662E7F0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1型</w:t>
            </w:r>
          </w:p>
        </w:tc>
        <w:tc>
          <w:tcPr>
            <w:tcW w:w="1450" w:type="pct"/>
            <w:vAlign w:val="center"/>
          </w:tcPr>
          <w:p w14:paraId="6BD1CFB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20～30</w:t>
            </w:r>
          </w:p>
        </w:tc>
      </w:tr>
      <w:tr w14:paraId="419D72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60" w:type="pct"/>
            <w:vMerge w:val="continue"/>
            <w:vAlign w:val="center"/>
          </w:tcPr>
          <w:p w14:paraId="2815EC3C">
            <w:pPr>
              <w:widowControl/>
              <w:jc w:val="left"/>
              <w:rPr>
                <w:rFonts w:ascii="Times New Roman" w:hAnsi="Times New Roman" w:cs="Times New Roman"/>
                <w:bCs/>
                <w:kern w:val="0"/>
                <w:sz w:val="15"/>
                <w:szCs w:val="15"/>
              </w:rPr>
            </w:pPr>
          </w:p>
        </w:tc>
        <w:tc>
          <w:tcPr>
            <w:tcW w:w="1011" w:type="pct"/>
            <w:vMerge w:val="continue"/>
            <w:vAlign w:val="center"/>
          </w:tcPr>
          <w:p w14:paraId="7A94552B">
            <w:pPr>
              <w:widowControl/>
              <w:jc w:val="left"/>
              <w:rPr>
                <w:rFonts w:ascii="Times New Roman" w:hAnsi="Times New Roman" w:cs="Times New Roman"/>
                <w:kern w:val="0"/>
                <w:sz w:val="15"/>
                <w:szCs w:val="15"/>
              </w:rPr>
            </w:pPr>
          </w:p>
        </w:tc>
        <w:tc>
          <w:tcPr>
            <w:tcW w:w="1178" w:type="pct"/>
            <w:vAlign w:val="center"/>
          </w:tcPr>
          <w:p w14:paraId="08FB173A">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2型</w:t>
            </w:r>
          </w:p>
        </w:tc>
        <w:tc>
          <w:tcPr>
            <w:tcW w:w="1450" w:type="pct"/>
            <w:vAlign w:val="center"/>
          </w:tcPr>
          <w:p w14:paraId="3FF6773F">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10～20</w:t>
            </w:r>
          </w:p>
        </w:tc>
      </w:tr>
      <w:tr w14:paraId="007D44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60" w:type="pct"/>
            <w:vAlign w:val="center"/>
          </w:tcPr>
          <w:p w14:paraId="6D65D2C5">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Ⅱ</w:t>
            </w:r>
          </w:p>
        </w:tc>
        <w:tc>
          <w:tcPr>
            <w:tcW w:w="2189" w:type="pct"/>
            <w:gridSpan w:val="2"/>
            <w:vAlign w:val="center"/>
          </w:tcPr>
          <w:p w14:paraId="42939B6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中型淤地坝</w:t>
            </w:r>
          </w:p>
        </w:tc>
        <w:tc>
          <w:tcPr>
            <w:tcW w:w="1450" w:type="pct"/>
            <w:vAlign w:val="center"/>
          </w:tcPr>
          <w:p w14:paraId="734C7EF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5～10</w:t>
            </w:r>
          </w:p>
        </w:tc>
      </w:tr>
      <w:tr w14:paraId="7F5319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360" w:type="pct"/>
            <w:noWrap/>
            <w:vAlign w:val="center"/>
          </w:tcPr>
          <w:p w14:paraId="7EB8A9B1">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Ⅲ</w:t>
            </w:r>
          </w:p>
        </w:tc>
        <w:tc>
          <w:tcPr>
            <w:tcW w:w="2189" w:type="pct"/>
            <w:gridSpan w:val="2"/>
            <w:vAlign w:val="center"/>
          </w:tcPr>
          <w:p w14:paraId="5311627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小型淤地坝</w:t>
            </w:r>
          </w:p>
        </w:tc>
        <w:tc>
          <w:tcPr>
            <w:tcW w:w="1450" w:type="pct"/>
            <w:vAlign w:val="center"/>
          </w:tcPr>
          <w:p w14:paraId="3FF502C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5</w:t>
            </w:r>
          </w:p>
        </w:tc>
      </w:tr>
    </w:tbl>
    <w:p w14:paraId="3CCB50A0">
      <w:pPr>
        <w:spacing w:before="156" w:beforeLines="50"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17</w:t>
      </w:r>
      <w:r>
        <w:rPr>
          <w:rFonts w:ascii="Times New Roman" w:hAnsi="Times New Roman" w:cs="Times New Roman"/>
          <w:sz w:val="21"/>
          <w:szCs w:val="24"/>
        </w:rPr>
        <w:t xml:space="preserve">  </w:t>
      </w:r>
      <w:r>
        <w:rPr>
          <w:rFonts w:ascii="Times New Roman" w:hAnsi="Times New Roman" w:cs="Times New Roman"/>
          <w:sz w:val="21"/>
          <w:szCs w:val="21"/>
        </w:rPr>
        <w:t>坝顶高程应为校核洪水位高程加安全超高。</w:t>
      </w:r>
    </w:p>
    <w:p w14:paraId="248CC36D">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18</w:t>
      </w:r>
      <w:r>
        <w:rPr>
          <w:rFonts w:ascii="Times New Roman" w:hAnsi="Times New Roman" w:cs="Times New Roman"/>
          <w:sz w:val="21"/>
          <w:szCs w:val="24"/>
        </w:rPr>
        <w:t xml:space="preserve">  </w:t>
      </w:r>
      <w:r>
        <w:rPr>
          <w:rFonts w:ascii="Times New Roman" w:hAnsi="Times New Roman" w:cs="Times New Roman"/>
          <w:sz w:val="21"/>
          <w:szCs w:val="21"/>
        </w:rPr>
        <w:t>坝高应由拦泥坝高、滞洪坝高和安全超高三部分组成。拦泥高程和校核洪水位高程应由相应库容查水位库容关系曲线确定。</w:t>
      </w:r>
    </w:p>
    <w:p w14:paraId="77FB8943">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19</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w:t>
      </w:r>
      <w:r>
        <w:rPr>
          <w:rFonts w:ascii="Times New Roman" w:hAnsi="Times New Roman" w:cs="Times New Roman"/>
          <w:sz w:val="21"/>
          <w:szCs w:val="21"/>
        </w:rPr>
        <w:t>安全超高应根据坝高，按表4.4.19确定。</w:t>
      </w:r>
    </w:p>
    <w:p w14:paraId="6E12D2E4">
      <w:pPr>
        <w:jc w:val="center"/>
        <w:rPr>
          <w:rFonts w:ascii="Times New Roman" w:hAnsi="Times New Roman" w:eastAsia="黑体" w:cs="Times New Roman"/>
          <w:bCs/>
          <w:sz w:val="18"/>
          <w:szCs w:val="18"/>
        </w:rPr>
      </w:pPr>
      <w:r>
        <w:rPr>
          <w:rFonts w:ascii="Times New Roman" w:hAnsi="Times New Roman" w:eastAsia="黑体" w:cs="Times New Roman"/>
          <w:bCs/>
          <w:sz w:val="18"/>
          <w:szCs w:val="18"/>
        </w:rPr>
        <w:t>表4</w:t>
      </w:r>
      <w:r>
        <w:rPr>
          <w:rFonts w:ascii="Times New Roman" w:hAnsi="Times New Roman" w:cs="Times New Roman"/>
          <w:bCs/>
          <w:sz w:val="18"/>
          <w:szCs w:val="18"/>
        </w:rPr>
        <w:t>.</w:t>
      </w:r>
      <w:r>
        <w:rPr>
          <w:rFonts w:ascii="Times New Roman" w:hAnsi="Times New Roman" w:eastAsia="黑体" w:cs="Times New Roman"/>
          <w:bCs/>
          <w:sz w:val="18"/>
          <w:szCs w:val="18"/>
        </w:rPr>
        <w:t>4</w:t>
      </w:r>
      <w:r>
        <w:rPr>
          <w:rFonts w:ascii="Times New Roman" w:hAnsi="Times New Roman" w:cs="Times New Roman"/>
          <w:bCs/>
          <w:sz w:val="18"/>
          <w:szCs w:val="18"/>
        </w:rPr>
        <w:t>.</w:t>
      </w:r>
      <w:r>
        <w:rPr>
          <w:rFonts w:ascii="Times New Roman" w:hAnsi="Times New Roman" w:eastAsia="黑体" w:cs="Times New Roman"/>
          <w:bCs/>
          <w:sz w:val="18"/>
          <w:szCs w:val="18"/>
        </w:rPr>
        <w:t>19  坝体安全超高</w:t>
      </w:r>
    </w:p>
    <w:tbl>
      <w:tblPr>
        <w:tblStyle w:val="10"/>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68"/>
        <w:gridCol w:w="2068"/>
        <w:gridCol w:w="2068"/>
        <w:gridCol w:w="2069"/>
      </w:tblGrid>
      <w:tr w14:paraId="17141C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250" w:type="pct"/>
            <w:vAlign w:val="center"/>
          </w:tcPr>
          <w:p w14:paraId="01506EB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坝高（m）</w:t>
            </w:r>
          </w:p>
        </w:tc>
        <w:tc>
          <w:tcPr>
            <w:tcW w:w="1250" w:type="pct"/>
            <w:vAlign w:val="center"/>
          </w:tcPr>
          <w:p w14:paraId="24F5B7E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＜10</w:t>
            </w:r>
          </w:p>
        </w:tc>
        <w:tc>
          <w:tcPr>
            <w:tcW w:w="1250" w:type="pct"/>
            <w:vAlign w:val="center"/>
          </w:tcPr>
          <w:p w14:paraId="1499A00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10～20</w:t>
            </w:r>
          </w:p>
        </w:tc>
        <w:tc>
          <w:tcPr>
            <w:tcW w:w="1250" w:type="pct"/>
            <w:vAlign w:val="center"/>
          </w:tcPr>
          <w:p w14:paraId="484D9A8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20～30</w:t>
            </w:r>
          </w:p>
        </w:tc>
      </w:tr>
      <w:tr w14:paraId="2115D5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250" w:type="pct"/>
            <w:vAlign w:val="center"/>
          </w:tcPr>
          <w:p w14:paraId="262CD11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安全超高（m）</w:t>
            </w:r>
          </w:p>
        </w:tc>
        <w:tc>
          <w:tcPr>
            <w:tcW w:w="1250" w:type="pct"/>
            <w:vAlign w:val="center"/>
          </w:tcPr>
          <w:p w14:paraId="0F95846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1.0</w:t>
            </w:r>
          </w:p>
        </w:tc>
        <w:tc>
          <w:tcPr>
            <w:tcW w:w="1250" w:type="pct"/>
            <w:vAlign w:val="center"/>
          </w:tcPr>
          <w:p w14:paraId="1EE78AE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1.0～1.5</w:t>
            </w:r>
          </w:p>
        </w:tc>
        <w:tc>
          <w:tcPr>
            <w:tcW w:w="1250" w:type="pct"/>
            <w:vAlign w:val="center"/>
          </w:tcPr>
          <w:p w14:paraId="7DFC8A3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1.5～2.0</w:t>
            </w:r>
          </w:p>
        </w:tc>
      </w:tr>
    </w:tbl>
    <w:p w14:paraId="678D51AF">
      <w:pPr>
        <w:spacing w:before="156" w:beforeLines="50"/>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20</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碾压坝坝顶宽度应根据坝高，按表4.4.20确定。</w:t>
      </w:r>
    </w:p>
    <w:p w14:paraId="02DE52D2">
      <w:pPr>
        <w:jc w:val="center"/>
        <w:rPr>
          <w:rFonts w:ascii="Times New Roman" w:hAnsi="Times New Roman" w:eastAsia="黑体" w:cs="Times New Roman"/>
          <w:bCs/>
          <w:sz w:val="18"/>
          <w:szCs w:val="18"/>
        </w:rPr>
      </w:pPr>
      <w:r>
        <w:rPr>
          <w:rFonts w:ascii="Times New Roman" w:hAnsi="Times New Roman" w:eastAsia="黑体" w:cs="Times New Roman"/>
          <w:bCs/>
          <w:sz w:val="18"/>
          <w:szCs w:val="18"/>
        </w:rPr>
        <w:t>表4</w:t>
      </w:r>
      <w:r>
        <w:rPr>
          <w:rFonts w:ascii="Times New Roman" w:hAnsi="Times New Roman" w:cs="Times New Roman"/>
          <w:bCs/>
          <w:sz w:val="18"/>
          <w:szCs w:val="18"/>
        </w:rPr>
        <w:t>.</w:t>
      </w:r>
      <w:r>
        <w:rPr>
          <w:rFonts w:ascii="Times New Roman" w:hAnsi="Times New Roman" w:eastAsia="黑体" w:cs="Times New Roman"/>
          <w:bCs/>
          <w:sz w:val="18"/>
          <w:szCs w:val="18"/>
        </w:rPr>
        <w:t>4</w:t>
      </w:r>
      <w:r>
        <w:rPr>
          <w:rFonts w:ascii="Times New Roman" w:hAnsi="Times New Roman" w:cs="Times New Roman"/>
          <w:bCs/>
          <w:sz w:val="18"/>
          <w:szCs w:val="18"/>
        </w:rPr>
        <w:t>.</w:t>
      </w:r>
      <w:r>
        <w:rPr>
          <w:rFonts w:ascii="Times New Roman" w:hAnsi="Times New Roman" w:eastAsia="黑体" w:cs="Times New Roman"/>
          <w:bCs/>
          <w:sz w:val="18"/>
          <w:szCs w:val="18"/>
        </w:rPr>
        <w:t>20  碾压坝坝顶宽度</w:t>
      </w:r>
    </w:p>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55"/>
        <w:gridCol w:w="2206"/>
        <w:gridCol w:w="2206"/>
        <w:gridCol w:w="2209"/>
      </w:tblGrid>
      <w:tr w14:paraId="0297A1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8" w:hRule="atLeast"/>
          <w:jc w:val="center"/>
        </w:trPr>
        <w:tc>
          <w:tcPr>
            <w:tcW w:w="1000" w:type="pct"/>
            <w:noWrap/>
            <w:vAlign w:val="center"/>
          </w:tcPr>
          <w:p w14:paraId="699EEFE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坝高（m）</w:t>
            </w:r>
          </w:p>
        </w:tc>
        <w:tc>
          <w:tcPr>
            <w:tcW w:w="1333" w:type="pct"/>
            <w:vAlign w:val="center"/>
          </w:tcPr>
          <w:p w14:paraId="5C4013A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＜10</w:t>
            </w:r>
          </w:p>
        </w:tc>
        <w:tc>
          <w:tcPr>
            <w:tcW w:w="1333" w:type="pct"/>
            <w:vAlign w:val="center"/>
          </w:tcPr>
          <w:p w14:paraId="2D3F205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10～20</w:t>
            </w:r>
          </w:p>
        </w:tc>
        <w:tc>
          <w:tcPr>
            <w:tcW w:w="1334" w:type="pct"/>
            <w:vAlign w:val="center"/>
          </w:tcPr>
          <w:p w14:paraId="62B5D5A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20～30</w:t>
            </w:r>
          </w:p>
        </w:tc>
      </w:tr>
      <w:tr w14:paraId="268797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 w:hRule="atLeast"/>
          <w:jc w:val="center"/>
        </w:trPr>
        <w:tc>
          <w:tcPr>
            <w:tcW w:w="1000" w:type="pct"/>
            <w:noWrap/>
            <w:vAlign w:val="center"/>
          </w:tcPr>
          <w:p w14:paraId="35A6793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坝顶宽度（m）</w:t>
            </w:r>
          </w:p>
        </w:tc>
        <w:tc>
          <w:tcPr>
            <w:tcW w:w="1333" w:type="pct"/>
            <w:vAlign w:val="center"/>
          </w:tcPr>
          <w:p w14:paraId="5578535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333" w:type="pct"/>
            <w:vAlign w:val="center"/>
          </w:tcPr>
          <w:p w14:paraId="37970ACF">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3～4</w:t>
            </w:r>
          </w:p>
        </w:tc>
        <w:tc>
          <w:tcPr>
            <w:tcW w:w="1334" w:type="pct"/>
            <w:vAlign w:val="center"/>
          </w:tcPr>
          <w:p w14:paraId="1F90BBB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4～5</w:t>
            </w:r>
          </w:p>
        </w:tc>
      </w:tr>
    </w:tbl>
    <w:p w14:paraId="7B827A3C">
      <w:pPr>
        <w:rPr>
          <w:rFonts w:ascii="Times New Roman" w:hAnsi="Times New Roman" w:cs="Times New Roman"/>
          <w:kern w:val="0"/>
          <w:sz w:val="15"/>
          <w:szCs w:val="15"/>
        </w:rPr>
      </w:pPr>
      <w:r>
        <w:rPr>
          <w:rFonts w:ascii="Times New Roman" w:hAnsi="Times New Roman" w:cs="Times New Roman"/>
          <w:kern w:val="0"/>
          <w:sz w:val="15"/>
          <w:szCs w:val="15"/>
        </w:rPr>
        <w:t>注：坝顶宽度不得小于2m，如因交通需要，坝顶宽度可适当增加。</w:t>
      </w:r>
    </w:p>
    <w:p w14:paraId="19D1952D">
      <w:pPr>
        <w:spacing w:before="156" w:beforeLines="50"/>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21</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碾压坝不同坝高应分别采取不同的上下游坝坡，坝坡坡比应按表4.4.21确定。</w:t>
      </w:r>
    </w:p>
    <w:p w14:paraId="395AB800">
      <w:pPr>
        <w:jc w:val="center"/>
        <w:rPr>
          <w:rFonts w:ascii="Times New Roman" w:hAnsi="Times New Roman" w:eastAsia="黑体" w:cs="Times New Roman"/>
          <w:bCs/>
          <w:sz w:val="18"/>
          <w:szCs w:val="18"/>
        </w:rPr>
      </w:pPr>
      <w:r>
        <w:rPr>
          <w:rFonts w:ascii="Times New Roman" w:hAnsi="Times New Roman" w:eastAsia="黑体" w:cs="Times New Roman"/>
          <w:bCs/>
          <w:sz w:val="18"/>
          <w:szCs w:val="18"/>
        </w:rPr>
        <w:t>表4</w:t>
      </w:r>
      <w:r>
        <w:rPr>
          <w:rFonts w:ascii="Times New Roman" w:hAnsi="Times New Roman" w:cs="Times New Roman"/>
          <w:bCs/>
          <w:sz w:val="18"/>
          <w:szCs w:val="18"/>
        </w:rPr>
        <w:t>.</w:t>
      </w:r>
      <w:r>
        <w:rPr>
          <w:rFonts w:ascii="Times New Roman" w:hAnsi="Times New Roman" w:eastAsia="黑体" w:cs="Times New Roman"/>
          <w:bCs/>
          <w:sz w:val="18"/>
          <w:szCs w:val="18"/>
        </w:rPr>
        <w:t>4</w:t>
      </w:r>
      <w:r>
        <w:rPr>
          <w:rFonts w:ascii="Times New Roman" w:hAnsi="Times New Roman" w:cs="Times New Roman"/>
          <w:bCs/>
          <w:sz w:val="18"/>
          <w:szCs w:val="18"/>
        </w:rPr>
        <w:t>.</w:t>
      </w:r>
      <w:r>
        <w:rPr>
          <w:rFonts w:ascii="Times New Roman" w:hAnsi="Times New Roman" w:eastAsia="黑体" w:cs="Times New Roman"/>
          <w:bCs/>
          <w:sz w:val="18"/>
          <w:szCs w:val="18"/>
        </w:rPr>
        <w:t>21  碾压坝不同坝高的坝坡坡比</w:t>
      </w:r>
    </w:p>
    <w:tbl>
      <w:tblPr>
        <w:tblStyle w:val="10"/>
        <w:tblpPr w:leftFromText="180" w:rightFromText="180" w:vertAnchor="text" w:tblpXSpec="center" w:tblpY="1"/>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14"/>
        <w:gridCol w:w="2221"/>
        <w:gridCol w:w="2221"/>
        <w:gridCol w:w="2220"/>
      </w:tblGrid>
      <w:tr w14:paraId="244C97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 w:hRule="atLeast"/>
        </w:trPr>
        <w:tc>
          <w:tcPr>
            <w:tcW w:w="975" w:type="pct"/>
            <w:vMerge w:val="restart"/>
            <w:vAlign w:val="center"/>
          </w:tcPr>
          <w:p w14:paraId="5CFD9F00">
            <w:pPr>
              <w:jc w:val="center"/>
              <w:rPr>
                <w:rFonts w:ascii="Times New Roman" w:hAnsi="Times New Roman" w:cs="Times New Roman"/>
                <w:sz w:val="15"/>
                <w:szCs w:val="15"/>
              </w:rPr>
            </w:pPr>
            <w:r>
              <w:rPr>
                <w:rFonts w:ascii="Times New Roman" w:hAnsi="Times New Roman" w:cs="Times New Roman"/>
                <w:sz w:val="15"/>
                <w:szCs w:val="15"/>
              </w:rPr>
              <w:t>部位</w:t>
            </w:r>
          </w:p>
        </w:tc>
        <w:tc>
          <w:tcPr>
            <w:tcW w:w="4025" w:type="pct"/>
            <w:gridSpan w:val="3"/>
            <w:vAlign w:val="center"/>
          </w:tcPr>
          <w:p w14:paraId="7035F255">
            <w:pPr>
              <w:jc w:val="center"/>
              <w:rPr>
                <w:rFonts w:ascii="Times New Roman" w:hAnsi="Times New Roman" w:cs="Times New Roman"/>
                <w:sz w:val="15"/>
                <w:szCs w:val="15"/>
              </w:rPr>
            </w:pPr>
            <w:r>
              <w:rPr>
                <w:rFonts w:ascii="Times New Roman" w:hAnsi="Times New Roman" w:cs="Times New Roman"/>
                <w:sz w:val="15"/>
                <w:szCs w:val="15"/>
              </w:rPr>
              <w:t>坝高（m）</w:t>
            </w:r>
          </w:p>
        </w:tc>
      </w:tr>
      <w:tr w14:paraId="627704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5" w:type="pct"/>
            <w:vMerge w:val="continue"/>
            <w:vAlign w:val="center"/>
          </w:tcPr>
          <w:p w14:paraId="6A5FEB93">
            <w:pPr>
              <w:widowControl/>
              <w:jc w:val="center"/>
              <w:rPr>
                <w:rFonts w:ascii="Times New Roman" w:hAnsi="Times New Roman" w:cs="Times New Roman"/>
                <w:sz w:val="15"/>
                <w:szCs w:val="15"/>
              </w:rPr>
            </w:pPr>
          </w:p>
        </w:tc>
        <w:tc>
          <w:tcPr>
            <w:tcW w:w="1342" w:type="pct"/>
            <w:vAlign w:val="center"/>
          </w:tcPr>
          <w:p w14:paraId="293E0446">
            <w:pPr>
              <w:jc w:val="center"/>
              <w:rPr>
                <w:rFonts w:ascii="Times New Roman" w:hAnsi="Times New Roman" w:cs="Times New Roman"/>
                <w:sz w:val="15"/>
                <w:szCs w:val="15"/>
              </w:rPr>
            </w:pPr>
            <w:r>
              <w:rPr>
                <w:rFonts w:ascii="Times New Roman" w:hAnsi="Times New Roman" w:cs="Times New Roman"/>
                <w:sz w:val="15"/>
                <w:szCs w:val="15"/>
              </w:rPr>
              <w:t>＜10</w:t>
            </w:r>
          </w:p>
        </w:tc>
        <w:tc>
          <w:tcPr>
            <w:tcW w:w="1342" w:type="pct"/>
            <w:vAlign w:val="center"/>
          </w:tcPr>
          <w:p w14:paraId="040F872C">
            <w:pPr>
              <w:jc w:val="center"/>
              <w:rPr>
                <w:rFonts w:ascii="Times New Roman" w:hAnsi="Times New Roman" w:cs="Times New Roman"/>
                <w:sz w:val="15"/>
                <w:szCs w:val="15"/>
              </w:rPr>
            </w:pPr>
            <w:r>
              <w:rPr>
                <w:rFonts w:ascii="Times New Roman" w:hAnsi="Times New Roman" w:cs="Times New Roman"/>
                <w:sz w:val="15"/>
                <w:szCs w:val="15"/>
              </w:rPr>
              <w:t>10～20</w:t>
            </w:r>
          </w:p>
        </w:tc>
        <w:tc>
          <w:tcPr>
            <w:tcW w:w="1341" w:type="pct"/>
            <w:vAlign w:val="center"/>
          </w:tcPr>
          <w:p w14:paraId="1F370B9D">
            <w:pPr>
              <w:jc w:val="center"/>
              <w:rPr>
                <w:rFonts w:ascii="Times New Roman" w:hAnsi="Times New Roman" w:cs="Times New Roman"/>
                <w:sz w:val="15"/>
                <w:szCs w:val="15"/>
              </w:rPr>
            </w:pPr>
            <w:r>
              <w:rPr>
                <w:rFonts w:ascii="Times New Roman" w:hAnsi="Times New Roman" w:cs="Times New Roman"/>
                <w:sz w:val="15"/>
                <w:szCs w:val="15"/>
              </w:rPr>
              <w:t>20～30</w:t>
            </w:r>
          </w:p>
        </w:tc>
      </w:tr>
      <w:tr w14:paraId="70978F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975" w:type="pct"/>
            <w:vAlign w:val="center"/>
          </w:tcPr>
          <w:p w14:paraId="29429118">
            <w:pPr>
              <w:jc w:val="center"/>
              <w:rPr>
                <w:rFonts w:ascii="Times New Roman" w:hAnsi="Times New Roman" w:cs="Times New Roman"/>
                <w:sz w:val="15"/>
                <w:szCs w:val="15"/>
              </w:rPr>
            </w:pPr>
            <w:r>
              <w:rPr>
                <w:rFonts w:ascii="Times New Roman" w:hAnsi="Times New Roman" w:cs="Times New Roman"/>
                <w:sz w:val="15"/>
                <w:szCs w:val="15"/>
              </w:rPr>
              <w:t>上游坝坡</w:t>
            </w:r>
          </w:p>
        </w:tc>
        <w:tc>
          <w:tcPr>
            <w:tcW w:w="1342" w:type="pct"/>
            <w:vAlign w:val="center"/>
          </w:tcPr>
          <w:p w14:paraId="0B099BD8">
            <w:pPr>
              <w:jc w:val="center"/>
              <w:rPr>
                <w:rFonts w:ascii="Times New Roman" w:hAnsi="Times New Roman" w:cs="Times New Roman"/>
                <w:sz w:val="15"/>
                <w:szCs w:val="15"/>
              </w:rPr>
            </w:pPr>
            <w:r>
              <w:rPr>
                <w:rFonts w:ascii="Times New Roman" w:hAnsi="Times New Roman" w:cs="Times New Roman"/>
                <w:sz w:val="15"/>
                <w:szCs w:val="15"/>
              </w:rPr>
              <w:t>1.75</w:t>
            </w:r>
          </w:p>
        </w:tc>
        <w:tc>
          <w:tcPr>
            <w:tcW w:w="1342" w:type="pct"/>
            <w:vAlign w:val="center"/>
          </w:tcPr>
          <w:p w14:paraId="7BCE23BC">
            <w:pPr>
              <w:jc w:val="center"/>
              <w:rPr>
                <w:rFonts w:ascii="Times New Roman" w:hAnsi="Times New Roman" w:cs="Times New Roman"/>
                <w:sz w:val="15"/>
                <w:szCs w:val="15"/>
              </w:rPr>
            </w:pPr>
            <w:r>
              <w:rPr>
                <w:rFonts w:ascii="Times New Roman" w:hAnsi="Times New Roman" w:cs="Times New Roman"/>
                <w:sz w:val="15"/>
                <w:szCs w:val="15"/>
              </w:rPr>
              <w:t>1.75～2.00</w:t>
            </w:r>
          </w:p>
        </w:tc>
        <w:tc>
          <w:tcPr>
            <w:tcW w:w="1341" w:type="pct"/>
            <w:vAlign w:val="center"/>
          </w:tcPr>
          <w:p w14:paraId="76D44089">
            <w:pPr>
              <w:jc w:val="center"/>
              <w:rPr>
                <w:rFonts w:ascii="Times New Roman" w:hAnsi="Times New Roman" w:cs="Times New Roman"/>
                <w:sz w:val="15"/>
                <w:szCs w:val="15"/>
              </w:rPr>
            </w:pPr>
            <w:r>
              <w:rPr>
                <w:rFonts w:ascii="Times New Roman" w:hAnsi="Times New Roman" w:cs="Times New Roman"/>
                <w:sz w:val="15"/>
                <w:szCs w:val="15"/>
              </w:rPr>
              <w:t>2.00～2.50</w:t>
            </w:r>
          </w:p>
        </w:tc>
      </w:tr>
      <w:tr w14:paraId="58CD6A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 w:hRule="atLeast"/>
        </w:trPr>
        <w:tc>
          <w:tcPr>
            <w:tcW w:w="975" w:type="pct"/>
            <w:vAlign w:val="center"/>
          </w:tcPr>
          <w:p w14:paraId="436A3901">
            <w:pPr>
              <w:jc w:val="center"/>
              <w:rPr>
                <w:rFonts w:ascii="Times New Roman" w:hAnsi="Times New Roman" w:cs="Times New Roman"/>
                <w:sz w:val="15"/>
                <w:szCs w:val="15"/>
              </w:rPr>
            </w:pPr>
            <w:r>
              <w:rPr>
                <w:rFonts w:ascii="Times New Roman" w:hAnsi="Times New Roman" w:cs="Times New Roman"/>
                <w:sz w:val="15"/>
                <w:szCs w:val="15"/>
              </w:rPr>
              <w:t>下游坝坡</w:t>
            </w:r>
          </w:p>
        </w:tc>
        <w:tc>
          <w:tcPr>
            <w:tcW w:w="1342" w:type="pct"/>
            <w:vAlign w:val="center"/>
          </w:tcPr>
          <w:p w14:paraId="3C711296">
            <w:pPr>
              <w:jc w:val="center"/>
              <w:rPr>
                <w:rFonts w:ascii="Times New Roman" w:hAnsi="Times New Roman" w:cs="Times New Roman"/>
                <w:sz w:val="15"/>
                <w:szCs w:val="15"/>
              </w:rPr>
            </w:pPr>
            <w:r>
              <w:rPr>
                <w:rFonts w:ascii="Times New Roman" w:hAnsi="Times New Roman" w:cs="Times New Roman"/>
                <w:sz w:val="15"/>
                <w:szCs w:val="15"/>
              </w:rPr>
              <w:t>1.50</w:t>
            </w:r>
          </w:p>
        </w:tc>
        <w:tc>
          <w:tcPr>
            <w:tcW w:w="1342" w:type="pct"/>
            <w:vAlign w:val="center"/>
          </w:tcPr>
          <w:p w14:paraId="62874C12">
            <w:pPr>
              <w:jc w:val="center"/>
              <w:rPr>
                <w:rFonts w:ascii="Times New Roman" w:hAnsi="Times New Roman" w:cs="Times New Roman"/>
                <w:sz w:val="15"/>
                <w:szCs w:val="15"/>
              </w:rPr>
            </w:pPr>
            <w:r>
              <w:rPr>
                <w:rFonts w:ascii="Times New Roman" w:hAnsi="Times New Roman" w:cs="Times New Roman"/>
                <w:sz w:val="15"/>
                <w:szCs w:val="15"/>
              </w:rPr>
              <w:t>1.50～1.75</w:t>
            </w:r>
          </w:p>
        </w:tc>
        <w:tc>
          <w:tcPr>
            <w:tcW w:w="1341" w:type="pct"/>
            <w:vAlign w:val="center"/>
          </w:tcPr>
          <w:p w14:paraId="070A6F8D">
            <w:pPr>
              <w:jc w:val="center"/>
              <w:rPr>
                <w:rFonts w:ascii="Times New Roman" w:hAnsi="Times New Roman" w:cs="Times New Roman"/>
                <w:sz w:val="15"/>
                <w:szCs w:val="15"/>
              </w:rPr>
            </w:pPr>
            <w:r>
              <w:rPr>
                <w:rFonts w:ascii="Times New Roman" w:hAnsi="Times New Roman" w:cs="Times New Roman"/>
                <w:sz w:val="15"/>
                <w:szCs w:val="15"/>
              </w:rPr>
              <w:t>1.75～2.00</w:t>
            </w:r>
          </w:p>
        </w:tc>
      </w:tr>
    </w:tbl>
    <w:p w14:paraId="005F70B1">
      <w:pPr>
        <w:ind w:firstLine="300" w:firstLineChars="200"/>
        <w:rPr>
          <w:rFonts w:ascii="Times New Roman" w:hAnsi="Times New Roman" w:cs="Times New Roman"/>
          <w:sz w:val="15"/>
          <w:szCs w:val="15"/>
        </w:rPr>
      </w:pPr>
      <w:r>
        <w:rPr>
          <w:rFonts w:ascii="Times New Roman" w:hAnsi="Times New Roman" w:cs="Times New Roman"/>
          <w:sz w:val="15"/>
          <w:szCs w:val="15"/>
        </w:rPr>
        <w:t>注：当采用砂壤土筑坝时，坝坡坡比应经稳定分析后确定。</w:t>
      </w:r>
    </w:p>
    <w:p w14:paraId="6723ADEE">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22</w:t>
      </w:r>
      <w:r>
        <w:rPr>
          <w:rFonts w:ascii="Times New Roman" w:hAnsi="Times New Roman" w:cs="Times New Roman"/>
          <w:sz w:val="21"/>
          <w:szCs w:val="24"/>
        </w:rPr>
        <w:t xml:space="preserve">  坝高超过15m时，应在下游坡每隔10m左右设置一条马道，马道宽度应取1.0m～1.5m。</w:t>
      </w:r>
    </w:p>
    <w:p w14:paraId="0A1B17C3">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23</w:t>
      </w:r>
      <w:r>
        <w:rPr>
          <w:rFonts w:ascii="Times New Roman" w:hAnsi="Times New Roman" w:cs="Times New Roman"/>
          <w:b/>
          <w:sz w:val="21"/>
          <w:szCs w:val="24"/>
        </w:rPr>
        <w:t xml:space="preserve">  </w:t>
      </w:r>
      <w:r>
        <w:rPr>
          <w:rFonts w:ascii="Times New Roman" w:hAnsi="Times New Roman" w:cs="Times New Roman"/>
          <w:sz w:val="21"/>
          <w:szCs w:val="24"/>
        </w:rPr>
        <w:t>坝体排水有棱式反滤体和斜卧式反滤体（图4.4.23）两种形式，可结合工程具体条件选定。</w:t>
      </w:r>
    </w:p>
    <w:p w14:paraId="2F58D1B6">
      <w:pPr>
        <w:snapToGrid w:val="0"/>
        <w:spacing w:line="360" w:lineRule="auto"/>
        <w:jc w:val="center"/>
        <w:rPr>
          <w:rFonts w:ascii="Times New Roman" w:hAnsi="Times New Roman" w:cs="Times New Roman"/>
          <w:sz w:val="24"/>
          <w:szCs w:val="24"/>
        </w:rPr>
      </w:pPr>
      <w:r>
        <w:rPr>
          <w:rFonts w:ascii="Times New Roman" w:hAnsi="Times New Roman" w:cs="Times New Roman"/>
          <w:b/>
          <w:sz w:val="24"/>
          <w:szCs w:val="24"/>
        </w:rPr>
        <w:object>
          <v:shape id="_x0000_i1035" o:spt="75" type="#_x0000_t75" style="height:99.6pt;width:172.75pt;" o:ole="t" filled="f" o:preferrelative="t" stroked="f" coordsize="21600,21600">
            <v:path/>
            <v:fill on="f" focussize="0,0"/>
            <v:stroke on="f" joinstyle="miter"/>
            <v:imagedata r:id="rId40" croptop="6501f" o:title=""/>
            <o:lock v:ext="edit" aspectratio="t"/>
            <w10:wrap type="none"/>
            <w10:anchorlock/>
          </v:shape>
          <o:OLEObject Type="Embed" ProgID="AutoCAD.Drawing.15" ShapeID="_x0000_i1035" DrawAspect="Content" ObjectID="_1468075735" r:id="rId39">
            <o:LockedField>false</o:LockedField>
          </o:OLEObject>
        </w:object>
      </w:r>
    </w:p>
    <w:p w14:paraId="31B413E9">
      <w:pPr>
        <w:jc w:val="center"/>
        <w:rPr>
          <w:rFonts w:ascii="Times New Roman" w:hAnsi="Times New Roman" w:cs="Times New Roman"/>
          <w:sz w:val="13"/>
          <w:szCs w:val="13"/>
        </w:rPr>
      </w:pPr>
      <w:r>
        <w:rPr>
          <w:rFonts w:ascii="Times New Roman" w:hAnsi="Times New Roman" w:cs="Times New Roman"/>
          <w:sz w:val="13"/>
          <w:szCs w:val="13"/>
        </w:rPr>
        <w:t>（a）棱式反滤体</w:t>
      </w:r>
    </w:p>
    <w:p w14:paraId="7059CE51">
      <w:pPr>
        <w:jc w:val="center"/>
        <w:rPr>
          <w:rFonts w:ascii="Times New Roman" w:hAnsi="Times New Roman" w:cs="Times New Roman"/>
          <w:sz w:val="24"/>
          <w:szCs w:val="24"/>
        </w:rPr>
      </w:pPr>
      <w:r>
        <w:rPr>
          <w:rFonts w:ascii="Times New Roman" w:hAnsi="Times New Roman" w:cs="Times New Roman"/>
          <w:b/>
          <w:sz w:val="24"/>
          <w:szCs w:val="24"/>
        </w:rPr>
        <w:object>
          <v:shape id="_x0000_i1036" o:spt="75" type="#_x0000_t75" style="height:90.6pt;width:219.55pt;" o:ole="t" filled="f" o:preferrelative="t" stroked="f" coordsize="21600,21600">
            <v:path/>
            <v:fill on="f" focussize="0,0"/>
            <v:stroke on="f" joinstyle="miter"/>
            <v:imagedata r:id="rId42" o:title=""/>
            <o:lock v:ext="edit" aspectratio="t"/>
            <w10:wrap type="none"/>
            <w10:anchorlock/>
          </v:shape>
          <o:OLEObject Type="Embed" ProgID="AutoCAD.Drawing.15" ShapeID="_x0000_i1036" DrawAspect="Content" ObjectID="_1468075736" r:id="rId41">
            <o:LockedField>false</o:LockedField>
          </o:OLEObject>
        </w:object>
      </w:r>
    </w:p>
    <w:p w14:paraId="2A753788">
      <w:pPr>
        <w:jc w:val="center"/>
        <w:rPr>
          <w:rFonts w:ascii="Times New Roman" w:hAnsi="Times New Roman" w:cs="Times New Roman"/>
          <w:sz w:val="13"/>
          <w:szCs w:val="13"/>
        </w:rPr>
      </w:pPr>
      <w:r>
        <w:rPr>
          <w:rFonts w:ascii="Times New Roman" w:hAnsi="Times New Roman" w:cs="Times New Roman"/>
          <w:sz w:val="13"/>
          <w:szCs w:val="13"/>
        </w:rPr>
        <w:t>（b）带水平砂沟的棱式反滤体</w:t>
      </w:r>
    </w:p>
    <w:p w14:paraId="37B20A01">
      <w:pPr>
        <w:jc w:val="center"/>
        <w:rPr>
          <w:rFonts w:ascii="Times New Roman" w:hAnsi="Times New Roman" w:cs="Times New Roman"/>
          <w:sz w:val="24"/>
          <w:szCs w:val="24"/>
        </w:rPr>
      </w:pPr>
      <w:r>
        <w:rPr>
          <w:rFonts w:ascii="Times New Roman" w:hAnsi="Times New Roman" w:cs="Times New Roman"/>
          <w:b/>
          <w:sz w:val="24"/>
          <w:szCs w:val="24"/>
        </w:rPr>
        <w:object>
          <v:shape id="_x0000_i1037" o:spt="75" type="#_x0000_t75" style="height:72pt;width:200.3pt;" o:ole="t" filled="f" o:preferrelative="t" stroked="f" coordsize="21600,21600">
            <v:path/>
            <v:fill on="f" focussize="0,0"/>
            <v:stroke on="f" joinstyle="miter"/>
            <v:imagedata r:id="rId44" o:title=""/>
            <o:lock v:ext="edit" aspectratio="t"/>
            <w10:wrap type="none"/>
            <w10:anchorlock/>
          </v:shape>
          <o:OLEObject Type="Embed" ProgID="AutoCAD.Drawing.15" ShapeID="_x0000_i1037" DrawAspect="Content" ObjectID="_1468075737" r:id="rId43">
            <o:LockedField>false</o:LockedField>
          </o:OLEObject>
        </w:object>
      </w:r>
    </w:p>
    <w:p w14:paraId="6771F8AC">
      <w:pPr>
        <w:jc w:val="center"/>
        <w:rPr>
          <w:rFonts w:ascii="Times New Roman" w:hAnsi="Times New Roman" w:cs="Times New Roman"/>
          <w:sz w:val="13"/>
          <w:szCs w:val="13"/>
        </w:rPr>
      </w:pPr>
      <w:r>
        <w:rPr>
          <w:rFonts w:ascii="Times New Roman" w:hAnsi="Times New Roman" w:cs="Times New Roman"/>
          <w:sz w:val="13"/>
          <w:szCs w:val="13"/>
        </w:rPr>
        <w:t>（c）斜卧式反滤体</w:t>
      </w:r>
    </w:p>
    <w:p w14:paraId="1E6DD73E">
      <w:pPr>
        <w:jc w:val="center"/>
        <w:rPr>
          <w:rFonts w:ascii="Times New Roman" w:hAnsi="Times New Roman" w:eastAsia="黑体" w:cs="Times New Roman"/>
          <w:bCs/>
          <w:sz w:val="18"/>
          <w:szCs w:val="18"/>
        </w:rPr>
      </w:pPr>
      <w:r>
        <w:rPr>
          <w:rFonts w:ascii="Times New Roman" w:hAnsi="Times New Roman" w:eastAsia="黑体" w:cs="Times New Roman"/>
          <w:bCs/>
          <w:sz w:val="18"/>
          <w:szCs w:val="18"/>
        </w:rPr>
        <w:t>图4</w:t>
      </w:r>
      <w:r>
        <w:rPr>
          <w:rFonts w:ascii="Times New Roman" w:hAnsi="Times New Roman" w:cs="Times New Roman"/>
          <w:bCs/>
          <w:sz w:val="18"/>
          <w:szCs w:val="18"/>
        </w:rPr>
        <w:t>.</w:t>
      </w:r>
      <w:r>
        <w:rPr>
          <w:rFonts w:ascii="Times New Roman" w:hAnsi="Times New Roman" w:eastAsia="黑体" w:cs="Times New Roman"/>
          <w:bCs/>
          <w:sz w:val="18"/>
          <w:szCs w:val="18"/>
        </w:rPr>
        <w:t>4</w:t>
      </w:r>
      <w:r>
        <w:rPr>
          <w:rFonts w:ascii="Times New Roman" w:hAnsi="Times New Roman" w:cs="Times New Roman"/>
          <w:bCs/>
          <w:sz w:val="18"/>
          <w:szCs w:val="18"/>
        </w:rPr>
        <w:t>.</w:t>
      </w:r>
      <w:r>
        <w:rPr>
          <w:rFonts w:ascii="Times New Roman" w:hAnsi="Times New Roman" w:eastAsia="黑体" w:cs="Times New Roman"/>
          <w:bCs/>
          <w:sz w:val="18"/>
          <w:szCs w:val="18"/>
        </w:rPr>
        <w:t>23  反滤体示意图</w:t>
      </w:r>
    </w:p>
    <w:p w14:paraId="43EFF0F3">
      <w:pPr>
        <w:jc w:val="center"/>
        <w:rPr>
          <w:rFonts w:ascii="Times New Roman" w:hAnsi="Times New Roman" w:cs="Times New Roman"/>
          <w:sz w:val="15"/>
          <w:szCs w:val="15"/>
        </w:rPr>
      </w:pPr>
      <w:r>
        <w:rPr>
          <w:rFonts w:ascii="Times New Roman" w:hAnsi="Times New Roman" w:cs="Times New Roman"/>
          <w:sz w:val="15"/>
          <w:szCs w:val="15"/>
        </w:rPr>
        <w:t>①坝体 ②坝坡 ③透水地基 ④卵石 ⑤粗沙 ⑥小砾石 ⑦干砌块石 ⑧块石 ⑨非岩石地基</w:t>
      </w:r>
    </w:p>
    <w:p w14:paraId="0A99566F">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24</w:t>
      </w:r>
      <w:r>
        <w:rPr>
          <w:rFonts w:ascii="Times New Roman" w:hAnsi="Times New Roman" w:cs="Times New Roman"/>
          <w:sz w:val="21"/>
          <w:szCs w:val="24"/>
        </w:rPr>
        <w:t xml:space="preserve">  棱式反滤体高度应由坝体浸润线位置确定，顶部高程应超出下游最高水位0.5m～1.0m，坝体浸润线距坝面的距离应大于该地区的冻结深度；顶部宽度应根据施工条件及检查观测需要确定，但不宜小于1.5m；应避免在棱体上游坡脚处出现锐角。</w:t>
      </w:r>
    </w:p>
    <w:p w14:paraId="36A34A7F">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25</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斜卧式反滤体顶部高程应高于坝体浸润线出逸点，超过的高度应使坝体浸润线位于在该地区的冻结深度以下，且不小于1.5m；底脚应设置排水沟或排水体；材料应满足护坡的要求。</w:t>
      </w:r>
    </w:p>
    <w:p w14:paraId="04CF449D">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26</w:t>
      </w:r>
      <w:r>
        <w:rPr>
          <w:rFonts w:ascii="Times New Roman" w:hAnsi="Times New Roman" w:cs="Times New Roman"/>
          <w:sz w:val="21"/>
          <w:szCs w:val="24"/>
        </w:rPr>
        <w:t xml:space="preserve">  </w:t>
      </w:r>
      <w:r>
        <w:rPr>
          <w:rFonts w:ascii="Times New Roman" w:hAnsi="Times New Roman" w:cs="Times New Roman"/>
          <w:sz w:val="21"/>
          <w:szCs w:val="21"/>
        </w:rPr>
        <w:t>反滤体高宜取坝高的1/6～1/5，但需进行渗流计算确定逸出点。</w:t>
      </w:r>
      <w:r>
        <w:rPr>
          <w:rFonts w:ascii="Times New Roman" w:hAnsi="Times New Roman" w:cs="Times New Roman"/>
          <w:sz w:val="21"/>
          <w:szCs w:val="24"/>
        </w:rPr>
        <w:t>反滤体尺寸可根据坝高情况，并应按表4.4.26初步选定。</w:t>
      </w:r>
    </w:p>
    <w:p w14:paraId="5A7A5811">
      <w:pPr>
        <w:jc w:val="center"/>
        <w:rPr>
          <w:rFonts w:ascii="Times New Roman" w:hAnsi="Times New Roman" w:eastAsia="黑体" w:cs="Times New Roman"/>
          <w:bCs/>
          <w:sz w:val="18"/>
          <w:szCs w:val="18"/>
        </w:rPr>
      </w:pPr>
      <w:r>
        <w:rPr>
          <w:rFonts w:ascii="Times New Roman" w:hAnsi="Times New Roman" w:eastAsia="黑体" w:cs="Times New Roman"/>
          <w:bCs/>
          <w:sz w:val="18"/>
          <w:szCs w:val="18"/>
        </w:rPr>
        <w:t>表4</w:t>
      </w:r>
      <w:r>
        <w:rPr>
          <w:rFonts w:ascii="Times New Roman" w:hAnsi="Times New Roman" w:cs="Times New Roman"/>
          <w:bCs/>
          <w:sz w:val="18"/>
          <w:szCs w:val="18"/>
        </w:rPr>
        <w:t>.</w:t>
      </w:r>
      <w:r>
        <w:rPr>
          <w:rFonts w:ascii="Times New Roman" w:hAnsi="Times New Roman" w:eastAsia="黑体" w:cs="Times New Roman"/>
          <w:bCs/>
          <w:sz w:val="18"/>
          <w:szCs w:val="18"/>
        </w:rPr>
        <w:t>4</w:t>
      </w:r>
      <w:r>
        <w:rPr>
          <w:rFonts w:ascii="Times New Roman" w:hAnsi="Times New Roman" w:cs="Times New Roman"/>
          <w:bCs/>
          <w:sz w:val="18"/>
          <w:szCs w:val="18"/>
        </w:rPr>
        <w:t>.</w:t>
      </w:r>
      <w:r>
        <w:rPr>
          <w:rFonts w:ascii="Times New Roman" w:hAnsi="Times New Roman" w:eastAsia="黑体" w:cs="Times New Roman"/>
          <w:bCs/>
          <w:sz w:val="18"/>
          <w:szCs w:val="18"/>
        </w:rPr>
        <w:t>26  反滤体尺寸</w:t>
      </w:r>
    </w:p>
    <w:tbl>
      <w:tblPr>
        <w:tblStyle w:val="10"/>
        <w:tblpPr w:leftFromText="180" w:rightFromText="180" w:vertAnchor="text" w:tblpXSpec="center" w:tblpY="1"/>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1440"/>
        <w:gridCol w:w="1440"/>
        <w:gridCol w:w="1284"/>
        <w:gridCol w:w="1733"/>
        <w:gridCol w:w="1487"/>
      </w:tblGrid>
      <w:tr w14:paraId="0396DA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 w:hRule="atLeast"/>
        </w:trPr>
        <w:tc>
          <w:tcPr>
            <w:tcW w:w="1408" w:type="pct"/>
            <w:gridSpan w:val="2"/>
            <w:vMerge w:val="restart"/>
            <w:vAlign w:val="center"/>
          </w:tcPr>
          <w:p w14:paraId="7C55A5B5">
            <w:pPr>
              <w:jc w:val="center"/>
              <w:rPr>
                <w:rFonts w:ascii="Times New Roman" w:hAnsi="Times New Roman" w:cs="Times New Roman"/>
                <w:sz w:val="15"/>
                <w:szCs w:val="15"/>
              </w:rPr>
            </w:pPr>
            <w:r>
              <w:rPr>
                <w:rFonts w:ascii="Times New Roman" w:hAnsi="Times New Roman" w:cs="Times New Roman"/>
                <w:sz w:val="15"/>
                <w:szCs w:val="15"/>
              </w:rPr>
              <w:t>项目</w:t>
            </w:r>
          </w:p>
        </w:tc>
        <w:tc>
          <w:tcPr>
            <w:tcW w:w="3592" w:type="pct"/>
            <w:gridSpan w:val="4"/>
            <w:vAlign w:val="center"/>
          </w:tcPr>
          <w:p w14:paraId="238B604B">
            <w:pPr>
              <w:jc w:val="center"/>
              <w:rPr>
                <w:rFonts w:ascii="Times New Roman" w:hAnsi="Times New Roman" w:cs="Times New Roman"/>
                <w:sz w:val="15"/>
                <w:szCs w:val="15"/>
              </w:rPr>
            </w:pPr>
            <w:r>
              <w:rPr>
                <w:rFonts w:ascii="Times New Roman" w:hAnsi="Times New Roman" w:cs="Times New Roman"/>
                <w:sz w:val="15"/>
                <w:szCs w:val="15"/>
              </w:rPr>
              <w:t>坝高（m）</w:t>
            </w:r>
          </w:p>
        </w:tc>
      </w:tr>
      <w:tr w14:paraId="02A85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 w:hRule="atLeast"/>
        </w:trPr>
        <w:tc>
          <w:tcPr>
            <w:tcW w:w="1408" w:type="pct"/>
            <w:gridSpan w:val="2"/>
            <w:vMerge w:val="continue"/>
            <w:vAlign w:val="center"/>
          </w:tcPr>
          <w:p w14:paraId="5832BF69">
            <w:pPr>
              <w:widowControl/>
              <w:jc w:val="center"/>
              <w:rPr>
                <w:rFonts w:ascii="Times New Roman" w:hAnsi="Times New Roman" w:cs="Times New Roman"/>
                <w:sz w:val="15"/>
                <w:szCs w:val="15"/>
              </w:rPr>
            </w:pPr>
          </w:p>
        </w:tc>
        <w:tc>
          <w:tcPr>
            <w:tcW w:w="870" w:type="pct"/>
            <w:vAlign w:val="center"/>
          </w:tcPr>
          <w:p w14:paraId="479F9AEA">
            <w:pPr>
              <w:jc w:val="center"/>
              <w:rPr>
                <w:rFonts w:ascii="Times New Roman" w:hAnsi="Times New Roman" w:cs="Times New Roman"/>
                <w:sz w:val="15"/>
                <w:szCs w:val="15"/>
              </w:rPr>
            </w:pPr>
            <w:r>
              <w:rPr>
                <w:rFonts w:ascii="Times New Roman" w:hAnsi="Times New Roman" w:cs="Times New Roman"/>
                <w:sz w:val="15"/>
                <w:szCs w:val="15"/>
              </w:rPr>
              <w:t>10～15</w:t>
            </w:r>
          </w:p>
        </w:tc>
        <w:tc>
          <w:tcPr>
            <w:tcW w:w="776" w:type="pct"/>
            <w:vAlign w:val="center"/>
          </w:tcPr>
          <w:p w14:paraId="484926F3">
            <w:pPr>
              <w:jc w:val="center"/>
              <w:rPr>
                <w:rFonts w:ascii="Times New Roman" w:hAnsi="Times New Roman" w:cs="Times New Roman"/>
                <w:sz w:val="15"/>
                <w:szCs w:val="15"/>
              </w:rPr>
            </w:pPr>
            <w:r>
              <w:rPr>
                <w:rFonts w:ascii="Times New Roman" w:hAnsi="Times New Roman" w:cs="Times New Roman"/>
                <w:sz w:val="15"/>
                <w:szCs w:val="15"/>
              </w:rPr>
              <w:t>15～20</w:t>
            </w:r>
          </w:p>
        </w:tc>
        <w:tc>
          <w:tcPr>
            <w:tcW w:w="1047" w:type="pct"/>
            <w:vAlign w:val="center"/>
          </w:tcPr>
          <w:p w14:paraId="1A0196FC">
            <w:pPr>
              <w:jc w:val="center"/>
              <w:rPr>
                <w:rFonts w:ascii="Times New Roman" w:hAnsi="Times New Roman" w:cs="Times New Roman"/>
                <w:sz w:val="15"/>
                <w:szCs w:val="15"/>
              </w:rPr>
            </w:pPr>
            <w:r>
              <w:rPr>
                <w:rFonts w:ascii="Times New Roman" w:hAnsi="Times New Roman" w:cs="Times New Roman"/>
                <w:sz w:val="15"/>
                <w:szCs w:val="15"/>
              </w:rPr>
              <w:t>20～25</w:t>
            </w:r>
          </w:p>
        </w:tc>
        <w:tc>
          <w:tcPr>
            <w:tcW w:w="898" w:type="pct"/>
            <w:vAlign w:val="center"/>
          </w:tcPr>
          <w:p w14:paraId="6A48B43C">
            <w:pPr>
              <w:jc w:val="center"/>
              <w:rPr>
                <w:rFonts w:ascii="Times New Roman" w:hAnsi="Times New Roman" w:cs="Times New Roman"/>
                <w:sz w:val="15"/>
                <w:szCs w:val="15"/>
              </w:rPr>
            </w:pPr>
            <w:r>
              <w:rPr>
                <w:rFonts w:ascii="Times New Roman" w:hAnsi="Times New Roman" w:cs="Times New Roman"/>
                <w:sz w:val="15"/>
                <w:szCs w:val="15"/>
              </w:rPr>
              <w:t>25～30</w:t>
            </w:r>
          </w:p>
        </w:tc>
      </w:tr>
      <w:tr w14:paraId="034479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 w:hRule="atLeast"/>
        </w:trPr>
        <w:tc>
          <w:tcPr>
            <w:tcW w:w="1408" w:type="pct"/>
            <w:gridSpan w:val="2"/>
            <w:vAlign w:val="center"/>
          </w:tcPr>
          <w:p w14:paraId="37C9DD70">
            <w:pPr>
              <w:widowControl/>
              <w:jc w:val="center"/>
              <w:rPr>
                <w:rFonts w:ascii="Times New Roman" w:hAnsi="Times New Roman" w:cs="Times New Roman"/>
                <w:sz w:val="15"/>
                <w:szCs w:val="15"/>
              </w:rPr>
            </w:pPr>
            <w:r>
              <w:rPr>
                <w:rFonts w:ascii="Times New Roman" w:hAnsi="Times New Roman" w:cs="Times New Roman"/>
                <w:sz w:val="15"/>
                <w:szCs w:val="15"/>
              </w:rPr>
              <w:t>反滤体高度（m）</w:t>
            </w:r>
          </w:p>
        </w:tc>
        <w:tc>
          <w:tcPr>
            <w:tcW w:w="870" w:type="pct"/>
            <w:vAlign w:val="center"/>
          </w:tcPr>
          <w:p w14:paraId="44BBF6A6">
            <w:pPr>
              <w:jc w:val="center"/>
              <w:rPr>
                <w:rFonts w:ascii="Times New Roman" w:hAnsi="Times New Roman" w:cs="Times New Roman"/>
                <w:sz w:val="15"/>
                <w:szCs w:val="15"/>
              </w:rPr>
            </w:pPr>
            <w:r>
              <w:rPr>
                <w:rFonts w:ascii="Times New Roman" w:hAnsi="Times New Roman" w:cs="Times New Roman"/>
                <w:sz w:val="15"/>
                <w:szCs w:val="15"/>
              </w:rPr>
              <w:t>2.0～2.5</w:t>
            </w:r>
          </w:p>
        </w:tc>
        <w:tc>
          <w:tcPr>
            <w:tcW w:w="776" w:type="pct"/>
            <w:vAlign w:val="center"/>
          </w:tcPr>
          <w:p w14:paraId="3B4E0335">
            <w:pPr>
              <w:jc w:val="center"/>
              <w:rPr>
                <w:rFonts w:ascii="Times New Roman" w:hAnsi="Times New Roman" w:cs="Times New Roman"/>
                <w:sz w:val="15"/>
                <w:szCs w:val="15"/>
              </w:rPr>
            </w:pPr>
            <w:r>
              <w:rPr>
                <w:rFonts w:ascii="Times New Roman" w:hAnsi="Times New Roman" w:cs="Times New Roman"/>
                <w:sz w:val="15"/>
                <w:szCs w:val="15"/>
              </w:rPr>
              <w:t>2.5～3.0</w:t>
            </w:r>
          </w:p>
        </w:tc>
        <w:tc>
          <w:tcPr>
            <w:tcW w:w="1047" w:type="pct"/>
            <w:vAlign w:val="center"/>
          </w:tcPr>
          <w:p w14:paraId="1C4F93CA">
            <w:pPr>
              <w:jc w:val="center"/>
              <w:rPr>
                <w:rFonts w:ascii="Times New Roman" w:hAnsi="Times New Roman" w:cs="Times New Roman"/>
                <w:sz w:val="15"/>
                <w:szCs w:val="15"/>
              </w:rPr>
            </w:pPr>
            <w:r>
              <w:rPr>
                <w:rFonts w:ascii="Times New Roman" w:hAnsi="Times New Roman" w:cs="Times New Roman"/>
                <w:sz w:val="15"/>
                <w:szCs w:val="15"/>
              </w:rPr>
              <w:t>3.0～3.5</w:t>
            </w:r>
          </w:p>
        </w:tc>
        <w:tc>
          <w:tcPr>
            <w:tcW w:w="898" w:type="pct"/>
            <w:vAlign w:val="center"/>
          </w:tcPr>
          <w:p w14:paraId="75C6DAA7">
            <w:pPr>
              <w:jc w:val="center"/>
              <w:rPr>
                <w:rFonts w:ascii="Times New Roman" w:hAnsi="Times New Roman" w:cs="Times New Roman"/>
                <w:sz w:val="15"/>
                <w:szCs w:val="15"/>
              </w:rPr>
            </w:pPr>
            <w:r>
              <w:rPr>
                <w:rFonts w:ascii="Times New Roman" w:hAnsi="Times New Roman" w:cs="Times New Roman"/>
                <w:sz w:val="15"/>
                <w:szCs w:val="15"/>
              </w:rPr>
              <w:t>3.5～4.0</w:t>
            </w:r>
          </w:p>
        </w:tc>
      </w:tr>
      <w:tr w14:paraId="34F0F8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539" w:type="pct"/>
            <w:vMerge w:val="restart"/>
            <w:vAlign w:val="center"/>
          </w:tcPr>
          <w:p w14:paraId="759ED98B">
            <w:pPr>
              <w:jc w:val="center"/>
              <w:rPr>
                <w:rFonts w:ascii="Times New Roman" w:hAnsi="Times New Roman" w:cs="Times New Roman"/>
                <w:sz w:val="15"/>
                <w:szCs w:val="15"/>
              </w:rPr>
            </w:pPr>
            <w:r>
              <w:rPr>
                <w:rFonts w:ascii="Times New Roman" w:hAnsi="Times New Roman" w:cs="Times New Roman"/>
                <w:sz w:val="15"/>
                <w:szCs w:val="15"/>
              </w:rPr>
              <w:t>棱体式</w:t>
            </w:r>
          </w:p>
        </w:tc>
        <w:tc>
          <w:tcPr>
            <w:tcW w:w="870" w:type="pct"/>
            <w:vAlign w:val="center"/>
          </w:tcPr>
          <w:p w14:paraId="575E5812">
            <w:pPr>
              <w:jc w:val="center"/>
              <w:rPr>
                <w:rFonts w:ascii="Times New Roman" w:hAnsi="Times New Roman" w:cs="Times New Roman"/>
                <w:sz w:val="15"/>
                <w:szCs w:val="15"/>
              </w:rPr>
            </w:pPr>
            <w:r>
              <w:rPr>
                <w:rFonts w:ascii="Times New Roman" w:hAnsi="Times New Roman" w:cs="Times New Roman"/>
                <w:sz w:val="15"/>
                <w:szCs w:val="15"/>
              </w:rPr>
              <w:t>顶宽（m）</w:t>
            </w:r>
          </w:p>
        </w:tc>
        <w:tc>
          <w:tcPr>
            <w:tcW w:w="870" w:type="pct"/>
            <w:vAlign w:val="center"/>
          </w:tcPr>
          <w:p w14:paraId="72AB176F">
            <w:pPr>
              <w:jc w:val="center"/>
              <w:rPr>
                <w:rFonts w:ascii="Times New Roman" w:hAnsi="Times New Roman" w:cs="Times New Roman"/>
                <w:sz w:val="15"/>
                <w:szCs w:val="15"/>
              </w:rPr>
            </w:pPr>
            <w:r>
              <w:rPr>
                <w:rFonts w:ascii="Times New Roman" w:hAnsi="Times New Roman" w:cs="Times New Roman"/>
                <w:sz w:val="15"/>
                <w:szCs w:val="15"/>
              </w:rPr>
              <w:t>1.50</w:t>
            </w:r>
          </w:p>
        </w:tc>
        <w:tc>
          <w:tcPr>
            <w:tcW w:w="776" w:type="pct"/>
            <w:vAlign w:val="center"/>
          </w:tcPr>
          <w:p w14:paraId="5113CE11">
            <w:pPr>
              <w:jc w:val="center"/>
              <w:rPr>
                <w:rFonts w:ascii="Times New Roman" w:hAnsi="Times New Roman" w:cs="Times New Roman"/>
                <w:sz w:val="15"/>
                <w:szCs w:val="15"/>
              </w:rPr>
            </w:pPr>
            <w:r>
              <w:rPr>
                <w:rFonts w:ascii="Times New Roman" w:hAnsi="Times New Roman" w:cs="Times New Roman"/>
                <w:sz w:val="15"/>
                <w:szCs w:val="15"/>
              </w:rPr>
              <w:t>1.50～2.00</w:t>
            </w:r>
          </w:p>
        </w:tc>
        <w:tc>
          <w:tcPr>
            <w:tcW w:w="1047" w:type="pct"/>
            <w:vAlign w:val="center"/>
          </w:tcPr>
          <w:p w14:paraId="0051ED17">
            <w:pPr>
              <w:jc w:val="center"/>
              <w:rPr>
                <w:rFonts w:ascii="Times New Roman" w:hAnsi="Times New Roman" w:cs="Times New Roman"/>
                <w:sz w:val="15"/>
                <w:szCs w:val="15"/>
              </w:rPr>
            </w:pPr>
            <w:r>
              <w:rPr>
                <w:rFonts w:ascii="Times New Roman" w:hAnsi="Times New Roman" w:cs="Times New Roman"/>
                <w:sz w:val="15"/>
                <w:szCs w:val="15"/>
              </w:rPr>
              <w:t>2.00～2.50</w:t>
            </w:r>
          </w:p>
        </w:tc>
        <w:tc>
          <w:tcPr>
            <w:tcW w:w="898" w:type="pct"/>
            <w:vAlign w:val="center"/>
          </w:tcPr>
          <w:p w14:paraId="0F9D11B7">
            <w:pPr>
              <w:jc w:val="center"/>
              <w:rPr>
                <w:rFonts w:ascii="Times New Roman" w:hAnsi="Times New Roman" w:cs="Times New Roman"/>
                <w:sz w:val="15"/>
                <w:szCs w:val="15"/>
              </w:rPr>
            </w:pPr>
            <w:r>
              <w:rPr>
                <w:rFonts w:ascii="Times New Roman" w:hAnsi="Times New Roman" w:cs="Times New Roman"/>
                <w:sz w:val="15"/>
                <w:szCs w:val="15"/>
              </w:rPr>
              <w:t>2.50～3.00</w:t>
            </w:r>
          </w:p>
        </w:tc>
      </w:tr>
      <w:tr w14:paraId="142840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539" w:type="pct"/>
            <w:vMerge w:val="continue"/>
            <w:vAlign w:val="center"/>
          </w:tcPr>
          <w:p w14:paraId="057D2E97">
            <w:pPr>
              <w:jc w:val="center"/>
              <w:rPr>
                <w:rFonts w:ascii="Times New Roman" w:hAnsi="Times New Roman" w:cs="Times New Roman"/>
                <w:sz w:val="15"/>
                <w:szCs w:val="15"/>
              </w:rPr>
            </w:pPr>
          </w:p>
        </w:tc>
        <w:tc>
          <w:tcPr>
            <w:tcW w:w="870" w:type="pct"/>
            <w:vAlign w:val="center"/>
          </w:tcPr>
          <w:p w14:paraId="6D47DA98">
            <w:pPr>
              <w:jc w:val="center"/>
              <w:rPr>
                <w:rFonts w:ascii="Times New Roman" w:hAnsi="Times New Roman" w:cs="Times New Roman"/>
                <w:sz w:val="15"/>
                <w:szCs w:val="15"/>
              </w:rPr>
            </w:pPr>
            <w:r>
              <w:rPr>
                <w:rFonts w:ascii="Times New Roman" w:hAnsi="Times New Roman" w:cs="Times New Roman"/>
                <w:sz w:val="15"/>
                <w:szCs w:val="15"/>
              </w:rPr>
              <w:t>外坡比</w:t>
            </w:r>
          </w:p>
        </w:tc>
        <w:tc>
          <w:tcPr>
            <w:tcW w:w="870" w:type="pct"/>
            <w:vAlign w:val="center"/>
          </w:tcPr>
          <w:p w14:paraId="6607268B">
            <w:pPr>
              <w:jc w:val="center"/>
              <w:rPr>
                <w:rFonts w:ascii="Times New Roman" w:hAnsi="Times New Roman" w:cs="Times New Roman"/>
                <w:sz w:val="15"/>
                <w:szCs w:val="15"/>
              </w:rPr>
            </w:pPr>
            <w:r>
              <w:rPr>
                <w:rFonts w:ascii="Times New Roman" w:hAnsi="Times New Roman" w:cs="Times New Roman"/>
                <w:sz w:val="15"/>
                <w:szCs w:val="15"/>
              </w:rPr>
              <w:t>1:1.5</w:t>
            </w:r>
          </w:p>
        </w:tc>
        <w:tc>
          <w:tcPr>
            <w:tcW w:w="776" w:type="pct"/>
            <w:vAlign w:val="center"/>
          </w:tcPr>
          <w:p w14:paraId="1A0BD6D3">
            <w:pPr>
              <w:jc w:val="center"/>
              <w:rPr>
                <w:rFonts w:ascii="Times New Roman" w:hAnsi="Times New Roman" w:cs="Times New Roman"/>
                <w:sz w:val="15"/>
                <w:szCs w:val="15"/>
              </w:rPr>
            </w:pPr>
            <w:r>
              <w:rPr>
                <w:rFonts w:ascii="Times New Roman" w:hAnsi="Times New Roman" w:cs="Times New Roman"/>
                <w:sz w:val="15"/>
                <w:szCs w:val="15"/>
              </w:rPr>
              <w:t>1:1.5</w:t>
            </w:r>
          </w:p>
        </w:tc>
        <w:tc>
          <w:tcPr>
            <w:tcW w:w="1047" w:type="pct"/>
            <w:vAlign w:val="center"/>
          </w:tcPr>
          <w:p w14:paraId="64845A79">
            <w:pPr>
              <w:jc w:val="center"/>
              <w:rPr>
                <w:rFonts w:ascii="Times New Roman" w:hAnsi="Times New Roman" w:cs="Times New Roman"/>
                <w:sz w:val="15"/>
                <w:szCs w:val="15"/>
              </w:rPr>
            </w:pPr>
            <w:r>
              <w:rPr>
                <w:rFonts w:ascii="Times New Roman" w:hAnsi="Times New Roman" w:cs="Times New Roman"/>
                <w:sz w:val="15"/>
                <w:szCs w:val="15"/>
              </w:rPr>
              <w:t>1:1.5</w:t>
            </w:r>
          </w:p>
        </w:tc>
        <w:tc>
          <w:tcPr>
            <w:tcW w:w="898" w:type="pct"/>
            <w:vAlign w:val="center"/>
          </w:tcPr>
          <w:p w14:paraId="24821FE2">
            <w:pPr>
              <w:jc w:val="center"/>
              <w:rPr>
                <w:rFonts w:ascii="Times New Roman" w:hAnsi="Times New Roman" w:cs="Times New Roman"/>
                <w:sz w:val="15"/>
                <w:szCs w:val="15"/>
              </w:rPr>
            </w:pPr>
            <w:r>
              <w:rPr>
                <w:rFonts w:ascii="Times New Roman" w:hAnsi="Times New Roman" w:cs="Times New Roman"/>
                <w:sz w:val="15"/>
                <w:szCs w:val="15"/>
              </w:rPr>
              <w:t>1:1.5</w:t>
            </w:r>
          </w:p>
        </w:tc>
      </w:tr>
      <w:tr w14:paraId="7444B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539" w:type="pct"/>
            <w:vMerge w:val="continue"/>
            <w:vAlign w:val="center"/>
          </w:tcPr>
          <w:p w14:paraId="32158888">
            <w:pPr>
              <w:jc w:val="center"/>
              <w:rPr>
                <w:rFonts w:ascii="Times New Roman" w:hAnsi="Times New Roman" w:cs="Times New Roman"/>
                <w:sz w:val="15"/>
                <w:szCs w:val="15"/>
              </w:rPr>
            </w:pPr>
          </w:p>
        </w:tc>
        <w:tc>
          <w:tcPr>
            <w:tcW w:w="870" w:type="pct"/>
            <w:vAlign w:val="center"/>
          </w:tcPr>
          <w:p w14:paraId="3C184FB5">
            <w:pPr>
              <w:jc w:val="center"/>
              <w:rPr>
                <w:rFonts w:ascii="Times New Roman" w:hAnsi="Times New Roman" w:cs="Times New Roman"/>
                <w:sz w:val="15"/>
                <w:szCs w:val="15"/>
              </w:rPr>
            </w:pPr>
            <w:r>
              <w:rPr>
                <w:rFonts w:ascii="Times New Roman" w:hAnsi="Times New Roman" w:cs="Times New Roman"/>
                <w:sz w:val="15"/>
                <w:szCs w:val="15"/>
              </w:rPr>
              <w:t>内坡比</w:t>
            </w:r>
          </w:p>
        </w:tc>
        <w:tc>
          <w:tcPr>
            <w:tcW w:w="870" w:type="pct"/>
            <w:vAlign w:val="center"/>
          </w:tcPr>
          <w:p w14:paraId="6A7D7BAD">
            <w:pPr>
              <w:jc w:val="center"/>
              <w:rPr>
                <w:rFonts w:ascii="Times New Roman" w:hAnsi="Times New Roman" w:cs="Times New Roman"/>
                <w:sz w:val="15"/>
                <w:szCs w:val="15"/>
              </w:rPr>
            </w:pPr>
            <w:r>
              <w:rPr>
                <w:rFonts w:ascii="Times New Roman" w:hAnsi="Times New Roman" w:cs="Times New Roman"/>
                <w:sz w:val="15"/>
                <w:szCs w:val="15"/>
              </w:rPr>
              <w:t>1:1.00</w:t>
            </w:r>
          </w:p>
        </w:tc>
        <w:tc>
          <w:tcPr>
            <w:tcW w:w="776" w:type="pct"/>
            <w:vAlign w:val="center"/>
          </w:tcPr>
          <w:p w14:paraId="2C9377CB">
            <w:pPr>
              <w:jc w:val="center"/>
              <w:rPr>
                <w:rFonts w:ascii="Times New Roman" w:hAnsi="Times New Roman" w:cs="Times New Roman"/>
                <w:sz w:val="15"/>
                <w:szCs w:val="15"/>
              </w:rPr>
            </w:pPr>
            <w:r>
              <w:rPr>
                <w:rFonts w:ascii="Times New Roman" w:hAnsi="Times New Roman" w:cs="Times New Roman"/>
                <w:sz w:val="15"/>
                <w:szCs w:val="15"/>
              </w:rPr>
              <w:t>1:1.25</w:t>
            </w:r>
          </w:p>
        </w:tc>
        <w:tc>
          <w:tcPr>
            <w:tcW w:w="1047" w:type="pct"/>
            <w:vAlign w:val="center"/>
          </w:tcPr>
          <w:p w14:paraId="01E6FF92">
            <w:pPr>
              <w:jc w:val="center"/>
              <w:rPr>
                <w:rFonts w:ascii="Times New Roman" w:hAnsi="Times New Roman" w:cs="Times New Roman"/>
                <w:sz w:val="15"/>
                <w:szCs w:val="15"/>
              </w:rPr>
            </w:pPr>
            <w:r>
              <w:rPr>
                <w:rFonts w:ascii="Times New Roman" w:hAnsi="Times New Roman" w:cs="Times New Roman"/>
                <w:sz w:val="15"/>
                <w:szCs w:val="15"/>
              </w:rPr>
              <w:t>1:1.25</w:t>
            </w:r>
          </w:p>
        </w:tc>
        <w:tc>
          <w:tcPr>
            <w:tcW w:w="898" w:type="pct"/>
            <w:vAlign w:val="center"/>
          </w:tcPr>
          <w:p w14:paraId="63299DBE">
            <w:pPr>
              <w:jc w:val="center"/>
              <w:rPr>
                <w:rFonts w:ascii="Times New Roman" w:hAnsi="Times New Roman" w:cs="Times New Roman"/>
                <w:sz w:val="15"/>
                <w:szCs w:val="15"/>
              </w:rPr>
            </w:pPr>
            <w:r>
              <w:rPr>
                <w:rFonts w:ascii="Times New Roman" w:hAnsi="Times New Roman" w:cs="Times New Roman"/>
                <w:sz w:val="15"/>
                <w:szCs w:val="15"/>
              </w:rPr>
              <w:t>1:1.25</w:t>
            </w:r>
          </w:p>
        </w:tc>
      </w:tr>
      <w:tr w14:paraId="56C7AF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539" w:type="pct"/>
            <w:vMerge w:val="continue"/>
            <w:vAlign w:val="center"/>
          </w:tcPr>
          <w:p w14:paraId="5BC1E18D">
            <w:pPr>
              <w:jc w:val="center"/>
              <w:rPr>
                <w:rFonts w:ascii="Times New Roman" w:hAnsi="Times New Roman" w:cs="Times New Roman"/>
                <w:sz w:val="15"/>
                <w:szCs w:val="15"/>
              </w:rPr>
            </w:pPr>
          </w:p>
        </w:tc>
        <w:tc>
          <w:tcPr>
            <w:tcW w:w="870" w:type="pct"/>
            <w:vAlign w:val="center"/>
          </w:tcPr>
          <w:p w14:paraId="64D3901F">
            <w:pPr>
              <w:jc w:val="center"/>
              <w:rPr>
                <w:rFonts w:ascii="Times New Roman" w:hAnsi="Times New Roman" w:cs="Times New Roman"/>
                <w:sz w:val="15"/>
                <w:szCs w:val="15"/>
              </w:rPr>
            </w:pPr>
            <w:r>
              <w:rPr>
                <w:rFonts w:ascii="Times New Roman" w:hAnsi="Times New Roman" w:cs="Times New Roman"/>
                <w:sz w:val="15"/>
                <w:szCs w:val="15"/>
              </w:rPr>
              <w:t>底宽（m）</w:t>
            </w:r>
          </w:p>
        </w:tc>
        <w:tc>
          <w:tcPr>
            <w:tcW w:w="870" w:type="pct"/>
            <w:vAlign w:val="center"/>
          </w:tcPr>
          <w:p w14:paraId="3037D80E">
            <w:pPr>
              <w:jc w:val="center"/>
              <w:rPr>
                <w:rFonts w:ascii="Times New Roman" w:hAnsi="Times New Roman" w:cs="Times New Roman"/>
                <w:sz w:val="15"/>
                <w:szCs w:val="15"/>
              </w:rPr>
            </w:pPr>
            <w:r>
              <w:rPr>
                <w:rFonts w:ascii="Times New Roman" w:hAnsi="Times New Roman" w:cs="Times New Roman"/>
                <w:sz w:val="15"/>
                <w:szCs w:val="15"/>
              </w:rPr>
              <w:t>6.00～8.01</w:t>
            </w:r>
          </w:p>
        </w:tc>
        <w:tc>
          <w:tcPr>
            <w:tcW w:w="776" w:type="pct"/>
            <w:vAlign w:val="center"/>
          </w:tcPr>
          <w:p w14:paraId="18641D05">
            <w:pPr>
              <w:jc w:val="center"/>
              <w:rPr>
                <w:rFonts w:ascii="Times New Roman" w:hAnsi="Times New Roman" w:cs="Times New Roman"/>
                <w:sz w:val="15"/>
                <w:szCs w:val="15"/>
              </w:rPr>
            </w:pPr>
            <w:r>
              <w:rPr>
                <w:rFonts w:ascii="Times New Roman" w:hAnsi="Times New Roman" w:cs="Times New Roman"/>
                <w:sz w:val="15"/>
                <w:szCs w:val="15"/>
              </w:rPr>
              <w:t>8.01～9.75</w:t>
            </w:r>
          </w:p>
        </w:tc>
        <w:tc>
          <w:tcPr>
            <w:tcW w:w="1047" w:type="pct"/>
            <w:vAlign w:val="center"/>
          </w:tcPr>
          <w:p w14:paraId="6B6CFC5F">
            <w:pPr>
              <w:jc w:val="center"/>
              <w:rPr>
                <w:rFonts w:ascii="Times New Roman" w:hAnsi="Times New Roman" w:cs="Times New Roman"/>
                <w:sz w:val="15"/>
                <w:szCs w:val="15"/>
              </w:rPr>
            </w:pPr>
            <w:r>
              <w:rPr>
                <w:rFonts w:ascii="Times New Roman" w:hAnsi="Times New Roman" w:cs="Times New Roman"/>
                <w:sz w:val="15"/>
                <w:szCs w:val="15"/>
              </w:rPr>
              <w:t>9.75～11.62</w:t>
            </w:r>
          </w:p>
        </w:tc>
        <w:tc>
          <w:tcPr>
            <w:tcW w:w="898" w:type="pct"/>
            <w:vAlign w:val="center"/>
          </w:tcPr>
          <w:p w14:paraId="0F212059">
            <w:pPr>
              <w:jc w:val="center"/>
              <w:rPr>
                <w:rFonts w:ascii="Times New Roman" w:hAnsi="Times New Roman" w:cs="Times New Roman"/>
                <w:sz w:val="15"/>
                <w:szCs w:val="15"/>
              </w:rPr>
            </w:pPr>
            <w:r>
              <w:rPr>
                <w:rFonts w:ascii="Times New Roman" w:hAnsi="Times New Roman" w:cs="Times New Roman"/>
                <w:sz w:val="15"/>
                <w:szCs w:val="15"/>
              </w:rPr>
              <w:t>11.62～13.00</w:t>
            </w:r>
          </w:p>
        </w:tc>
      </w:tr>
      <w:tr w14:paraId="09495D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39" w:type="pct"/>
            <w:vMerge w:val="restart"/>
            <w:vAlign w:val="center"/>
          </w:tcPr>
          <w:p w14:paraId="3A069DE1">
            <w:pPr>
              <w:jc w:val="center"/>
              <w:rPr>
                <w:rFonts w:ascii="Times New Roman" w:hAnsi="Times New Roman" w:cs="Times New Roman"/>
                <w:sz w:val="15"/>
                <w:szCs w:val="15"/>
              </w:rPr>
            </w:pPr>
            <w:r>
              <w:rPr>
                <w:rFonts w:ascii="Times New Roman" w:hAnsi="Times New Roman" w:cs="Times New Roman"/>
                <w:sz w:val="15"/>
                <w:szCs w:val="15"/>
              </w:rPr>
              <w:t>斜卧式</w:t>
            </w:r>
          </w:p>
        </w:tc>
        <w:tc>
          <w:tcPr>
            <w:tcW w:w="870" w:type="pct"/>
            <w:vAlign w:val="center"/>
          </w:tcPr>
          <w:p w14:paraId="409EA06D">
            <w:pPr>
              <w:jc w:val="center"/>
              <w:rPr>
                <w:rFonts w:ascii="Times New Roman" w:hAnsi="Times New Roman" w:cs="Times New Roman"/>
                <w:sz w:val="15"/>
                <w:szCs w:val="15"/>
              </w:rPr>
            </w:pPr>
            <w:r>
              <w:rPr>
                <w:rFonts w:ascii="Times New Roman" w:hAnsi="Times New Roman" w:cs="Times New Roman"/>
                <w:sz w:val="15"/>
                <w:szCs w:val="15"/>
              </w:rPr>
              <w:t>砂层厚（m）</w:t>
            </w:r>
          </w:p>
        </w:tc>
        <w:tc>
          <w:tcPr>
            <w:tcW w:w="870" w:type="pct"/>
            <w:vAlign w:val="center"/>
          </w:tcPr>
          <w:p w14:paraId="3596043E">
            <w:pPr>
              <w:jc w:val="center"/>
              <w:rPr>
                <w:rFonts w:ascii="Times New Roman" w:hAnsi="Times New Roman" w:cs="Times New Roman"/>
                <w:sz w:val="15"/>
                <w:szCs w:val="15"/>
              </w:rPr>
            </w:pPr>
            <w:r>
              <w:rPr>
                <w:rFonts w:ascii="Times New Roman" w:hAnsi="Times New Roman" w:cs="Times New Roman"/>
                <w:sz w:val="15"/>
                <w:szCs w:val="15"/>
              </w:rPr>
              <w:t>0.20</w:t>
            </w:r>
          </w:p>
        </w:tc>
        <w:tc>
          <w:tcPr>
            <w:tcW w:w="776" w:type="pct"/>
            <w:vAlign w:val="center"/>
          </w:tcPr>
          <w:p w14:paraId="53C4841B">
            <w:pPr>
              <w:jc w:val="center"/>
              <w:rPr>
                <w:rFonts w:ascii="Times New Roman" w:hAnsi="Times New Roman" w:cs="Times New Roman"/>
                <w:sz w:val="15"/>
                <w:szCs w:val="15"/>
              </w:rPr>
            </w:pPr>
            <w:r>
              <w:rPr>
                <w:rFonts w:ascii="Times New Roman" w:hAnsi="Times New Roman" w:cs="Times New Roman"/>
                <w:sz w:val="15"/>
                <w:szCs w:val="15"/>
              </w:rPr>
              <w:t>0.25</w:t>
            </w:r>
          </w:p>
        </w:tc>
        <w:tc>
          <w:tcPr>
            <w:tcW w:w="1047" w:type="pct"/>
            <w:vAlign w:val="center"/>
          </w:tcPr>
          <w:p w14:paraId="72EA3D70">
            <w:pPr>
              <w:jc w:val="center"/>
              <w:rPr>
                <w:rFonts w:ascii="Times New Roman" w:hAnsi="Times New Roman" w:cs="Times New Roman"/>
                <w:sz w:val="15"/>
                <w:szCs w:val="15"/>
              </w:rPr>
            </w:pPr>
            <w:r>
              <w:rPr>
                <w:rFonts w:ascii="Times New Roman" w:hAnsi="Times New Roman" w:cs="Times New Roman"/>
                <w:sz w:val="15"/>
                <w:szCs w:val="15"/>
              </w:rPr>
              <w:t>0.30</w:t>
            </w:r>
          </w:p>
        </w:tc>
        <w:tc>
          <w:tcPr>
            <w:tcW w:w="898" w:type="pct"/>
            <w:vAlign w:val="center"/>
          </w:tcPr>
          <w:p w14:paraId="3D6E67A7">
            <w:pPr>
              <w:jc w:val="center"/>
              <w:rPr>
                <w:rFonts w:ascii="Times New Roman" w:hAnsi="Times New Roman" w:cs="Times New Roman"/>
                <w:sz w:val="15"/>
                <w:szCs w:val="15"/>
              </w:rPr>
            </w:pPr>
            <w:r>
              <w:rPr>
                <w:rFonts w:ascii="Times New Roman" w:hAnsi="Times New Roman" w:cs="Times New Roman"/>
                <w:sz w:val="15"/>
                <w:szCs w:val="15"/>
              </w:rPr>
              <w:t>0.30</w:t>
            </w:r>
          </w:p>
        </w:tc>
      </w:tr>
      <w:tr w14:paraId="58FBCC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 w:hRule="atLeast"/>
        </w:trPr>
        <w:tc>
          <w:tcPr>
            <w:tcW w:w="539" w:type="pct"/>
            <w:vMerge w:val="continue"/>
            <w:vAlign w:val="center"/>
          </w:tcPr>
          <w:p w14:paraId="11BB3EDD">
            <w:pPr>
              <w:jc w:val="center"/>
              <w:rPr>
                <w:rFonts w:ascii="Times New Roman" w:hAnsi="Times New Roman" w:cs="Times New Roman"/>
                <w:sz w:val="15"/>
                <w:szCs w:val="15"/>
              </w:rPr>
            </w:pPr>
          </w:p>
        </w:tc>
        <w:tc>
          <w:tcPr>
            <w:tcW w:w="870" w:type="pct"/>
            <w:vAlign w:val="center"/>
          </w:tcPr>
          <w:p w14:paraId="38F68BEC">
            <w:pPr>
              <w:jc w:val="center"/>
              <w:rPr>
                <w:rFonts w:ascii="Times New Roman" w:hAnsi="Times New Roman" w:cs="Times New Roman"/>
                <w:sz w:val="15"/>
                <w:szCs w:val="15"/>
              </w:rPr>
            </w:pPr>
            <w:r>
              <w:rPr>
                <w:rFonts w:ascii="Times New Roman" w:hAnsi="Times New Roman" w:cs="Times New Roman"/>
                <w:sz w:val="15"/>
                <w:szCs w:val="15"/>
              </w:rPr>
              <w:t>碎石层厚（m）</w:t>
            </w:r>
          </w:p>
        </w:tc>
        <w:tc>
          <w:tcPr>
            <w:tcW w:w="870" w:type="pct"/>
            <w:vAlign w:val="center"/>
          </w:tcPr>
          <w:p w14:paraId="781205A6">
            <w:pPr>
              <w:jc w:val="center"/>
              <w:rPr>
                <w:rFonts w:ascii="Times New Roman" w:hAnsi="Times New Roman" w:cs="Times New Roman"/>
                <w:sz w:val="15"/>
                <w:szCs w:val="15"/>
              </w:rPr>
            </w:pPr>
            <w:r>
              <w:rPr>
                <w:rFonts w:ascii="Times New Roman" w:hAnsi="Times New Roman" w:cs="Times New Roman"/>
                <w:sz w:val="15"/>
                <w:szCs w:val="15"/>
              </w:rPr>
              <w:t>0.20</w:t>
            </w:r>
          </w:p>
        </w:tc>
        <w:tc>
          <w:tcPr>
            <w:tcW w:w="776" w:type="pct"/>
            <w:vAlign w:val="center"/>
          </w:tcPr>
          <w:p w14:paraId="407FA4A3">
            <w:pPr>
              <w:jc w:val="center"/>
              <w:rPr>
                <w:rFonts w:ascii="Times New Roman" w:hAnsi="Times New Roman" w:cs="Times New Roman"/>
                <w:sz w:val="15"/>
                <w:szCs w:val="15"/>
              </w:rPr>
            </w:pPr>
            <w:r>
              <w:rPr>
                <w:rFonts w:ascii="Times New Roman" w:hAnsi="Times New Roman" w:cs="Times New Roman"/>
                <w:sz w:val="15"/>
                <w:szCs w:val="15"/>
              </w:rPr>
              <w:t>0.25</w:t>
            </w:r>
          </w:p>
        </w:tc>
        <w:tc>
          <w:tcPr>
            <w:tcW w:w="1047" w:type="pct"/>
            <w:vAlign w:val="center"/>
          </w:tcPr>
          <w:p w14:paraId="76F272FD">
            <w:pPr>
              <w:jc w:val="center"/>
              <w:rPr>
                <w:rFonts w:ascii="Times New Roman" w:hAnsi="Times New Roman" w:cs="Times New Roman"/>
                <w:sz w:val="15"/>
                <w:szCs w:val="15"/>
              </w:rPr>
            </w:pPr>
            <w:r>
              <w:rPr>
                <w:rFonts w:ascii="Times New Roman" w:hAnsi="Times New Roman" w:cs="Times New Roman"/>
                <w:sz w:val="15"/>
                <w:szCs w:val="15"/>
              </w:rPr>
              <w:t>0.30</w:t>
            </w:r>
          </w:p>
        </w:tc>
        <w:tc>
          <w:tcPr>
            <w:tcW w:w="898" w:type="pct"/>
            <w:vAlign w:val="center"/>
          </w:tcPr>
          <w:p w14:paraId="3CE55B55">
            <w:pPr>
              <w:jc w:val="center"/>
              <w:rPr>
                <w:rFonts w:ascii="Times New Roman" w:hAnsi="Times New Roman" w:cs="Times New Roman"/>
                <w:sz w:val="15"/>
                <w:szCs w:val="15"/>
              </w:rPr>
            </w:pPr>
            <w:r>
              <w:rPr>
                <w:rFonts w:ascii="Times New Roman" w:hAnsi="Times New Roman" w:cs="Times New Roman"/>
                <w:sz w:val="15"/>
                <w:szCs w:val="15"/>
              </w:rPr>
              <w:t>0.30</w:t>
            </w:r>
          </w:p>
        </w:tc>
      </w:tr>
      <w:tr w14:paraId="285E9B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539" w:type="pct"/>
            <w:vMerge w:val="continue"/>
            <w:vAlign w:val="center"/>
          </w:tcPr>
          <w:p w14:paraId="4459CD27">
            <w:pPr>
              <w:jc w:val="center"/>
              <w:rPr>
                <w:rFonts w:ascii="Times New Roman" w:hAnsi="Times New Roman" w:cs="Times New Roman"/>
                <w:sz w:val="15"/>
                <w:szCs w:val="15"/>
              </w:rPr>
            </w:pPr>
          </w:p>
        </w:tc>
        <w:tc>
          <w:tcPr>
            <w:tcW w:w="870" w:type="pct"/>
            <w:vAlign w:val="center"/>
          </w:tcPr>
          <w:p w14:paraId="17367AA8">
            <w:pPr>
              <w:jc w:val="center"/>
              <w:rPr>
                <w:rFonts w:ascii="Times New Roman" w:hAnsi="Times New Roman" w:cs="Times New Roman"/>
                <w:sz w:val="15"/>
                <w:szCs w:val="15"/>
              </w:rPr>
            </w:pPr>
            <w:r>
              <w:rPr>
                <w:rFonts w:ascii="Times New Roman" w:hAnsi="Times New Roman" w:cs="Times New Roman"/>
                <w:sz w:val="15"/>
                <w:szCs w:val="15"/>
              </w:rPr>
              <w:t>块石层厚（m）</w:t>
            </w:r>
          </w:p>
        </w:tc>
        <w:tc>
          <w:tcPr>
            <w:tcW w:w="870" w:type="pct"/>
            <w:vAlign w:val="center"/>
          </w:tcPr>
          <w:p w14:paraId="7EDF1AD3">
            <w:pPr>
              <w:jc w:val="center"/>
              <w:rPr>
                <w:rFonts w:ascii="Times New Roman" w:hAnsi="Times New Roman" w:cs="Times New Roman"/>
                <w:sz w:val="15"/>
                <w:szCs w:val="15"/>
              </w:rPr>
            </w:pPr>
            <w:r>
              <w:rPr>
                <w:rFonts w:ascii="Times New Roman" w:hAnsi="Times New Roman" w:cs="Times New Roman"/>
                <w:sz w:val="15"/>
                <w:szCs w:val="15"/>
              </w:rPr>
              <w:t>0.50</w:t>
            </w:r>
          </w:p>
        </w:tc>
        <w:tc>
          <w:tcPr>
            <w:tcW w:w="776" w:type="pct"/>
            <w:vAlign w:val="center"/>
          </w:tcPr>
          <w:p w14:paraId="145F1FF5">
            <w:pPr>
              <w:jc w:val="center"/>
              <w:rPr>
                <w:rFonts w:ascii="Times New Roman" w:hAnsi="Times New Roman" w:cs="Times New Roman"/>
                <w:sz w:val="15"/>
                <w:szCs w:val="15"/>
              </w:rPr>
            </w:pPr>
            <w:r>
              <w:rPr>
                <w:rFonts w:ascii="Times New Roman" w:hAnsi="Times New Roman" w:cs="Times New Roman"/>
                <w:sz w:val="15"/>
                <w:szCs w:val="15"/>
              </w:rPr>
              <w:t>0.60</w:t>
            </w:r>
          </w:p>
        </w:tc>
        <w:tc>
          <w:tcPr>
            <w:tcW w:w="1047" w:type="pct"/>
            <w:vAlign w:val="center"/>
          </w:tcPr>
          <w:p w14:paraId="397D7737">
            <w:pPr>
              <w:jc w:val="center"/>
              <w:rPr>
                <w:rFonts w:ascii="Times New Roman" w:hAnsi="Times New Roman" w:cs="Times New Roman"/>
                <w:sz w:val="15"/>
                <w:szCs w:val="15"/>
              </w:rPr>
            </w:pPr>
            <w:r>
              <w:rPr>
                <w:rFonts w:ascii="Times New Roman" w:hAnsi="Times New Roman" w:cs="Times New Roman"/>
                <w:sz w:val="15"/>
                <w:szCs w:val="15"/>
              </w:rPr>
              <w:t>0.70</w:t>
            </w:r>
          </w:p>
        </w:tc>
        <w:tc>
          <w:tcPr>
            <w:tcW w:w="898" w:type="pct"/>
            <w:vAlign w:val="center"/>
          </w:tcPr>
          <w:p w14:paraId="736B1E40">
            <w:pPr>
              <w:jc w:val="center"/>
              <w:rPr>
                <w:rFonts w:ascii="Times New Roman" w:hAnsi="Times New Roman" w:cs="Times New Roman"/>
                <w:sz w:val="15"/>
                <w:szCs w:val="15"/>
              </w:rPr>
            </w:pPr>
            <w:r>
              <w:rPr>
                <w:rFonts w:ascii="Times New Roman" w:hAnsi="Times New Roman" w:cs="Times New Roman"/>
                <w:sz w:val="15"/>
                <w:szCs w:val="15"/>
              </w:rPr>
              <w:t>0.80</w:t>
            </w:r>
          </w:p>
        </w:tc>
      </w:tr>
      <w:tr w14:paraId="3D22ED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539" w:type="pct"/>
            <w:vMerge w:val="continue"/>
            <w:vAlign w:val="center"/>
          </w:tcPr>
          <w:p w14:paraId="3056E4AA">
            <w:pPr>
              <w:jc w:val="center"/>
              <w:rPr>
                <w:rFonts w:ascii="Times New Roman" w:hAnsi="Times New Roman" w:cs="Times New Roman"/>
                <w:sz w:val="15"/>
                <w:szCs w:val="15"/>
              </w:rPr>
            </w:pPr>
          </w:p>
        </w:tc>
        <w:tc>
          <w:tcPr>
            <w:tcW w:w="870" w:type="pct"/>
            <w:vAlign w:val="center"/>
          </w:tcPr>
          <w:p w14:paraId="182E4D3E">
            <w:pPr>
              <w:jc w:val="center"/>
              <w:rPr>
                <w:rFonts w:ascii="Times New Roman" w:hAnsi="Times New Roman" w:cs="Times New Roman"/>
                <w:sz w:val="15"/>
                <w:szCs w:val="15"/>
              </w:rPr>
            </w:pPr>
            <w:r>
              <w:rPr>
                <w:rFonts w:ascii="Times New Roman" w:hAnsi="Times New Roman" w:cs="Times New Roman"/>
                <w:sz w:val="15"/>
                <w:szCs w:val="15"/>
              </w:rPr>
              <w:t>顶宽（m）</w:t>
            </w:r>
          </w:p>
        </w:tc>
        <w:tc>
          <w:tcPr>
            <w:tcW w:w="870" w:type="pct"/>
            <w:vAlign w:val="center"/>
          </w:tcPr>
          <w:p w14:paraId="2FE557AF">
            <w:pPr>
              <w:jc w:val="center"/>
              <w:rPr>
                <w:rFonts w:ascii="Times New Roman" w:hAnsi="Times New Roman" w:cs="Times New Roman"/>
                <w:sz w:val="15"/>
                <w:szCs w:val="15"/>
              </w:rPr>
            </w:pPr>
            <w:r>
              <w:rPr>
                <w:rFonts w:ascii="Times New Roman" w:hAnsi="Times New Roman" w:cs="Times New Roman"/>
                <w:sz w:val="15"/>
                <w:szCs w:val="15"/>
              </w:rPr>
              <w:t>1.00</w:t>
            </w:r>
          </w:p>
        </w:tc>
        <w:tc>
          <w:tcPr>
            <w:tcW w:w="776" w:type="pct"/>
            <w:vAlign w:val="center"/>
          </w:tcPr>
          <w:p w14:paraId="3614C5DA">
            <w:pPr>
              <w:jc w:val="center"/>
              <w:rPr>
                <w:rFonts w:ascii="Times New Roman" w:hAnsi="Times New Roman" w:cs="Times New Roman"/>
                <w:sz w:val="15"/>
                <w:szCs w:val="15"/>
              </w:rPr>
            </w:pPr>
            <w:r>
              <w:rPr>
                <w:rFonts w:ascii="Times New Roman" w:hAnsi="Times New Roman" w:cs="Times New Roman"/>
                <w:sz w:val="15"/>
                <w:szCs w:val="15"/>
              </w:rPr>
              <w:t>1.50</w:t>
            </w:r>
          </w:p>
        </w:tc>
        <w:tc>
          <w:tcPr>
            <w:tcW w:w="1047" w:type="pct"/>
            <w:vAlign w:val="center"/>
          </w:tcPr>
          <w:p w14:paraId="4B3AC8D3">
            <w:pPr>
              <w:jc w:val="center"/>
              <w:rPr>
                <w:rFonts w:ascii="Times New Roman" w:hAnsi="Times New Roman" w:cs="Times New Roman"/>
                <w:sz w:val="15"/>
                <w:szCs w:val="15"/>
              </w:rPr>
            </w:pPr>
            <w:r>
              <w:rPr>
                <w:rFonts w:ascii="Times New Roman" w:hAnsi="Times New Roman" w:cs="Times New Roman"/>
                <w:sz w:val="15"/>
                <w:szCs w:val="15"/>
              </w:rPr>
              <w:t>2.00</w:t>
            </w:r>
          </w:p>
        </w:tc>
        <w:tc>
          <w:tcPr>
            <w:tcW w:w="898" w:type="pct"/>
            <w:vAlign w:val="center"/>
          </w:tcPr>
          <w:p w14:paraId="6B3E903C">
            <w:pPr>
              <w:jc w:val="center"/>
              <w:rPr>
                <w:rFonts w:ascii="Times New Roman" w:hAnsi="Times New Roman" w:cs="Times New Roman"/>
                <w:sz w:val="15"/>
                <w:szCs w:val="15"/>
              </w:rPr>
            </w:pPr>
            <w:r>
              <w:rPr>
                <w:rFonts w:ascii="Times New Roman" w:hAnsi="Times New Roman" w:cs="Times New Roman"/>
                <w:sz w:val="15"/>
                <w:szCs w:val="15"/>
              </w:rPr>
              <w:t>2.00</w:t>
            </w:r>
          </w:p>
        </w:tc>
      </w:tr>
    </w:tbl>
    <w:p w14:paraId="4160193F">
      <w:pPr>
        <w:spacing w:before="156" w:beforeLines="50" w:line="360" w:lineRule="auto"/>
        <w:rPr>
          <w:rFonts w:ascii="Times New Roman" w:hAnsi="Times New Roman" w:cs="Times New Roman"/>
          <w:kern w:val="0"/>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27</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坝体稳定计算方法应符合本标准附录B的规定。淤地坝设计条件应根据所处的工作状况和作用力性质分为正常和非常运用条件。正常运用条件应为淤地坝</w:t>
      </w:r>
      <w:r>
        <w:rPr>
          <w:rFonts w:ascii="Times New Roman" w:hAnsi="Times New Roman" w:cs="Times New Roman"/>
          <w:kern w:val="0"/>
          <w:sz w:val="21"/>
          <w:szCs w:val="24"/>
        </w:rPr>
        <w:t>处于设计洪水位的稳定渗流期</w:t>
      </w:r>
      <w:r>
        <w:rPr>
          <w:rFonts w:hint="eastAsia" w:ascii="Times New Roman" w:hAnsi="Times New Roman" w:cs="Times New Roman"/>
          <w:kern w:val="0"/>
          <w:sz w:val="21"/>
          <w:szCs w:val="24"/>
        </w:rPr>
        <w:t>；</w:t>
      </w:r>
      <w:r>
        <w:rPr>
          <w:rFonts w:ascii="Times New Roman" w:hAnsi="Times New Roman" w:cs="Times New Roman"/>
          <w:sz w:val="21"/>
          <w:szCs w:val="24"/>
        </w:rPr>
        <w:t>非常运用条件应为</w:t>
      </w:r>
      <w:r>
        <w:rPr>
          <w:rFonts w:ascii="Times New Roman" w:hAnsi="Times New Roman" w:cs="Times New Roman"/>
          <w:kern w:val="0"/>
          <w:sz w:val="21"/>
          <w:szCs w:val="24"/>
        </w:rPr>
        <w:t>施工期工况、校核洪水位工况、</w:t>
      </w:r>
      <w:r>
        <w:rPr>
          <w:rFonts w:ascii="Times New Roman" w:hAnsi="Times New Roman" w:cs="Times New Roman"/>
          <w:sz w:val="21"/>
          <w:szCs w:val="24"/>
        </w:rPr>
        <w:t>正常运用</w:t>
      </w:r>
      <w:r>
        <w:rPr>
          <w:rFonts w:ascii="Times New Roman" w:hAnsi="Times New Roman" w:cs="Times New Roman"/>
          <w:kern w:val="0"/>
          <w:sz w:val="21"/>
          <w:szCs w:val="24"/>
        </w:rPr>
        <w:t>遭遇地震工况。</w:t>
      </w:r>
    </w:p>
    <w:p w14:paraId="64EEFA48">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28</w:t>
      </w:r>
      <w:r>
        <w:rPr>
          <w:rFonts w:ascii="Times New Roman" w:hAnsi="Times New Roman" w:cs="Times New Roman"/>
          <w:sz w:val="21"/>
          <w:szCs w:val="24"/>
        </w:rPr>
        <w:t xml:space="preserve">  土坝表面应设置护坡。护坡型式包括植物护坡、砌石护坡、砼护坡、砼框格护坡，可因地制宜选用。</w:t>
      </w:r>
    </w:p>
    <w:p w14:paraId="5E33AC19">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29</w:t>
      </w:r>
      <w:r>
        <w:rPr>
          <w:rFonts w:ascii="Times New Roman" w:hAnsi="Times New Roman" w:cs="Times New Roman"/>
          <w:b/>
          <w:sz w:val="21"/>
          <w:szCs w:val="24"/>
        </w:rPr>
        <w:t xml:space="preserve"> </w:t>
      </w:r>
      <w:r>
        <w:rPr>
          <w:rFonts w:ascii="Times New Roman" w:hAnsi="Times New Roman" w:cs="Times New Roman"/>
          <w:sz w:val="21"/>
          <w:szCs w:val="24"/>
        </w:rPr>
        <w:t xml:space="preserve"> 护坡的型式、厚度及材料粒径等应根据坝的级别、运用条件和当地材料情况，经技术经济比较后确定。</w:t>
      </w:r>
    </w:p>
    <w:p w14:paraId="2E797359">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 xml:space="preserve">30 </w:t>
      </w:r>
      <w:r>
        <w:rPr>
          <w:rFonts w:ascii="Times New Roman" w:hAnsi="Times New Roman" w:cs="Times New Roman"/>
          <w:sz w:val="21"/>
          <w:szCs w:val="24"/>
        </w:rPr>
        <w:t xml:space="preserve"> 护坡的覆盖范围应符合下列要求：</w:t>
      </w:r>
    </w:p>
    <w:p w14:paraId="70C8F026">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 xml:space="preserve">1 </w:t>
      </w:r>
      <w:r>
        <w:rPr>
          <w:rFonts w:ascii="Times New Roman" w:hAnsi="Times New Roman" w:eastAsia="黑体" w:cs="Times New Roman"/>
          <w:sz w:val="21"/>
          <w:szCs w:val="21"/>
        </w:rPr>
        <w:t xml:space="preserve"> </w:t>
      </w:r>
      <w:r>
        <w:rPr>
          <w:rFonts w:ascii="Times New Roman" w:hAnsi="Times New Roman" w:cs="Times New Roman"/>
          <w:sz w:val="21"/>
          <w:szCs w:val="24"/>
        </w:rPr>
        <w:t>上游面自坝顶至淤积面；</w:t>
      </w:r>
    </w:p>
    <w:p w14:paraId="2D834F4F">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2</w:t>
      </w:r>
      <w:r>
        <w:rPr>
          <w:rFonts w:ascii="Times New Roman" w:hAnsi="Times New Roman" w:eastAsia="黑体" w:cs="Times New Roman"/>
          <w:sz w:val="21"/>
          <w:szCs w:val="21"/>
        </w:rPr>
        <w:t xml:space="preserve">  </w:t>
      </w:r>
      <w:r>
        <w:rPr>
          <w:rFonts w:ascii="Times New Roman" w:hAnsi="Times New Roman" w:cs="Times New Roman"/>
          <w:sz w:val="21"/>
          <w:szCs w:val="24"/>
        </w:rPr>
        <w:t>下游面自坝顶至排水棱体；</w:t>
      </w:r>
    </w:p>
    <w:p w14:paraId="0F01C80C">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 xml:space="preserve">3 </w:t>
      </w:r>
      <w:r>
        <w:rPr>
          <w:rFonts w:ascii="Times New Roman" w:hAnsi="Times New Roman" w:eastAsia="黑体" w:cs="Times New Roman"/>
          <w:sz w:val="21"/>
          <w:szCs w:val="21"/>
        </w:rPr>
        <w:t xml:space="preserve"> </w:t>
      </w:r>
      <w:r>
        <w:rPr>
          <w:rFonts w:ascii="Times New Roman" w:hAnsi="Times New Roman" w:cs="Times New Roman"/>
          <w:sz w:val="21"/>
          <w:szCs w:val="24"/>
        </w:rPr>
        <w:t>无排水棱体时应护至坝脚。</w:t>
      </w:r>
    </w:p>
    <w:p w14:paraId="37B0B62A">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31</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土坝下游坡面应设置纵、横向排水沟。排水沟可采用浆砌石砌筑或混凝土现浇。</w:t>
      </w:r>
      <w:r>
        <w:rPr>
          <w:rFonts w:ascii="Times New Roman" w:hAnsi="Times New Roman" w:cs="Times New Roman"/>
          <w:sz w:val="21"/>
          <w:szCs w:val="21"/>
        </w:rPr>
        <w:t>横向排水沟应设置在坝体与两岸结合处，有马道时，纵向排水沟宜与马道一致，并应设于马道内侧，与横向排水沟连通。</w:t>
      </w:r>
    </w:p>
    <w:p w14:paraId="4E4C31DE">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Ⅳ 溢洪道设计</w:t>
      </w:r>
    </w:p>
    <w:p w14:paraId="47FA4F9E">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32</w:t>
      </w:r>
      <w:r>
        <w:rPr>
          <w:rFonts w:ascii="Times New Roman" w:hAnsi="Times New Roman" w:cs="Times New Roman"/>
          <w:sz w:val="21"/>
          <w:szCs w:val="24"/>
        </w:rPr>
        <w:t xml:space="preserve">  大、中型淤地坝宜采用陡坡式溢洪道。</w:t>
      </w:r>
    </w:p>
    <w:p w14:paraId="219D6733">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33</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宽顶堰陡坡式溢洪道应由进口段、泄槽和消能设施三部分组成（图4.4.33）。</w:t>
      </w:r>
    </w:p>
    <w:p w14:paraId="36140B34">
      <w:pPr>
        <w:jc w:val="center"/>
        <w:rPr>
          <w:rFonts w:ascii="Times New Roman" w:hAnsi="Times New Roman" w:cs="Times New Roman"/>
          <w:sz w:val="24"/>
          <w:szCs w:val="24"/>
        </w:rPr>
      </w:pPr>
      <w:r>
        <w:rPr>
          <w:rFonts w:ascii="Times New Roman" w:hAnsi="Times New Roman" w:cs="Times New Roman"/>
          <w:b/>
          <w:sz w:val="24"/>
          <w:szCs w:val="24"/>
        </w:rPr>
        <w:drawing>
          <wp:inline distT="0" distB="0" distL="114300" distR="114300">
            <wp:extent cx="4326890" cy="2275205"/>
            <wp:effectExtent l="0" t="0" r="1270" b="10795"/>
            <wp:docPr id="1618815615" name="图片 88" descr="a925f734ee8258be7ab8911946ea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815615" name="图片 88" descr="a925f734ee8258be7ab8911946ead19"/>
                    <pic:cNvPicPr>
                      <a:picLocks noChangeAspect="1"/>
                    </pic:cNvPicPr>
                  </pic:nvPicPr>
                  <pic:blipFill>
                    <a:blip r:embed="rId45"/>
                    <a:stretch>
                      <a:fillRect/>
                    </a:stretch>
                  </pic:blipFill>
                  <pic:spPr>
                    <a:xfrm>
                      <a:off x="0" y="0"/>
                      <a:ext cx="4326890" cy="2275205"/>
                    </a:xfrm>
                    <a:prstGeom prst="rect">
                      <a:avLst/>
                    </a:prstGeom>
                    <a:noFill/>
                    <a:ln>
                      <a:noFill/>
                    </a:ln>
                  </pic:spPr>
                </pic:pic>
              </a:graphicData>
            </a:graphic>
          </wp:inline>
        </w:drawing>
      </w:r>
    </w:p>
    <w:p w14:paraId="39DCAC80">
      <w:pPr>
        <w:jc w:val="center"/>
        <w:rPr>
          <w:rFonts w:ascii="Times New Roman" w:hAnsi="Times New Roman" w:eastAsia="黑体" w:cs="Times New Roman"/>
          <w:bCs/>
          <w:sz w:val="18"/>
          <w:szCs w:val="18"/>
        </w:rPr>
      </w:pPr>
      <w:r>
        <w:rPr>
          <w:rFonts w:ascii="Times New Roman" w:hAnsi="Times New Roman" w:eastAsia="黑体" w:cs="Times New Roman"/>
          <w:bCs/>
          <w:sz w:val="18"/>
          <w:szCs w:val="18"/>
        </w:rPr>
        <w:t>图4</w:t>
      </w:r>
      <w:r>
        <w:rPr>
          <w:rFonts w:ascii="Times New Roman" w:hAnsi="Times New Roman" w:cs="Times New Roman"/>
          <w:bCs/>
          <w:sz w:val="18"/>
          <w:szCs w:val="18"/>
        </w:rPr>
        <w:t>.</w:t>
      </w:r>
      <w:r>
        <w:rPr>
          <w:rFonts w:ascii="Times New Roman" w:hAnsi="Times New Roman" w:eastAsia="黑体" w:cs="Times New Roman"/>
          <w:bCs/>
          <w:sz w:val="18"/>
          <w:szCs w:val="18"/>
        </w:rPr>
        <w:t>4</w:t>
      </w:r>
      <w:r>
        <w:rPr>
          <w:rFonts w:ascii="Times New Roman" w:hAnsi="Times New Roman" w:cs="Times New Roman"/>
          <w:bCs/>
          <w:sz w:val="18"/>
          <w:szCs w:val="18"/>
        </w:rPr>
        <w:t>.</w:t>
      </w:r>
      <w:r>
        <w:rPr>
          <w:rFonts w:ascii="Times New Roman" w:hAnsi="Times New Roman" w:eastAsia="黑体" w:cs="Times New Roman"/>
          <w:bCs/>
          <w:sz w:val="18"/>
          <w:szCs w:val="18"/>
        </w:rPr>
        <w:t xml:space="preserve">33 </w:t>
      </w:r>
      <w:r>
        <w:rPr>
          <w:rFonts w:hint="eastAsia" w:ascii="Times New Roman" w:hAnsi="Times New Roman" w:eastAsia="黑体" w:cs="Times New Roman"/>
          <w:bCs/>
          <w:sz w:val="18"/>
          <w:szCs w:val="18"/>
        </w:rPr>
        <w:t xml:space="preserve"> </w:t>
      </w:r>
      <w:r>
        <w:rPr>
          <w:rFonts w:ascii="Times New Roman" w:hAnsi="Times New Roman" w:eastAsia="黑体" w:cs="Times New Roman"/>
          <w:bCs/>
          <w:sz w:val="18"/>
          <w:szCs w:val="18"/>
        </w:rPr>
        <w:t>溢洪道示意图</w:t>
      </w:r>
    </w:p>
    <w:p w14:paraId="6D94C6E0">
      <w:pPr>
        <w:jc w:val="center"/>
        <w:rPr>
          <w:rFonts w:ascii="Times New Roman" w:hAnsi="Times New Roman" w:cs="Times New Roman"/>
          <w:sz w:val="15"/>
          <w:szCs w:val="15"/>
        </w:rPr>
      </w:pPr>
      <w:r>
        <w:rPr>
          <w:rFonts w:ascii="Times New Roman" w:hAnsi="Times New Roman" w:cs="Times New Roman"/>
          <w:sz w:val="15"/>
          <w:szCs w:val="15"/>
        </w:rPr>
        <w:t>①进口段 ②泄槽 ③消能设施 ④引水渠 ⑤渐变段 ⑥溢流堰 ⑦消力池 ⑧尾渠 ⑨排水孔 ⑩截水齿墙</w:t>
      </w:r>
    </w:p>
    <w:p w14:paraId="1935FEB7">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34</w:t>
      </w:r>
      <w:r>
        <w:rPr>
          <w:rFonts w:ascii="Times New Roman" w:hAnsi="Times New Roman" w:cs="Times New Roman"/>
          <w:sz w:val="21"/>
          <w:szCs w:val="24"/>
        </w:rPr>
        <w:t xml:space="preserve">  进口段由引水渠、渐变段和溢流堰组成。引水渠进口底板高程应采用设计淤积面高程，可选用梯形断面。</w:t>
      </w:r>
    </w:p>
    <w:p w14:paraId="0B8E8327">
      <w:pPr>
        <w:spacing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 xml:space="preserve">35 </w:t>
      </w:r>
      <w:r>
        <w:rPr>
          <w:rFonts w:ascii="Times New Roman" w:hAnsi="Times New Roman" w:cs="Times New Roman"/>
          <w:sz w:val="21"/>
          <w:szCs w:val="24"/>
        </w:rPr>
        <w:t xml:space="preserve"> 中等风化岩石引水渠边坡应为1:0.5～1:0.2，微风化岩石引水渠边坡应为1:0.1，新鲜岩石引水渠边坡可直立；土质边坡设计过水断面以下边坡不应陡于1:1.0，以上不应陡于1:0.5。</w:t>
      </w:r>
    </w:p>
    <w:p w14:paraId="4A49F52F">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36</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w:t>
      </w:r>
      <w:r>
        <w:rPr>
          <w:rFonts w:ascii="Times New Roman" w:hAnsi="Times New Roman" w:cs="Times New Roman"/>
          <w:sz w:val="21"/>
          <w:szCs w:val="21"/>
        </w:rPr>
        <w:t xml:space="preserve">溢流堰宜采用矩形断面。溢流堰长度宜取堰上水深的3倍～6倍。溢流堰及其边墙宜采用浆砌石修筑，堰底靠上游端应设置砌石齿墙，深度宜取1.0m、厚度宜取0.5m，堰宽应按下列公式计算。 </w:t>
      </w:r>
    </w:p>
    <w:p w14:paraId="49BD0E5C">
      <w:pPr>
        <w:wordWrap w:val="0"/>
        <w:snapToGrid w:val="0"/>
        <w:spacing w:line="360" w:lineRule="auto"/>
        <w:ind w:right="-76" w:rightChars="-27"/>
        <w:jc w:val="right"/>
        <w:rPr>
          <w:rFonts w:ascii="Times New Roman" w:hAnsi="Times New Roman" w:cs="Times New Roman"/>
          <w:sz w:val="21"/>
          <w:szCs w:val="21"/>
        </w:rPr>
      </w:pPr>
      <w:r>
        <w:rPr>
          <w:rFonts w:ascii="Times New Roman" w:hAnsi="Times New Roman" w:cs="Times New Roman"/>
          <w:b/>
          <w:position w:val="-30"/>
          <w:sz w:val="21"/>
          <w:szCs w:val="21"/>
        </w:rPr>
        <w:object>
          <v:shape id="_x0000_i1038" o:spt="75" type="#_x0000_t75" style="height:28.8pt;width:51pt;" o:ole="t" filled="f" o:preferrelative="t" stroked="f" coordsize="21600,21600">
            <v:path/>
            <v:fill on="f" focussize="0,0"/>
            <v:stroke on="f" joinstyle="miter"/>
            <v:imagedata r:id="rId47" o:title=""/>
            <o:lock v:ext="edit" aspectratio="t"/>
            <w10:wrap type="none"/>
            <w10:anchorlock/>
          </v:shape>
          <o:OLEObject Type="Embed" ProgID="Equation.3" ShapeID="_x0000_i1038" DrawAspect="Content" ObjectID="_1468075738" r:id="rId46">
            <o:LockedField>false</o:LockedField>
          </o:OLEObject>
        </w:object>
      </w:r>
      <w:r>
        <w:rPr>
          <w:rFonts w:ascii="Times New Roman" w:hAnsi="Times New Roman" w:cs="Times New Roman"/>
          <w:sz w:val="21"/>
          <w:szCs w:val="21"/>
        </w:rPr>
        <w:t xml:space="preserve">                          （4.4.36-1）</w:t>
      </w:r>
    </w:p>
    <w:p w14:paraId="79FB94D5">
      <w:pPr>
        <w:wordWrap w:val="0"/>
        <w:snapToGrid w:val="0"/>
        <w:spacing w:line="360" w:lineRule="auto"/>
        <w:ind w:right="-76" w:rightChars="-27" w:firstLine="422" w:firstLineChars="200"/>
        <w:jc w:val="right"/>
        <w:rPr>
          <w:rFonts w:ascii="Times New Roman" w:hAnsi="Times New Roman" w:cs="Times New Roman"/>
          <w:sz w:val="21"/>
          <w:szCs w:val="21"/>
        </w:rPr>
      </w:pPr>
      <w:r>
        <w:rPr>
          <w:rFonts w:ascii="Times New Roman" w:hAnsi="Times New Roman" w:cs="Times New Roman"/>
          <w:b/>
          <w:position w:val="-28"/>
          <w:sz w:val="21"/>
          <w:szCs w:val="21"/>
        </w:rPr>
        <w:object>
          <v:shape id="_x0000_i1039" o:spt="75" type="#_x0000_t75" style="height:29.4pt;width:52.8pt;" o:ole="t" filled="f" o:preferrelative="t" stroked="f" coordsize="21600,21600">
            <v:path/>
            <v:fill on="f" focussize="0,0"/>
            <v:stroke on="f" joinstyle="miter"/>
            <v:imagedata r:id="rId49" o:title=""/>
            <o:lock v:ext="edit" aspectratio="t"/>
            <w10:wrap type="none"/>
            <w10:anchorlock/>
          </v:shape>
          <o:OLEObject Type="Embed" ProgID="Equation.3" ShapeID="_x0000_i1039" DrawAspect="Content" ObjectID="_1468075739" r:id="rId48">
            <o:LockedField>false</o:LockedField>
          </o:OLEObject>
        </w:object>
      </w:r>
      <w:r>
        <w:rPr>
          <w:rFonts w:ascii="Times New Roman" w:hAnsi="Times New Roman" w:cs="Times New Roman"/>
          <w:sz w:val="21"/>
          <w:szCs w:val="21"/>
        </w:rPr>
        <w:t xml:space="preserve">                          （4.4.36-2）</w:t>
      </w:r>
    </w:p>
    <w:p w14:paraId="43C86976">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iCs/>
          <w:sz w:val="21"/>
          <w:szCs w:val="21"/>
        </w:rPr>
        <w:t>B</w:t>
      </w:r>
      <w:r>
        <w:rPr>
          <w:rFonts w:ascii="Times New Roman" w:hAnsi="Times New Roman" w:cs="Times New Roman"/>
          <w:sz w:val="21"/>
          <w:szCs w:val="21"/>
        </w:rPr>
        <w:t>——溢流堰宽（m）；</w:t>
      </w:r>
    </w:p>
    <w:p w14:paraId="408DC9CA">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iCs/>
          <w:sz w:val="21"/>
          <w:szCs w:val="21"/>
        </w:rPr>
        <w:t>q</w:t>
      </w:r>
      <w:r>
        <w:rPr>
          <w:rFonts w:ascii="Times New Roman" w:hAnsi="Times New Roman" w:cs="Times New Roman"/>
          <w:sz w:val="21"/>
          <w:szCs w:val="21"/>
        </w:rPr>
        <w:t>——溢洪道设计流量（m</w:t>
      </w:r>
      <w:r>
        <w:rPr>
          <w:rFonts w:ascii="Times New Roman" w:hAnsi="Times New Roman" w:cs="Times New Roman"/>
          <w:sz w:val="21"/>
          <w:szCs w:val="21"/>
          <w:vertAlign w:val="superscript"/>
        </w:rPr>
        <w:t>3</w:t>
      </w:r>
      <w:r>
        <w:rPr>
          <w:rFonts w:ascii="Times New Roman" w:hAnsi="Times New Roman" w:cs="Times New Roman"/>
          <w:sz w:val="21"/>
          <w:szCs w:val="21"/>
        </w:rPr>
        <w:t>/s）；</w:t>
      </w:r>
    </w:p>
    <w:p w14:paraId="633E9109">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iCs/>
          <w:sz w:val="21"/>
          <w:szCs w:val="21"/>
        </w:rPr>
        <w:t>M</w:t>
      </w:r>
      <w:r>
        <w:rPr>
          <w:rFonts w:ascii="Times New Roman" w:hAnsi="Times New Roman" w:cs="Times New Roman"/>
          <w:sz w:val="21"/>
          <w:szCs w:val="21"/>
        </w:rPr>
        <w:t>——流量系数，可取1.42～1.62；</w:t>
      </w:r>
    </w:p>
    <w:p w14:paraId="00ABBA62">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iCs/>
          <w:sz w:val="21"/>
          <w:szCs w:val="21"/>
        </w:rPr>
        <w:t>H</w:t>
      </w:r>
      <w:r>
        <w:rPr>
          <w:rFonts w:ascii="Times New Roman" w:hAnsi="Times New Roman" w:cs="Times New Roman"/>
          <w:i/>
          <w:iCs/>
          <w:sz w:val="21"/>
          <w:szCs w:val="21"/>
          <w:vertAlign w:val="subscript"/>
        </w:rPr>
        <w:t>0</w:t>
      </w:r>
      <w:r>
        <w:rPr>
          <w:rFonts w:ascii="Times New Roman" w:hAnsi="Times New Roman" w:cs="Times New Roman"/>
          <w:sz w:val="21"/>
          <w:szCs w:val="21"/>
        </w:rPr>
        <w:t>——计入行进流速的水头（m）；</w:t>
      </w:r>
    </w:p>
    <w:p w14:paraId="7E284EB2">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iCs/>
          <w:sz w:val="21"/>
          <w:szCs w:val="21"/>
        </w:rPr>
        <w:t>h</w:t>
      </w:r>
      <w:r>
        <w:rPr>
          <w:rFonts w:ascii="Times New Roman" w:hAnsi="Times New Roman" w:cs="Times New Roman"/>
          <w:sz w:val="21"/>
          <w:szCs w:val="21"/>
        </w:rPr>
        <w:t>——溢洪水深（m），即堰前溢流坎以上水深；</w:t>
      </w:r>
    </w:p>
    <w:p w14:paraId="50CB35B7">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iCs/>
          <w:sz w:val="21"/>
          <w:szCs w:val="21"/>
        </w:rPr>
        <w:t>V</w:t>
      </w:r>
      <w:r>
        <w:rPr>
          <w:rFonts w:ascii="Times New Roman" w:hAnsi="Times New Roman" w:cs="Times New Roman"/>
          <w:i/>
          <w:iCs/>
          <w:sz w:val="21"/>
          <w:szCs w:val="21"/>
          <w:vertAlign w:val="subscript"/>
        </w:rPr>
        <w:t>0</w:t>
      </w:r>
      <w:r>
        <w:rPr>
          <w:rFonts w:ascii="Times New Roman" w:hAnsi="Times New Roman" w:cs="Times New Roman"/>
          <w:sz w:val="21"/>
          <w:szCs w:val="21"/>
        </w:rPr>
        <w:t>——堰前流速（m/s）；</w:t>
      </w:r>
    </w:p>
    <w:p w14:paraId="4E3EF21E">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iCs/>
          <w:sz w:val="21"/>
          <w:szCs w:val="21"/>
        </w:rPr>
        <w:t>g</w:t>
      </w:r>
      <w:r>
        <w:rPr>
          <w:rFonts w:ascii="Times New Roman" w:hAnsi="Times New Roman" w:cs="Times New Roman"/>
          <w:sz w:val="21"/>
          <w:szCs w:val="21"/>
        </w:rPr>
        <w:t>——重力加速度，9.81m/s</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59E5A31F">
      <w:pPr>
        <w:snapToGrid w:val="0"/>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37</w:t>
      </w:r>
      <w:r>
        <w:rPr>
          <w:rFonts w:ascii="Times New Roman" w:hAnsi="Times New Roman" w:cs="Times New Roman"/>
          <w:sz w:val="21"/>
          <w:szCs w:val="24"/>
        </w:rPr>
        <w:t xml:space="preserve">  </w:t>
      </w:r>
      <w:r>
        <w:rPr>
          <w:rFonts w:ascii="Times New Roman" w:hAnsi="Times New Roman" w:cs="Times New Roman"/>
          <w:sz w:val="21"/>
          <w:szCs w:val="21"/>
        </w:rPr>
        <w:t>泄槽在平面上宜采用直线型式沿轴线对称布置，宜采用矩形断面，浆砌石或混凝土衬砌，坡度根据地形可采用不陡于1:3，底板衬砌厚度可取0.3m～0.5m。顺水流方向每隔5m～8m应设置沉陷缝，遇地基变化时，应增设沉陷缝。泄槽基础每隔10m～15m应设置齿墙，深度宜为0.8m、宽度宜为0.4m。泄槽边墙高度应按设计流量计算，高出水面线0.5m，并满足下泄校核流量的要求。矩形断面的临界水深可按下式计算：</w:t>
      </w:r>
    </w:p>
    <w:p w14:paraId="249432D2">
      <w:pPr>
        <w:snapToGrid w:val="0"/>
        <w:spacing w:line="360" w:lineRule="auto"/>
        <w:ind w:firstLine="422" w:firstLineChars="200"/>
        <w:jc w:val="right"/>
        <w:rPr>
          <w:rFonts w:ascii="Times New Roman" w:hAnsi="Times New Roman" w:cs="Times New Roman"/>
          <w:sz w:val="21"/>
          <w:szCs w:val="21"/>
        </w:rPr>
      </w:pPr>
      <w:r>
        <w:rPr>
          <w:rFonts w:ascii="Times New Roman" w:hAnsi="Times New Roman" w:cs="Times New Roman"/>
          <w:b/>
          <w:position w:val="-30"/>
          <w:sz w:val="21"/>
          <w:szCs w:val="21"/>
        </w:rPr>
        <w:object>
          <v:shape id="_x0000_i1040" o:spt="75" type="#_x0000_t75" style="height:32.4pt;width:108.65pt;" o:ole="t" filled="f" o:preferrelative="t" stroked="f" coordsize="21600,21600">
            <v:path/>
            <v:fill on="f" focussize="0,0"/>
            <v:stroke on="f" joinstyle="miter"/>
            <v:imagedata r:id="rId51" o:title=""/>
            <o:lock v:ext="edit" aspectratio="t"/>
            <w10:wrap type="none"/>
            <w10:anchorlock/>
          </v:shape>
          <o:OLEObject Type="Embed" ProgID="Equation.3" ShapeID="_x0000_i1040" DrawAspect="Content" ObjectID="_1468075740" r:id="rId50">
            <o:LockedField>false</o:LockedField>
          </o:OLEObject>
        </w:object>
      </w:r>
      <w:r>
        <w:rPr>
          <w:rFonts w:ascii="Times New Roman" w:hAnsi="Times New Roman" w:cs="Times New Roman"/>
          <w:sz w:val="21"/>
          <w:szCs w:val="21"/>
        </w:rPr>
        <w:t xml:space="preserve">                         （4.4.37）</w:t>
      </w:r>
    </w:p>
    <w:p w14:paraId="09C18FA4">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iCs/>
          <w:sz w:val="21"/>
          <w:szCs w:val="21"/>
        </w:rPr>
        <w:t>h</w:t>
      </w:r>
      <w:r>
        <w:rPr>
          <w:rFonts w:ascii="Times New Roman" w:hAnsi="Times New Roman" w:cs="Times New Roman"/>
          <w:i/>
          <w:iCs/>
          <w:sz w:val="21"/>
          <w:szCs w:val="21"/>
          <w:vertAlign w:val="subscript"/>
        </w:rPr>
        <w:t>k</w:t>
      </w:r>
      <w:r>
        <w:rPr>
          <w:rFonts w:ascii="Times New Roman" w:hAnsi="Times New Roman" w:cs="Times New Roman"/>
          <w:sz w:val="21"/>
          <w:szCs w:val="21"/>
        </w:rPr>
        <w:t>——临界水深（m）；</w:t>
      </w:r>
    </w:p>
    <w:p w14:paraId="5508901E">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a</w:t>
      </w:r>
      <w:r>
        <w:rPr>
          <w:rFonts w:ascii="Times New Roman" w:hAnsi="Times New Roman" w:cs="Times New Roman"/>
          <w:sz w:val="21"/>
          <w:szCs w:val="21"/>
        </w:rPr>
        <w:t>——系数，可取1.1；</w:t>
      </w:r>
    </w:p>
    <w:p w14:paraId="5F1C995D">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iCs/>
          <w:sz w:val="21"/>
          <w:szCs w:val="21"/>
        </w:rPr>
        <w:t>q</w:t>
      </w:r>
      <w:r>
        <w:rPr>
          <w:rFonts w:ascii="Times New Roman" w:hAnsi="Times New Roman" w:cs="Times New Roman"/>
          <w:sz w:val="21"/>
          <w:szCs w:val="21"/>
        </w:rPr>
        <w:t>——陡坡单宽流量，[m</w:t>
      </w:r>
      <w:r>
        <w:rPr>
          <w:rFonts w:ascii="Times New Roman" w:hAnsi="Times New Roman" w:cs="Times New Roman"/>
          <w:sz w:val="21"/>
          <w:szCs w:val="21"/>
          <w:vertAlign w:val="superscript"/>
        </w:rPr>
        <w:t>3</w:t>
      </w:r>
      <w:r>
        <w:rPr>
          <w:rFonts w:ascii="Times New Roman" w:hAnsi="Times New Roman" w:cs="Times New Roman"/>
          <w:sz w:val="21"/>
          <w:szCs w:val="21"/>
        </w:rPr>
        <w:t>/（s•m）]；</w:t>
      </w:r>
    </w:p>
    <w:p w14:paraId="44B58B28">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iCs/>
          <w:sz w:val="21"/>
          <w:szCs w:val="21"/>
        </w:rPr>
        <w:t>g</w:t>
      </w:r>
      <w:r>
        <w:rPr>
          <w:rFonts w:ascii="Times New Roman" w:hAnsi="Times New Roman" w:cs="Times New Roman"/>
          <w:sz w:val="21"/>
          <w:szCs w:val="21"/>
        </w:rPr>
        <w:t>——重力加速度，9.81m/s</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0192315A">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38</w:t>
      </w:r>
      <w:r>
        <w:rPr>
          <w:rFonts w:ascii="Times New Roman" w:hAnsi="Times New Roman" w:cs="Times New Roman"/>
          <w:sz w:val="21"/>
          <w:szCs w:val="24"/>
        </w:rPr>
        <w:t xml:space="preserve">  </w:t>
      </w:r>
      <w:r>
        <w:rPr>
          <w:rFonts w:ascii="Times New Roman" w:hAnsi="Times New Roman" w:cs="Times New Roman"/>
          <w:sz w:val="21"/>
          <w:szCs w:val="21"/>
        </w:rPr>
        <w:t>溢洪道出口可采用消力池消能或挑流消能形式。</w:t>
      </w:r>
    </w:p>
    <w:p w14:paraId="0390FACF">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39</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w:t>
      </w:r>
      <w:r>
        <w:rPr>
          <w:rFonts w:ascii="Times New Roman" w:hAnsi="Times New Roman" w:cs="Times New Roman"/>
          <w:sz w:val="21"/>
          <w:szCs w:val="21"/>
        </w:rPr>
        <w:t>在土基或破碎软弱岩基上的溢洪道，宜选用消力池消能，采用等宽矩形断面。</w:t>
      </w:r>
    </w:p>
    <w:p w14:paraId="58FE4EA8">
      <w:pPr>
        <w:spacing w:line="360" w:lineRule="auto"/>
        <w:rPr>
          <w:rFonts w:ascii="Times New Roman" w:hAnsi="Times New Roman" w:cs="Times New Roman"/>
          <w:sz w:val="21"/>
          <w:szCs w:val="21"/>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40</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岩基较好的溢洪道可采用挑流消能，在挑坎未端应设齿墙，基础嵌入新鲜完整的岩石，在挑坎下游应设护坦。挑流消能水力设计应包括确定挑流水舌挑距和最大冲坑深度。挑流水舌外缘挑距可按下式计算：</w:t>
      </w:r>
    </w:p>
    <w:p w14:paraId="79671A7D">
      <w:pPr>
        <w:snapToGrid w:val="0"/>
        <w:spacing w:before="156" w:beforeLines="50" w:line="360" w:lineRule="auto"/>
        <w:ind w:right="120"/>
        <w:jc w:val="center"/>
        <w:rPr>
          <w:rFonts w:ascii="Times New Roman" w:hAnsi="Times New Roman" w:cs="Times New Roman"/>
          <w:sz w:val="21"/>
          <w:szCs w:val="21"/>
        </w:rPr>
      </w:pPr>
      <w:r>
        <w:rPr>
          <w:rFonts w:ascii="Times New Roman" w:hAnsi="Times New Roman" w:cs="Times New Roman"/>
          <w:position w:val="-28"/>
          <w:sz w:val="21"/>
        </w:rPr>
        <w:object>
          <v:shape id="_x0000_i1041" o:spt="75" type="#_x0000_t75" style="height:32.4pt;width:344.45pt;" o:ole="t" filled="f" o:preferrelative="t" stroked="f" coordsize="21600,21600">
            <v:path/>
            <v:fill on="f" focussize="0,0"/>
            <v:stroke on="f" joinstyle="miter"/>
            <v:imagedata r:id="rId53" o:title=""/>
            <o:lock v:ext="edit" aspectratio="t"/>
            <w10:wrap type="none"/>
            <w10:anchorlock/>
          </v:shape>
          <o:OLEObject Type="Embed" ProgID="Equation.DSMT4" ShapeID="_x0000_i1041" DrawAspect="Content" ObjectID="_1468075741" r:id="rId52">
            <o:LockedField>false</o:LockedField>
          </o:OLEObject>
        </w:object>
      </w:r>
    </w:p>
    <w:p w14:paraId="63AFD30C">
      <w:pPr>
        <w:snapToGrid w:val="0"/>
        <w:spacing w:before="156" w:beforeLines="50" w:line="360" w:lineRule="auto"/>
        <w:ind w:right="-199" w:firstLine="7228" w:firstLineChars="3442"/>
        <w:jc w:val="left"/>
        <w:rPr>
          <w:rFonts w:ascii="Times New Roman" w:hAnsi="Times New Roman" w:cs="Times New Roman"/>
          <w:sz w:val="21"/>
          <w:szCs w:val="24"/>
        </w:rPr>
      </w:pPr>
      <w:r>
        <w:rPr>
          <w:rFonts w:ascii="Times New Roman" w:hAnsi="Times New Roman" w:cs="Times New Roman"/>
          <w:sz w:val="21"/>
          <w:szCs w:val="21"/>
        </w:rPr>
        <w:t>（4.4.40-1）</w:t>
      </w:r>
    </w:p>
    <w:p w14:paraId="215A681F">
      <w:pPr>
        <w:spacing w:line="360" w:lineRule="auto"/>
        <w:ind w:right="226"/>
        <w:rPr>
          <w:rFonts w:ascii="Times New Roman" w:hAnsi="Times New Roman" w:cs="Times New Roman"/>
          <w:sz w:val="21"/>
          <w:szCs w:val="24"/>
        </w:rPr>
      </w:pPr>
      <w:r>
        <w:rPr>
          <w:rFonts w:ascii="Times New Roman" w:hAnsi="Times New Roman" w:cs="Times New Roman"/>
          <w:sz w:val="21"/>
          <w:szCs w:val="24"/>
        </w:rPr>
        <w:t>式中：</w:t>
      </w:r>
      <w:r>
        <w:rPr>
          <w:rFonts w:ascii="Times New Roman" w:hAnsi="Times New Roman" w:cs="Times New Roman"/>
          <w:i/>
          <w:sz w:val="21"/>
          <w:szCs w:val="24"/>
        </w:rPr>
        <w:t>L</w:t>
      </w:r>
      <w:r>
        <w:rPr>
          <w:rFonts w:ascii="Times New Roman" w:hAnsi="Times New Roman" w:cs="Times New Roman"/>
          <w:sz w:val="21"/>
          <w:szCs w:val="21"/>
        </w:rPr>
        <w:t>——</w:t>
      </w:r>
      <w:r>
        <w:rPr>
          <w:rFonts w:ascii="Times New Roman" w:hAnsi="Times New Roman" w:cs="Times New Roman"/>
          <w:sz w:val="21"/>
          <w:szCs w:val="24"/>
        </w:rPr>
        <w:t>挑流水舌外缘挑距</w:t>
      </w:r>
      <w:r>
        <w:rPr>
          <w:rFonts w:ascii="Times New Roman" w:hAnsi="Times New Roman" w:cs="Times New Roman"/>
          <w:sz w:val="21"/>
          <w:szCs w:val="21"/>
        </w:rPr>
        <w:t>（</w:t>
      </w:r>
      <w:r>
        <w:rPr>
          <w:rFonts w:ascii="Times New Roman" w:hAnsi="Times New Roman" w:cs="Times New Roman"/>
          <w:sz w:val="21"/>
          <w:szCs w:val="24"/>
        </w:rPr>
        <w:t>m</w:t>
      </w:r>
      <w:r>
        <w:rPr>
          <w:rFonts w:ascii="Times New Roman" w:hAnsi="Times New Roman" w:cs="Times New Roman"/>
          <w:sz w:val="21"/>
          <w:szCs w:val="21"/>
        </w:rPr>
        <w:t>）</w:t>
      </w:r>
      <w:r>
        <w:rPr>
          <w:rFonts w:ascii="Times New Roman" w:hAnsi="Times New Roman" w:cs="Times New Roman"/>
          <w:sz w:val="21"/>
          <w:szCs w:val="24"/>
        </w:rPr>
        <w:t>，自挑流鼻坎末端算起至下游沟床床面的水平距离；</w:t>
      </w:r>
    </w:p>
    <w:p w14:paraId="06C8413C">
      <w:pPr>
        <w:spacing w:line="360" w:lineRule="auto"/>
        <w:ind w:right="420" w:firstLine="619" w:firstLineChars="295"/>
        <w:rPr>
          <w:rFonts w:ascii="Times New Roman" w:hAnsi="Times New Roman" w:cs="Times New Roman"/>
          <w:sz w:val="21"/>
          <w:szCs w:val="24"/>
        </w:rPr>
      </w:pPr>
      <w:r>
        <w:rPr>
          <w:rFonts w:ascii="Times New Roman" w:hAnsi="Times New Roman" w:cs="Times New Roman"/>
          <w:sz w:val="21"/>
          <w:szCs w:val="24"/>
        </w:rPr>
        <w:t>ν</w:t>
      </w:r>
      <w:r>
        <w:rPr>
          <w:rFonts w:ascii="Times New Roman" w:hAnsi="Times New Roman" w:cs="Times New Roman"/>
          <w:sz w:val="21"/>
          <w:szCs w:val="24"/>
          <w:vertAlign w:val="subscript"/>
        </w:rPr>
        <w:t>1</w:t>
      </w:r>
      <w:r>
        <w:rPr>
          <w:rFonts w:ascii="Times New Roman" w:hAnsi="Times New Roman" w:cs="Times New Roman"/>
          <w:sz w:val="21"/>
          <w:szCs w:val="21"/>
        </w:rPr>
        <w:t>——</w:t>
      </w:r>
      <w:r>
        <w:rPr>
          <w:rFonts w:ascii="Times New Roman" w:hAnsi="Times New Roman" w:cs="Times New Roman"/>
          <w:sz w:val="21"/>
          <w:szCs w:val="24"/>
        </w:rPr>
        <w:t>鼻坎坎顶水面流速</w:t>
      </w:r>
      <w:r>
        <w:rPr>
          <w:rFonts w:ascii="Times New Roman" w:hAnsi="Times New Roman" w:cs="Times New Roman"/>
          <w:sz w:val="21"/>
          <w:szCs w:val="21"/>
        </w:rPr>
        <w:t>（</w:t>
      </w:r>
      <w:r>
        <w:rPr>
          <w:rFonts w:ascii="Times New Roman" w:hAnsi="Times New Roman" w:cs="Times New Roman"/>
          <w:sz w:val="21"/>
          <w:szCs w:val="24"/>
        </w:rPr>
        <w:t>m/s</w:t>
      </w:r>
      <w:r>
        <w:rPr>
          <w:rFonts w:ascii="Times New Roman" w:hAnsi="Times New Roman" w:cs="Times New Roman"/>
          <w:sz w:val="21"/>
          <w:szCs w:val="21"/>
        </w:rPr>
        <w:t>）</w:t>
      </w:r>
      <w:r>
        <w:rPr>
          <w:rFonts w:ascii="Times New Roman" w:hAnsi="Times New Roman" w:cs="Times New Roman"/>
          <w:sz w:val="21"/>
          <w:szCs w:val="24"/>
        </w:rPr>
        <w:t>，可取鼻坎末端断面平均流速v的1.1倍；</w:t>
      </w:r>
    </w:p>
    <w:p w14:paraId="05185D14">
      <w:pPr>
        <w:spacing w:line="360" w:lineRule="auto"/>
        <w:ind w:left="1116" w:leftChars="221" w:right="-58" w:hanging="497" w:hangingChars="237"/>
        <w:rPr>
          <w:rFonts w:ascii="Times New Roman" w:hAnsi="Times New Roman" w:cs="Times New Roman"/>
          <w:sz w:val="18"/>
          <w:szCs w:val="24"/>
        </w:rPr>
      </w:pPr>
      <w:r>
        <w:rPr>
          <w:rFonts w:ascii="Times New Roman" w:hAnsi="Times New Roman" w:cs="Times New Roman"/>
          <w:i/>
          <w:sz w:val="21"/>
          <w:szCs w:val="24"/>
        </w:rPr>
        <w:t>θ</w:t>
      </w:r>
      <w:r>
        <w:rPr>
          <w:rFonts w:ascii="Times New Roman" w:hAnsi="Times New Roman" w:cs="Times New Roman"/>
          <w:sz w:val="21"/>
          <w:szCs w:val="21"/>
        </w:rPr>
        <w:t>——</w:t>
      </w:r>
      <w:r>
        <w:rPr>
          <w:rFonts w:ascii="Times New Roman" w:hAnsi="Times New Roman" w:cs="Times New Roman"/>
          <w:sz w:val="21"/>
          <w:szCs w:val="24"/>
        </w:rPr>
        <w:t>挑流水舌水面出射角（˚），可近似取鼻坎挑角，挑射角度应经比较选定，可采用15˚～35˚，鼻坎段反弧半径可采用反弧最低点最大水深的6倍～12倍；</w:t>
      </w:r>
    </w:p>
    <w:p w14:paraId="29BC7940">
      <w:pPr>
        <w:spacing w:line="360" w:lineRule="auto"/>
        <w:ind w:right="420" w:firstLine="598" w:firstLineChars="285"/>
        <w:rPr>
          <w:rFonts w:ascii="Times New Roman" w:hAnsi="Times New Roman" w:cs="Times New Roman"/>
          <w:sz w:val="21"/>
          <w:szCs w:val="24"/>
        </w:rPr>
      </w:pPr>
      <w:r>
        <w:rPr>
          <w:rFonts w:ascii="Times New Roman" w:hAnsi="Times New Roman" w:cs="Times New Roman"/>
          <w:i/>
          <w:sz w:val="21"/>
          <w:szCs w:val="24"/>
        </w:rPr>
        <w:t>h</w:t>
      </w:r>
      <w:r>
        <w:rPr>
          <w:rFonts w:ascii="Times New Roman" w:hAnsi="Times New Roman" w:cs="Times New Roman"/>
          <w:sz w:val="21"/>
          <w:szCs w:val="24"/>
          <w:vertAlign w:val="subscript"/>
        </w:rPr>
        <w:t>1</w:t>
      </w:r>
      <w:r>
        <w:rPr>
          <w:rFonts w:ascii="Times New Roman" w:hAnsi="Times New Roman" w:cs="Times New Roman"/>
          <w:sz w:val="21"/>
          <w:szCs w:val="21"/>
        </w:rPr>
        <w:t>——</w:t>
      </w:r>
      <w:r>
        <w:rPr>
          <w:rFonts w:ascii="Times New Roman" w:hAnsi="Times New Roman" w:cs="Times New Roman"/>
          <w:sz w:val="21"/>
          <w:szCs w:val="24"/>
        </w:rPr>
        <w:t>挑流鼻坎末端法向水深</w:t>
      </w:r>
      <w:r>
        <w:rPr>
          <w:rFonts w:ascii="Times New Roman" w:hAnsi="Times New Roman" w:cs="Times New Roman"/>
          <w:sz w:val="21"/>
          <w:szCs w:val="21"/>
        </w:rPr>
        <w:t>（</w:t>
      </w:r>
      <w:r>
        <w:rPr>
          <w:rFonts w:ascii="Times New Roman" w:hAnsi="Times New Roman" w:cs="Times New Roman"/>
          <w:sz w:val="21"/>
          <w:szCs w:val="24"/>
        </w:rPr>
        <w:t>m</w:t>
      </w:r>
      <w:r>
        <w:rPr>
          <w:rFonts w:ascii="Times New Roman" w:hAnsi="Times New Roman" w:cs="Times New Roman"/>
          <w:sz w:val="21"/>
          <w:szCs w:val="21"/>
        </w:rPr>
        <w:t>）</w:t>
      </w:r>
      <w:r>
        <w:rPr>
          <w:rFonts w:ascii="Times New Roman" w:hAnsi="Times New Roman" w:cs="Times New Roman"/>
          <w:sz w:val="21"/>
          <w:szCs w:val="24"/>
        </w:rPr>
        <w:t>；</w:t>
      </w:r>
    </w:p>
    <w:p w14:paraId="0C799912">
      <w:pPr>
        <w:spacing w:line="360" w:lineRule="auto"/>
        <w:ind w:left="1317" w:leftChars="207" w:right="-58" w:hanging="737" w:hangingChars="351"/>
        <w:rPr>
          <w:rFonts w:ascii="Times New Roman" w:hAnsi="Times New Roman" w:cs="Times New Roman"/>
          <w:sz w:val="21"/>
          <w:szCs w:val="24"/>
        </w:rPr>
      </w:pPr>
      <w:r>
        <w:rPr>
          <w:rFonts w:ascii="Times New Roman" w:hAnsi="Times New Roman" w:cs="Times New Roman"/>
          <w:i/>
          <w:sz w:val="21"/>
          <w:szCs w:val="24"/>
        </w:rPr>
        <w:t>h</w:t>
      </w:r>
      <w:r>
        <w:rPr>
          <w:rFonts w:ascii="Times New Roman" w:hAnsi="Times New Roman" w:cs="Times New Roman"/>
          <w:sz w:val="21"/>
          <w:szCs w:val="24"/>
          <w:vertAlign w:val="subscript"/>
        </w:rPr>
        <w:t>2</w:t>
      </w:r>
      <w:r>
        <w:rPr>
          <w:rFonts w:ascii="Times New Roman" w:hAnsi="Times New Roman" w:cs="Times New Roman"/>
          <w:sz w:val="21"/>
          <w:szCs w:val="21"/>
        </w:rPr>
        <w:t>——</w:t>
      </w:r>
      <w:r>
        <w:rPr>
          <w:rFonts w:ascii="Times New Roman" w:hAnsi="Times New Roman" w:cs="Times New Roman"/>
          <w:sz w:val="21"/>
          <w:szCs w:val="24"/>
        </w:rPr>
        <w:t>鼻坎坎顶至下游沟床高程差</w:t>
      </w:r>
      <w:r>
        <w:rPr>
          <w:rFonts w:ascii="Times New Roman" w:hAnsi="Times New Roman" w:cs="Times New Roman"/>
          <w:sz w:val="21"/>
          <w:szCs w:val="21"/>
        </w:rPr>
        <w:t>（</w:t>
      </w:r>
      <w:r>
        <w:rPr>
          <w:rFonts w:ascii="Times New Roman" w:hAnsi="Times New Roman" w:cs="Times New Roman"/>
          <w:sz w:val="21"/>
          <w:szCs w:val="24"/>
        </w:rPr>
        <w:t>m</w:t>
      </w:r>
      <w:r>
        <w:rPr>
          <w:rFonts w:ascii="Times New Roman" w:hAnsi="Times New Roman" w:cs="Times New Roman"/>
          <w:sz w:val="21"/>
          <w:szCs w:val="21"/>
        </w:rPr>
        <w:t>）</w:t>
      </w:r>
      <w:r>
        <w:rPr>
          <w:rFonts w:ascii="Times New Roman" w:hAnsi="Times New Roman" w:cs="Times New Roman"/>
          <w:sz w:val="21"/>
          <w:szCs w:val="24"/>
        </w:rPr>
        <w:t>，如计算冲刷坑最深点距鼻坎的距离，该值可采用坎顶至冲坑最深点高程差。</w:t>
      </w:r>
    </w:p>
    <w:p w14:paraId="1D14523C">
      <w:pPr>
        <w:spacing w:line="360" w:lineRule="auto"/>
        <w:ind w:firstLine="567" w:firstLineChars="270"/>
        <w:rPr>
          <w:rFonts w:ascii="Times New Roman" w:hAnsi="Times New Roman" w:cs="Times New Roman"/>
          <w:sz w:val="21"/>
          <w:szCs w:val="24"/>
        </w:rPr>
      </w:pPr>
      <w:r>
        <w:rPr>
          <w:rFonts w:ascii="Times New Roman" w:hAnsi="Times New Roman" w:cs="Times New Roman"/>
          <w:sz w:val="21"/>
          <w:szCs w:val="24"/>
        </w:rPr>
        <w:t>其中鼻坎末端断面平均流速</w:t>
      </w:r>
      <w:r>
        <w:rPr>
          <w:rFonts w:ascii="Times New Roman" w:hAnsi="Times New Roman" w:cs="Times New Roman"/>
          <w:sz w:val="21"/>
          <w:szCs w:val="21"/>
        </w:rPr>
        <w:t>（</w:t>
      </w:r>
      <w:r>
        <w:rPr>
          <w:rFonts w:ascii="Times New Roman" w:hAnsi="Times New Roman" w:cs="Times New Roman"/>
          <w:i/>
          <w:sz w:val="21"/>
          <w:szCs w:val="24"/>
        </w:rPr>
        <w:t>ν</w:t>
      </w:r>
      <w:r>
        <w:rPr>
          <w:rFonts w:ascii="Times New Roman" w:hAnsi="Times New Roman" w:cs="Times New Roman"/>
          <w:sz w:val="21"/>
          <w:szCs w:val="21"/>
        </w:rPr>
        <w:t>）</w:t>
      </w:r>
      <w:r>
        <w:rPr>
          <w:rFonts w:ascii="Times New Roman" w:hAnsi="Times New Roman" w:cs="Times New Roman"/>
          <w:sz w:val="21"/>
          <w:szCs w:val="24"/>
        </w:rPr>
        <w:t>，可按下列两种方法计算：</w:t>
      </w:r>
    </w:p>
    <w:p w14:paraId="6B1487E7">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按流速公式计算，使用范围，s小于18q</w:t>
      </w:r>
      <w:r>
        <w:rPr>
          <w:rFonts w:ascii="Times New Roman" w:hAnsi="Times New Roman" w:cs="Times New Roman"/>
          <w:sz w:val="21"/>
          <w:szCs w:val="24"/>
          <w:vertAlign w:val="superscript"/>
        </w:rPr>
        <w:t>2/3</w:t>
      </w:r>
      <w:r>
        <w:rPr>
          <w:rFonts w:ascii="Times New Roman" w:hAnsi="Times New Roman" w:cs="Times New Roman"/>
          <w:sz w:val="21"/>
          <w:szCs w:val="24"/>
        </w:rPr>
        <w:t>：</w:t>
      </w:r>
    </w:p>
    <w:p w14:paraId="494F9C64">
      <w:pPr>
        <w:wordWrap w:val="0"/>
        <w:snapToGrid w:val="0"/>
        <w:spacing w:line="360" w:lineRule="auto"/>
        <w:ind w:firstLine="422" w:firstLineChars="200"/>
        <w:jc w:val="right"/>
        <w:rPr>
          <w:rFonts w:ascii="Times New Roman" w:hAnsi="Times New Roman" w:cs="Times New Roman"/>
          <w:sz w:val="21"/>
          <w:szCs w:val="21"/>
        </w:rPr>
      </w:pPr>
      <w:r>
        <w:rPr>
          <w:rFonts w:ascii="Times New Roman" w:hAnsi="Times New Roman" w:cs="Times New Roman"/>
          <w:b/>
          <w:position w:val="-14"/>
          <w:sz w:val="21"/>
          <w:szCs w:val="21"/>
        </w:rPr>
        <w:object>
          <v:shape id="_x0000_i1042" o:spt="75" type="#_x0000_t75" style="height:20.4pt;width:60.6pt;" o:ole="t" filled="f" o:preferrelative="t" stroked="f" coordsize="21600,21600">
            <v:path/>
            <v:fill on="f" focussize="0,0"/>
            <v:stroke on="f" joinstyle="miter"/>
            <v:imagedata r:id="rId55" o:title=""/>
            <o:lock v:ext="edit" aspectratio="t"/>
            <w10:wrap type="none"/>
            <w10:anchorlock/>
          </v:shape>
          <o:OLEObject Type="Embed" ProgID="Equation.3" ShapeID="_x0000_i1042" DrawAspect="Content" ObjectID="_1468075742" r:id="rId54">
            <o:LockedField>false</o:LockedField>
          </o:OLEObject>
        </w:object>
      </w:r>
      <w:r>
        <w:rPr>
          <w:rFonts w:ascii="Times New Roman" w:hAnsi="Times New Roman" w:cs="Times New Roman"/>
          <w:sz w:val="21"/>
          <w:szCs w:val="21"/>
        </w:rPr>
        <w:t xml:space="preserve">                                （4.4.40-2）</w:t>
      </w:r>
    </w:p>
    <w:p w14:paraId="4C49EB35">
      <w:pPr>
        <w:wordWrap w:val="0"/>
        <w:snapToGrid w:val="0"/>
        <w:spacing w:line="360" w:lineRule="auto"/>
        <w:ind w:firstLine="422" w:firstLineChars="200"/>
        <w:jc w:val="right"/>
        <w:rPr>
          <w:rFonts w:ascii="Times New Roman" w:hAnsi="Times New Roman" w:cs="Times New Roman"/>
          <w:sz w:val="21"/>
          <w:szCs w:val="21"/>
        </w:rPr>
      </w:pPr>
      <w:r>
        <w:rPr>
          <w:rFonts w:ascii="Times New Roman" w:hAnsi="Times New Roman" w:cs="Times New Roman"/>
          <w:b/>
          <w:position w:val="-30"/>
          <w:sz w:val="21"/>
          <w:szCs w:val="21"/>
        </w:rPr>
        <w:object>
          <v:shape id="_x0000_i1043" o:spt="75" type="#_x0000_t75" style="height:29.4pt;width:68.4pt;" o:ole="t" filled="f" o:preferrelative="t" stroked="f" coordsize="21600,21600">
            <v:path/>
            <v:fill on="f" focussize="0,0"/>
            <v:stroke on="f" joinstyle="miter"/>
            <v:imagedata r:id="rId57" o:title=""/>
            <o:lock v:ext="edit" aspectratio="t"/>
            <w10:wrap type="none"/>
            <w10:anchorlock/>
          </v:shape>
          <o:OLEObject Type="Embed" ProgID="Equation.3" ShapeID="_x0000_i1043" DrawAspect="Content" ObjectID="_1468075743" r:id="rId56">
            <o:LockedField>false</o:LockedField>
          </o:OLEObject>
        </w:object>
      </w:r>
      <w:r>
        <w:rPr>
          <w:rFonts w:ascii="Times New Roman" w:hAnsi="Times New Roman" w:cs="Times New Roman"/>
          <w:sz w:val="21"/>
          <w:szCs w:val="21"/>
        </w:rPr>
        <w:t xml:space="preserve">                              （4.4.40-3）</w:t>
      </w:r>
    </w:p>
    <w:p w14:paraId="1AD9E81E">
      <w:pPr>
        <w:wordWrap w:val="0"/>
        <w:snapToGrid w:val="0"/>
        <w:spacing w:line="360" w:lineRule="auto"/>
        <w:ind w:firstLine="422" w:firstLineChars="200"/>
        <w:jc w:val="right"/>
        <w:rPr>
          <w:rFonts w:ascii="Times New Roman" w:hAnsi="Times New Roman" w:cs="Times New Roman"/>
          <w:sz w:val="21"/>
          <w:szCs w:val="21"/>
        </w:rPr>
      </w:pPr>
      <w:r>
        <w:rPr>
          <w:rFonts w:ascii="Times New Roman" w:hAnsi="Times New Roman" w:cs="Times New Roman"/>
          <w:b/>
          <w:position w:val="-28"/>
          <w:sz w:val="21"/>
          <w:szCs w:val="21"/>
        </w:rPr>
        <w:object>
          <v:shape id="_x0000_i1044" o:spt="75" type="#_x0000_t75" style="height:29.4pt;width:96.6pt;" o:ole="t" filled="f" o:preferrelative="t" stroked="f" coordsize="21600,21600">
            <v:path/>
            <v:fill on="f" focussize="0,0"/>
            <v:stroke on="f" joinstyle="miter"/>
            <v:imagedata r:id="rId59" o:title=""/>
            <o:lock v:ext="edit" aspectratio="t"/>
            <w10:wrap type="none"/>
            <w10:anchorlock/>
          </v:shape>
          <o:OLEObject Type="Embed" ProgID="Equation.3" ShapeID="_x0000_i1044" DrawAspect="Content" ObjectID="_1468075744" r:id="rId58">
            <o:LockedField>false</o:LockedField>
          </o:OLEObject>
        </w:object>
      </w:r>
      <w:r>
        <w:rPr>
          <w:rFonts w:ascii="Times New Roman" w:hAnsi="Times New Roman" w:cs="Times New Roman"/>
          <w:sz w:val="21"/>
          <w:szCs w:val="21"/>
        </w:rPr>
        <w:t xml:space="preserve">                         （4.4.40-4）</w:t>
      </w:r>
    </w:p>
    <w:p w14:paraId="0AEE3E6B">
      <w:pPr>
        <w:spacing w:line="360" w:lineRule="auto"/>
        <w:rPr>
          <w:rFonts w:ascii="Times New Roman" w:hAnsi="Times New Roman" w:cs="Times New Roman"/>
          <w:sz w:val="21"/>
          <w:szCs w:val="24"/>
        </w:rPr>
      </w:pPr>
      <w:r>
        <w:rPr>
          <w:rFonts w:ascii="Times New Roman" w:hAnsi="Times New Roman" w:cs="Times New Roman"/>
          <w:sz w:val="21"/>
          <w:szCs w:val="24"/>
        </w:rPr>
        <w:t>式中：</w:t>
      </w:r>
      <w:r>
        <w:rPr>
          <w:rFonts w:ascii="Times New Roman" w:hAnsi="Times New Roman" w:cs="Times New Roman"/>
          <w:i/>
          <w:sz w:val="21"/>
          <w:szCs w:val="24"/>
        </w:rPr>
        <w:t>ν</w:t>
      </w:r>
      <w:r>
        <w:rPr>
          <w:rFonts w:ascii="Times New Roman" w:hAnsi="Times New Roman" w:cs="Times New Roman"/>
          <w:sz w:val="21"/>
          <w:szCs w:val="21"/>
        </w:rPr>
        <w:t>——</w:t>
      </w:r>
      <w:r>
        <w:rPr>
          <w:rFonts w:ascii="Times New Roman" w:hAnsi="Times New Roman" w:cs="Times New Roman"/>
          <w:sz w:val="21"/>
          <w:szCs w:val="24"/>
        </w:rPr>
        <w:t>鼻坎末端断面平均流速</w:t>
      </w:r>
      <w:r>
        <w:rPr>
          <w:rFonts w:ascii="Times New Roman" w:hAnsi="Times New Roman" w:cs="Times New Roman"/>
          <w:sz w:val="21"/>
          <w:szCs w:val="21"/>
        </w:rPr>
        <w:t>（</w:t>
      </w:r>
      <w:r>
        <w:rPr>
          <w:rFonts w:ascii="Times New Roman" w:hAnsi="Times New Roman" w:cs="Times New Roman"/>
          <w:sz w:val="21"/>
          <w:szCs w:val="24"/>
        </w:rPr>
        <w:t>m/s</w:t>
      </w:r>
      <w:r>
        <w:rPr>
          <w:rFonts w:ascii="Times New Roman" w:hAnsi="Times New Roman" w:cs="Times New Roman"/>
          <w:sz w:val="21"/>
          <w:szCs w:val="21"/>
        </w:rPr>
        <w:t>）</w:t>
      </w:r>
      <w:r>
        <w:rPr>
          <w:rFonts w:ascii="Times New Roman" w:hAnsi="Times New Roman" w:cs="Times New Roman"/>
          <w:sz w:val="21"/>
          <w:szCs w:val="24"/>
        </w:rPr>
        <w:t>；</w:t>
      </w:r>
    </w:p>
    <w:p w14:paraId="46A54B36">
      <w:pPr>
        <w:spacing w:line="360" w:lineRule="auto"/>
        <w:ind w:firstLine="630" w:firstLineChars="300"/>
        <w:rPr>
          <w:rFonts w:ascii="Times New Roman" w:hAnsi="Times New Roman" w:cs="Times New Roman"/>
          <w:sz w:val="21"/>
          <w:szCs w:val="24"/>
        </w:rPr>
      </w:pPr>
      <w:r>
        <w:rPr>
          <w:rFonts w:ascii="Times New Roman" w:hAnsi="Times New Roman" w:cs="Times New Roman"/>
          <w:i/>
          <w:sz w:val="21"/>
          <w:szCs w:val="24"/>
        </w:rPr>
        <w:t>q</w:t>
      </w:r>
      <w:r>
        <w:rPr>
          <w:rFonts w:ascii="Times New Roman" w:hAnsi="Times New Roman" w:cs="Times New Roman"/>
          <w:sz w:val="21"/>
          <w:szCs w:val="21"/>
        </w:rPr>
        <w:t>——</w:t>
      </w:r>
      <w:r>
        <w:rPr>
          <w:rFonts w:ascii="Times New Roman" w:hAnsi="Times New Roman" w:cs="Times New Roman"/>
          <w:sz w:val="21"/>
          <w:szCs w:val="24"/>
        </w:rPr>
        <w:t>泄槽单宽流量，[m</w:t>
      </w:r>
      <w:r>
        <w:rPr>
          <w:rFonts w:ascii="Times New Roman" w:hAnsi="Times New Roman" w:cs="Times New Roman"/>
          <w:sz w:val="21"/>
          <w:szCs w:val="24"/>
          <w:vertAlign w:val="superscript"/>
        </w:rPr>
        <w:t>3</w:t>
      </w:r>
      <w:r>
        <w:rPr>
          <w:rFonts w:ascii="Times New Roman" w:hAnsi="Times New Roman" w:cs="Times New Roman"/>
          <w:sz w:val="21"/>
          <w:szCs w:val="24"/>
        </w:rPr>
        <w:t>/</w:t>
      </w:r>
      <w:r>
        <w:rPr>
          <w:rFonts w:ascii="Times New Roman" w:hAnsi="Times New Roman" w:cs="Times New Roman"/>
          <w:sz w:val="21"/>
          <w:szCs w:val="21"/>
        </w:rPr>
        <w:t>（</w:t>
      </w:r>
      <w:r>
        <w:rPr>
          <w:rFonts w:ascii="Times New Roman" w:hAnsi="Times New Roman" w:cs="Times New Roman"/>
          <w:sz w:val="21"/>
          <w:szCs w:val="24"/>
        </w:rPr>
        <w:t>s·m</w:t>
      </w:r>
      <w:r>
        <w:rPr>
          <w:rFonts w:ascii="Times New Roman" w:hAnsi="Times New Roman" w:cs="Times New Roman"/>
          <w:sz w:val="21"/>
          <w:szCs w:val="21"/>
        </w:rPr>
        <w:t>）]</w:t>
      </w:r>
      <w:r>
        <w:rPr>
          <w:rFonts w:ascii="Times New Roman" w:hAnsi="Times New Roman" w:cs="Times New Roman"/>
          <w:sz w:val="21"/>
          <w:szCs w:val="24"/>
        </w:rPr>
        <w:t>；</w:t>
      </w:r>
    </w:p>
    <w:p w14:paraId="442EB3E9">
      <w:pPr>
        <w:spacing w:line="360" w:lineRule="auto"/>
        <w:ind w:firstLine="630" w:firstLineChars="300"/>
        <w:rPr>
          <w:rFonts w:ascii="Times New Roman" w:hAnsi="Times New Roman" w:cs="Times New Roman"/>
          <w:sz w:val="21"/>
          <w:szCs w:val="24"/>
        </w:rPr>
      </w:pPr>
      <w:r>
        <w:rPr>
          <w:rFonts w:ascii="Times New Roman" w:hAnsi="Times New Roman" w:cs="Times New Roman"/>
          <w:i/>
          <w:sz w:val="21"/>
          <w:szCs w:val="24"/>
        </w:rPr>
        <w:t>Φ</w:t>
      </w:r>
      <w:r>
        <w:rPr>
          <w:rFonts w:ascii="Times New Roman" w:hAnsi="Times New Roman" w:cs="Times New Roman"/>
          <w:sz w:val="21"/>
          <w:szCs w:val="21"/>
        </w:rPr>
        <w:t>——</w:t>
      </w:r>
      <w:r>
        <w:rPr>
          <w:rFonts w:ascii="Times New Roman" w:hAnsi="Times New Roman" w:cs="Times New Roman"/>
          <w:sz w:val="21"/>
          <w:szCs w:val="24"/>
        </w:rPr>
        <w:t>流速系数；</w:t>
      </w:r>
    </w:p>
    <w:p w14:paraId="18D481F9">
      <w:pPr>
        <w:spacing w:line="360" w:lineRule="auto"/>
        <w:ind w:firstLine="630" w:firstLineChars="300"/>
        <w:rPr>
          <w:rFonts w:ascii="Times New Roman" w:hAnsi="Times New Roman" w:cs="Times New Roman"/>
          <w:sz w:val="21"/>
          <w:szCs w:val="24"/>
        </w:rPr>
      </w:pPr>
      <w:r>
        <w:rPr>
          <w:rFonts w:ascii="Times New Roman" w:hAnsi="Times New Roman" w:cs="Times New Roman"/>
          <w:i/>
          <w:sz w:val="21"/>
          <w:szCs w:val="24"/>
        </w:rPr>
        <w:t>Z</w:t>
      </w:r>
      <w:r>
        <w:rPr>
          <w:rFonts w:ascii="Times New Roman" w:hAnsi="Times New Roman" w:cs="Times New Roman"/>
          <w:i/>
          <w:sz w:val="21"/>
          <w:szCs w:val="24"/>
          <w:vertAlign w:val="subscript"/>
        </w:rPr>
        <w:t>0</w:t>
      </w:r>
      <w:r>
        <w:rPr>
          <w:rFonts w:ascii="Times New Roman" w:hAnsi="Times New Roman" w:cs="Times New Roman"/>
          <w:sz w:val="21"/>
          <w:szCs w:val="21"/>
        </w:rPr>
        <w:t>——</w:t>
      </w:r>
      <w:r>
        <w:rPr>
          <w:rFonts w:ascii="Times New Roman" w:hAnsi="Times New Roman" w:cs="Times New Roman"/>
          <w:sz w:val="21"/>
          <w:szCs w:val="24"/>
        </w:rPr>
        <w:t>鼻坎末端断面水面以上的水头</w:t>
      </w:r>
      <w:r>
        <w:rPr>
          <w:rFonts w:ascii="Times New Roman" w:hAnsi="Times New Roman" w:cs="Times New Roman"/>
          <w:sz w:val="21"/>
          <w:szCs w:val="21"/>
        </w:rPr>
        <w:t>（</w:t>
      </w:r>
      <w:r>
        <w:rPr>
          <w:rFonts w:ascii="Times New Roman" w:hAnsi="Times New Roman" w:cs="Times New Roman"/>
          <w:sz w:val="21"/>
          <w:szCs w:val="24"/>
        </w:rPr>
        <w:t>m</w:t>
      </w:r>
      <w:r>
        <w:rPr>
          <w:rFonts w:ascii="Times New Roman" w:hAnsi="Times New Roman" w:cs="Times New Roman"/>
          <w:sz w:val="21"/>
          <w:szCs w:val="21"/>
        </w:rPr>
        <w:t>）</w:t>
      </w:r>
      <w:r>
        <w:rPr>
          <w:rFonts w:ascii="Times New Roman" w:hAnsi="Times New Roman" w:cs="Times New Roman"/>
          <w:sz w:val="21"/>
          <w:szCs w:val="24"/>
        </w:rPr>
        <w:t>；</w:t>
      </w:r>
    </w:p>
    <w:p w14:paraId="03CF41C1">
      <w:pPr>
        <w:spacing w:line="360" w:lineRule="auto"/>
        <w:ind w:firstLine="630" w:firstLineChars="300"/>
        <w:rPr>
          <w:rFonts w:ascii="Times New Roman" w:hAnsi="Times New Roman" w:cs="Times New Roman"/>
          <w:sz w:val="21"/>
          <w:szCs w:val="24"/>
        </w:rPr>
      </w:pPr>
      <w:r>
        <w:rPr>
          <w:rFonts w:ascii="Times New Roman" w:hAnsi="Times New Roman" w:cs="Times New Roman"/>
          <w:i/>
          <w:sz w:val="21"/>
          <w:szCs w:val="24"/>
        </w:rPr>
        <w:t>h</w:t>
      </w:r>
      <w:r>
        <w:rPr>
          <w:rFonts w:ascii="Times New Roman" w:hAnsi="Times New Roman" w:cs="Times New Roman"/>
          <w:i/>
          <w:sz w:val="21"/>
          <w:szCs w:val="24"/>
          <w:vertAlign w:val="subscript"/>
        </w:rPr>
        <w:t>f</w:t>
      </w:r>
      <w:r>
        <w:rPr>
          <w:rFonts w:ascii="Times New Roman" w:hAnsi="Times New Roman" w:cs="Times New Roman"/>
          <w:sz w:val="21"/>
          <w:szCs w:val="21"/>
        </w:rPr>
        <w:t>——</w:t>
      </w:r>
      <w:r>
        <w:rPr>
          <w:rFonts w:ascii="Times New Roman" w:hAnsi="Times New Roman" w:cs="Times New Roman"/>
          <w:sz w:val="21"/>
          <w:szCs w:val="24"/>
        </w:rPr>
        <w:t>泄槽沿程损失（m）；</w:t>
      </w:r>
    </w:p>
    <w:p w14:paraId="3F9C64AD">
      <w:pPr>
        <w:spacing w:line="360" w:lineRule="auto"/>
        <w:ind w:firstLine="630" w:firstLineChars="300"/>
        <w:rPr>
          <w:rFonts w:ascii="Times New Roman" w:hAnsi="Times New Roman" w:cs="Times New Roman"/>
          <w:sz w:val="21"/>
          <w:szCs w:val="24"/>
        </w:rPr>
      </w:pPr>
      <w:r>
        <w:rPr>
          <w:rFonts w:ascii="Times New Roman" w:hAnsi="Times New Roman" w:cs="Times New Roman"/>
          <w:i/>
          <w:sz w:val="21"/>
          <w:szCs w:val="24"/>
        </w:rPr>
        <w:t>h</w:t>
      </w:r>
      <w:r>
        <w:rPr>
          <w:rFonts w:ascii="Times New Roman" w:hAnsi="Times New Roman" w:cs="Times New Roman"/>
          <w:i/>
          <w:sz w:val="21"/>
          <w:szCs w:val="24"/>
          <w:vertAlign w:val="subscript"/>
        </w:rPr>
        <w:t>j</w:t>
      </w:r>
      <w:r>
        <w:rPr>
          <w:rFonts w:ascii="Times New Roman" w:hAnsi="Times New Roman" w:cs="Times New Roman"/>
          <w:sz w:val="21"/>
          <w:szCs w:val="21"/>
        </w:rPr>
        <w:t>——</w:t>
      </w:r>
      <w:r>
        <w:rPr>
          <w:rFonts w:ascii="Times New Roman" w:hAnsi="Times New Roman" w:cs="Times New Roman"/>
          <w:sz w:val="21"/>
          <w:szCs w:val="24"/>
        </w:rPr>
        <w:t xml:space="preserve">泄槽各局部损失水头之和（m）， </w:t>
      </w:r>
      <w:r>
        <w:rPr>
          <w:rFonts w:ascii="Times New Roman" w:hAnsi="Times New Roman" w:cs="Times New Roman"/>
          <w:i/>
          <w:sz w:val="21"/>
          <w:szCs w:val="24"/>
        </w:rPr>
        <w:t>h</w:t>
      </w:r>
      <w:r>
        <w:rPr>
          <w:rFonts w:ascii="Times New Roman" w:hAnsi="Times New Roman" w:cs="Times New Roman"/>
          <w:i/>
          <w:sz w:val="21"/>
          <w:szCs w:val="24"/>
          <w:vertAlign w:val="subscript"/>
        </w:rPr>
        <w:t>j</w:t>
      </w:r>
      <w:r>
        <w:rPr>
          <w:rFonts w:ascii="Times New Roman" w:hAnsi="Times New Roman" w:cs="Times New Roman"/>
          <w:i/>
          <w:sz w:val="21"/>
          <w:szCs w:val="24"/>
        </w:rPr>
        <w:t>/Z</w:t>
      </w:r>
      <w:r>
        <w:rPr>
          <w:rFonts w:ascii="Times New Roman" w:hAnsi="Times New Roman" w:cs="Times New Roman"/>
          <w:i/>
          <w:sz w:val="21"/>
          <w:szCs w:val="24"/>
          <w:vertAlign w:val="subscript"/>
        </w:rPr>
        <w:t xml:space="preserve"> 0</w:t>
      </w:r>
      <w:r>
        <w:rPr>
          <w:rFonts w:ascii="Times New Roman" w:hAnsi="Times New Roman" w:cs="Times New Roman"/>
          <w:sz w:val="21"/>
          <w:szCs w:val="24"/>
        </w:rPr>
        <w:t>可取0.05；</w:t>
      </w:r>
    </w:p>
    <w:p w14:paraId="4965016E">
      <w:pPr>
        <w:spacing w:line="360" w:lineRule="auto"/>
        <w:ind w:firstLine="630" w:firstLineChars="300"/>
        <w:rPr>
          <w:rFonts w:ascii="Times New Roman" w:hAnsi="Times New Roman" w:cs="Times New Roman"/>
          <w:sz w:val="21"/>
          <w:szCs w:val="24"/>
        </w:rPr>
      </w:pPr>
      <w:r>
        <w:rPr>
          <w:rFonts w:ascii="Times New Roman" w:hAnsi="Times New Roman" w:cs="Times New Roman"/>
          <w:i/>
          <w:sz w:val="21"/>
          <w:szCs w:val="24"/>
        </w:rPr>
        <w:t>S</w:t>
      </w:r>
      <w:r>
        <w:rPr>
          <w:rFonts w:ascii="Times New Roman" w:hAnsi="Times New Roman" w:cs="Times New Roman"/>
          <w:sz w:val="21"/>
          <w:szCs w:val="21"/>
        </w:rPr>
        <w:t>——</w:t>
      </w:r>
      <w:r>
        <w:rPr>
          <w:rFonts w:ascii="Times New Roman" w:hAnsi="Times New Roman" w:cs="Times New Roman"/>
          <w:sz w:val="21"/>
          <w:szCs w:val="24"/>
        </w:rPr>
        <w:t>泄槽流程长度（m）。</w:t>
      </w:r>
    </w:p>
    <w:p w14:paraId="5D61E4DB">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按推算水面线方法计算，鼻坎末端水深可近似利用泄槽末端断面水深，按推算泄槽段水面线方法求出；单宽流量除以该水深，可得鼻坎断面平均流速。</w:t>
      </w:r>
    </w:p>
    <w:p w14:paraId="50CEC586">
      <w:pPr>
        <w:spacing w:line="360" w:lineRule="auto"/>
        <w:ind w:firstLine="420" w:firstLineChars="200"/>
        <w:rPr>
          <w:rFonts w:ascii="Times New Roman" w:hAnsi="Times New Roman" w:cs="Times New Roman"/>
          <w:sz w:val="21"/>
          <w:szCs w:val="24"/>
        </w:rPr>
      </w:pPr>
      <w:r>
        <w:rPr>
          <w:rFonts w:ascii="Times New Roman" w:hAnsi="Times New Roman" w:cs="Times New Roman"/>
          <w:sz w:val="21"/>
          <w:szCs w:val="24"/>
        </w:rPr>
        <w:t xml:space="preserve">冲刷坑深度可按下式计算： </w:t>
      </w:r>
    </w:p>
    <w:p w14:paraId="0D323EBF">
      <w:pPr>
        <w:snapToGrid w:val="0"/>
        <w:spacing w:line="360" w:lineRule="auto"/>
        <w:ind w:firstLine="420" w:firstLineChars="200"/>
        <w:jc w:val="right"/>
        <w:rPr>
          <w:rFonts w:ascii="Times New Roman" w:hAnsi="Times New Roman" w:cs="Times New Roman"/>
          <w:sz w:val="21"/>
          <w:szCs w:val="24"/>
        </w:rPr>
      </w:pPr>
      <w:r>
        <w:rPr>
          <w:rFonts w:ascii="Times New Roman" w:hAnsi="Times New Roman" w:cs="Times New Roman"/>
          <w:i/>
          <w:sz w:val="21"/>
          <w:szCs w:val="24"/>
        </w:rPr>
        <w:t>T</w:t>
      </w:r>
      <w:r>
        <w:rPr>
          <w:rFonts w:ascii="Times New Roman" w:hAnsi="Times New Roman" w:cs="Times New Roman"/>
          <w:sz w:val="21"/>
          <w:szCs w:val="24"/>
        </w:rPr>
        <w:t>=</w:t>
      </w:r>
      <w:r>
        <w:rPr>
          <w:rFonts w:ascii="Times New Roman" w:hAnsi="Times New Roman" w:cs="Times New Roman"/>
          <w:i/>
          <w:sz w:val="21"/>
          <w:szCs w:val="24"/>
        </w:rPr>
        <w:t>kq</w:t>
      </w:r>
      <w:r>
        <w:rPr>
          <w:rFonts w:ascii="Times New Roman" w:hAnsi="Times New Roman" w:cs="Times New Roman"/>
          <w:sz w:val="21"/>
          <w:szCs w:val="24"/>
          <w:vertAlign w:val="superscript"/>
        </w:rPr>
        <w:t>1/2</w:t>
      </w:r>
      <w:r>
        <w:rPr>
          <w:rFonts w:ascii="Times New Roman" w:hAnsi="Times New Roman" w:cs="Times New Roman"/>
          <w:i/>
          <w:sz w:val="21"/>
          <w:szCs w:val="24"/>
        </w:rPr>
        <w:t>Z</w:t>
      </w:r>
      <w:r>
        <w:rPr>
          <w:rFonts w:ascii="Times New Roman" w:hAnsi="Times New Roman" w:cs="Times New Roman"/>
          <w:sz w:val="21"/>
          <w:szCs w:val="24"/>
          <w:vertAlign w:val="superscript"/>
        </w:rPr>
        <w:t xml:space="preserve">1/4    </w:t>
      </w:r>
      <w:r>
        <w:rPr>
          <w:rFonts w:ascii="Times New Roman" w:hAnsi="Times New Roman" w:cs="Times New Roman"/>
          <w:i/>
          <w:sz w:val="21"/>
          <w:szCs w:val="24"/>
          <w:vertAlign w:val="superscript"/>
        </w:rPr>
        <w:t xml:space="preserve">                                             </w:t>
      </w:r>
      <w:r>
        <w:rPr>
          <w:rFonts w:ascii="Times New Roman" w:hAnsi="Times New Roman" w:cs="Times New Roman"/>
          <w:sz w:val="21"/>
          <w:szCs w:val="24"/>
        </w:rPr>
        <w:t>（4.4.40-5）</w:t>
      </w:r>
    </w:p>
    <w:p w14:paraId="01803DA5">
      <w:pPr>
        <w:spacing w:line="360" w:lineRule="auto"/>
        <w:rPr>
          <w:rFonts w:ascii="Times New Roman" w:hAnsi="Times New Roman" w:cs="Times New Roman"/>
          <w:sz w:val="21"/>
          <w:szCs w:val="24"/>
        </w:rPr>
      </w:pPr>
      <w:r>
        <w:rPr>
          <w:rFonts w:ascii="Times New Roman" w:hAnsi="Times New Roman" w:cs="Times New Roman"/>
          <w:sz w:val="21"/>
          <w:szCs w:val="24"/>
        </w:rPr>
        <w:t>式中：</w:t>
      </w:r>
      <w:r>
        <w:rPr>
          <w:rFonts w:ascii="Times New Roman" w:hAnsi="Times New Roman" w:cs="Times New Roman"/>
          <w:i/>
          <w:sz w:val="21"/>
          <w:szCs w:val="24"/>
        </w:rPr>
        <w:t>T</w:t>
      </w:r>
      <w:r>
        <w:rPr>
          <w:rFonts w:ascii="Times New Roman" w:hAnsi="Times New Roman" w:cs="Times New Roman"/>
          <w:sz w:val="21"/>
          <w:szCs w:val="21"/>
        </w:rPr>
        <w:t>——</w:t>
      </w:r>
      <w:r>
        <w:rPr>
          <w:rFonts w:ascii="Times New Roman" w:hAnsi="Times New Roman" w:cs="Times New Roman"/>
          <w:sz w:val="21"/>
          <w:szCs w:val="24"/>
        </w:rPr>
        <w:t>自下游水面至坑底最大水垫深度（m）；</w:t>
      </w:r>
    </w:p>
    <w:p w14:paraId="0CF594FF">
      <w:pPr>
        <w:spacing w:line="360" w:lineRule="auto"/>
        <w:ind w:firstLine="630" w:firstLineChars="300"/>
        <w:rPr>
          <w:rFonts w:ascii="Times New Roman" w:hAnsi="Times New Roman" w:cs="Times New Roman"/>
          <w:sz w:val="21"/>
          <w:szCs w:val="24"/>
        </w:rPr>
      </w:pPr>
      <w:r>
        <w:rPr>
          <w:rFonts w:ascii="Times New Roman" w:hAnsi="Times New Roman" w:cs="Times New Roman"/>
          <w:i/>
          <w:sz w:val="21"/>
          <w:szCs w:val="24"/>
        </w:rPr>
        <w:t>k</w:t>
      </w:r>
      <w:r>
        <w:rPr>
          <w:rFonts w:ascii="Times New Roman" w:hAnsi="Times New Roman" w:cs="Times New Roman"/>
          <w:sz w:val="21"/>
          <w:szCs w:val="21"/>
        </w:rPr>
        <w:t>——</w:t>
      </w:r>
      <w:r>
        <w:rPr>
          <w:rFonts w:ascii="Times New Roman" w:hAnsi="Times New Roman" w:cs="Times New Roman"/>
          <w:sz w:val="21"/>
          <w:szCs w:val="24"/>
        </w:rPr>
        <w:t>综合冲刷系数；</w:t>
      </w:r>
    </w:p>
    <w:p w14:paraId="7CCD29D9">
      <w:pPr>
        <w:spacing w:line="360" w:lineRule="auto"/>
        <w:ind w:firstLine="630" w:firstLineChars="300"/>
        <w:rPr>
          <w:rFonts w:ascii="Times New Roman" w:hAnsi="Times New Roman" w:cs="Times New Roman"/>
          <w:sz w:val="21"/>
          <w:szCs w:val="24"/>
        </w:rPr>
      </w:pPr>
      <w:r>
        <w:rPr>
          <w:rFonts w:ascii="Times New Roman" w:hAnsi="Times New Roman" w:cs="Times New Roman"/>
          <w:i/>
          <w:sz w:val="21"/>
          <w:szCs w:val="24"/>
        </w:rPr>
        <w:t>q</w:t>
      </w:r>
      <w:r>
        <w:rPr>
          <w:rFonts w:ascii="Times New Roman" w:hAnsi="Times New Roman" w:cs="Times New Roman"/>
          <w:sz w:val="21"/>
          <w:szCs w:val="21"/>
        </w:rPr>
        <w:t>——</w:t>
      </w:r>
      <w:r>
        <w:rPr>
          <w:rFonts w:ascii="Times New Roman" w:hAnsi="Times New Roman" w:cs="Times New Roman"/>
          <w:sz w:val="21"/>
          <w:szCs w:val="24"/>
        </w:rPr>
        <w:t>鼻坎末端断面单宽流量，</w:t>
      </w:r>
      <w:r>
        <w:rPr>
          <w:rFonts w:hint="eastAsia" w:ascii="Times New Roman" w:hAnsi="Times New Roman" w:cs="Times New Roman"/>
          <w:sz w:val="21"/>
          <w:szCs w:val="24"/>
        </w:rPr>
        <w:t>[</w:t>
      </w:r>
      <w:r>
        <w:rPr>
          <w:rFonts w:ascii="Times New Roman" w:hAnsi="Times New Roman" w:cs="Times New Roman"/>
          <w:sz w:val="21"/>
          <w:szCs w:val="24"/>
        </w:rPr>
        <w:t>m</w:t>
      </w:r>
      <w:r>
        <w:rPr>
          <w:rFonts w:ascii="Times New Roman" w:hAnsi="Times New Roman" w:cs="Times New Roman"/>
          <w:sz w:val="21"/>
          <w:szCs w:val="24"/>
          <w:vertAlign w:val="superscript"/>
        </w:rPr>
        <w:t>3</w:t>
      </w:r>
      <w:r>
        <w:rPr>
          <w:rFonts w:ascii="Times New Roman" w:hAnsi="Times New Roman" w:cs="Times New Roman"/>
          <w:sz w:val="21"/>
          <w:szCs w:val="24"/>
        </w:rPr>
        <w:t>/(s·m)</w:t>
      </w:r>
      <w:r>
        <w:rPr>
          <w:rFonts w:hint="eastAsia" w:ascii="Times New Roman" w:hAnsi="Times New Roman" w:cs="Times New Roman"/>
          <w:sz w:val="21"/>
          <w:szCs w:val="24"/>
        </w:rPr>
        <w:t>]</w:t>
      </w:r>
      <w:r>
        <w:rPr>
          <w:rFonts w:ascii="Times New Roman" w:hAnsi="Times New Roman" w:cs="Times New Roman"/>
          <w:sz w:val="21"/>
          <w:szCs w:val="24"/>
        </w:rPr>
        <w:t>；</w:t>
      </w:r>
    </w:p>
    <w:p w14:paraId="27191CE4">
      <w:pPr>
        <w:spacing w:line="360" w:lineRule="auto"/>
        <w:ind w:firstLine="630" w:firstLineChars="300"/>
        <w:rPr>
          <w:rFonts w:ascii="Times New Roman" w:hAnsi="Times New Roman" w:cs="Times New Roman"/>
          <w:sz w:val="21"/>
          <w:szCs w:val="24"/>
        </w:rPr>
      </w:pPr>
      <w:r>
        <w:rPr>
          <w:rFonts w:ascii="Times New Roman" w:hAnsi="Times New Roman" w:cs="Times New Roman"/>
          <w:i/>
          <w:sz w:val="21"/>
          <w:szCs w:val="24"/>
        </w:rPr>
        <w:t>Z</w:t>
      </w:r>
      <w:r>
        <w:rPr>
          <w:rFonts w:ascii="Times New Roman" w:hAnsi="Times New Roman" w:cs="Times New Roman"/>
          <w:sz w:val="21"/>
          <w:szCs w:val="21"/>
        </w:rPr>
        <w:t>——</w:t>
      </w:r>
      <w:r>
        <w:rPr>
          <w:rFonts w:ascii="Times New Roman" w:hAnsi="Times New Roman" w:cs="Times New Roman"/>
          <w:sz w:val="21"/>
          <w:szCs w:val="24"/>
        </w:rPr>
        <w:t>上、下游水位差</w:t>
      </w:r>
      <w:r>
        <w:rPr>
          <w:rFonts w:hint="eastAsia" w:ascii="Times New Roman" w:hAnsi="Times New Roman" w:cs="Times New Roman"/>
          <w:sz w:val="21"/>
          <w:szCs w:val="24"/>
        </w:rPr>
        <w:t>（</w:t>
      </w:r>
      <w:r>
        <w:rPr>
          <w:rFonts w:ascii="Times New Roman" w:hAnsi="Times New Roman" w:cs="Times New Roman"/>
          <w:sz w:val="21"/>
          <w:szCs w:val="24"/>
        </w:rPr>
        <w:t>m</w:t>
      </w:r>
      <w:r>
        <w:rPr>
          <w:rFonts w:hint="eastAsia" w:ascii="宋体" w:hAnsi="宋体"/>
          <w:sz w:val="21"/>
          <w:szCs w:val="24"/>
        </w:rPr>
        <w:t>）</w:t>
      </w:r>
      <w:r>
        <w:rPr>
          <w:rFonts w:ascii="Times New Roman" w:hAnsi="Times New Roman" w:cs="Times New Roman"/>
          <w:sz w:val="21"/>
          <w:szCs w:val="24"/>
        </w:rPr>
        <w:t>。</w:t>
      </w:r>
    </w:p>
    <w:p w14:paraId="346F16CA">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对超过消能防冲设计标准的洪水，允许消能防冲建筑物出现部分破坏，但不应危及坝体及其它主要建筑物的安全，且易于修复，不得长期影响枢纽运行。</w:t>
      </w:r>
    </w:p>
    <w:p w14:paraId="1F0EDF7E">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小型淤地坝溢洪道设计可按本标准第4.4.32~4.4.41条的规定执行。</w:t>
      </w:r>
    </w:p>
    <w:p w14:paraId="6F14FE1B">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Ⅴ 放水建筑物设计</w:t>
      </w:r>
    </w:p>
    <w:p w14:paraId="150133B8">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43</w:t>
      </w:r>
      <w:r>
        <w:rPr>
          <w:rFonts w:ascii="Times New Roman" w:hAnsi="Times New Roman" w:cs="Times New Roman"/>
          <w:b/>
          <w:sz w:val="21"/>
          <w:szCs w:val="24"/>
        </w:rPr>
        <w:t xml:space="preserve"> </w:t>
      </w:r>
      <w:r>
        <w:rPr>
          <w:rFonts w:ascii="Times New Roman" w:hAnsi="Times New Roman" w:cs="Times New Roman"/>
          <w:sz w:val="21"/>
          <w:szCs w:val="24"/>
        </w:rPr>
        <w:t xml:space="preserve"> 放水建筑物型式可采用卧管式或竖井式，主要构筑物应包括卧管或竖井、涵洞和消能设施。</w:t>
      </w:r>
    </w:p>
    <w:p w14:paraId="0DF62E42">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44</w:t>
      </w:r>
      <w:r>
        <w:rPr>
          <w:rFonts w:ascii="Times New Roman" w:hAnsi="Times New Roman" w:cs="Times New Roman"/>
          <w:b/>
          <w:sz w:val="21"/>
          <w:szCs w:val="24"/>
        </w:rPr>
        <w:t xml:space="preserve">  </w:t>
      </w:r>
      <w:r>
        <w:rPr>
          <w:rFonts w:ascii="Times New Roman" w:hAnsi="Times New Roman" w:cs="Times New Roman"/>
          <w:sz w:val="21"/>
          <w:szCs w:val="24"/>
        </w:rPr>
        <w:t>卧管式放水工程（图4.4.44）应包括平进水和侧进水两种形式。</w:t>
      </w:r>
    </w:p>
    <w:p w14:paraId="12C7EF3A">
      <w:pPr>
        <w:jc w:val="center"/>
        <w:rPr>
          <w:rFonts w:ascii="Times New Roman" w:hAnsi="Times New Roman" w:cs="Times New Roman"/>
          <w:sz w:val="24"/>
          <w:szCs w:val="24"/>
        </w:rPr>
      </w:pPr>
      <w:r>
        <w:rPr>
          <w:rFonts w:ascii="Times New Roman" w:hAnsi="Times New Roman" w:cs="Times New Roman"/>
          <w:b/>
          <w:sz w:val="24"/>
          <w:szCs w:val="24"/>
        </w:rPr>
        <w:drawing>
          <wp:inline distT="0" distB="0" distL="114300" distR="114300">
            <wp:extent cx="3093085" cy="1943100"/>
            <wp:effectExtent l="0" t="0" r="635" b="7620"/>
            <wp:docPr id="1359084499" name="图片 96" descr="413f6c4c642f726535e41ee885bd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084499" name="图片 96" descr="413f6c4c642f726535e41ee885bd0da"/>
                    <pic:cNvPicPr>
                      <a:picLocks noChangeAspect="1"/>
                    </pic:cNvPicPr>
                  </pic:nvPicPr>
                  <pic:blipFill>
                    <a:blip r:embed="rId60"/>
                    <a:stretch>
                      <a:fillRect/>
                    </a:stretch>
                  </pic:blipFill>
                  <pic:spPr>
                    <a:xfrm>
                      <a:off x="0" y="0"/>
                      <a:ext cx="3093085" cy="1943100"/>
                    </a:xfrm>
                    <a:prstGeom prst="rect">
                      <a:avLst/>
                    </a:prstGeom>
                    <a:noFill/>
                    <a:ln>
                      <a:noFill/>
                    </a:ln>
                  </pic:spPr>
                </pic:pic>
              </a:graphicData>
            </a:graphic>
          </wp:inline>
        </w:drawing>
      </w:r>
    </w:p>
    <w:p w14:paraId="7ADC8175">
      <w:pPr>
        <w:jc w:val="center"/>
        <w:rPr>
          <w:rFonts w:ascii="Times New Roman" w:hAnsi="Times New Roman" w:eastAsia="黑体" w:cs="Times New Roman"/>
          <w:bCs/>
          <w:sz w:val="18"/>
          <w:szCs w:val="18"/>
        </w:rPr>
      </w:pPr>
      <w:r>
        <w:rPr>
          <w:rFonts w:ascii="Times New Roman" w:hAnsi="Times New Roman" w:eastAsia="黑体" w:cs="Times New Roman"/>
          <w:bCs/>
          <w:sz w:val="18"/>
          <w:szCs w:val="18"/>
        </w:rPr>
        <w:t>图4</w:t>
      </w:r>
      <w:r>
        <w:rPr>
          <w:rFonts w:ascii="Times New Roman" w:hAnsi="Times New Roman" w:cs="Times New Roman"/>
          <w:bCs/>
          <w:sz w:val="18"/>
          <w:szCs w:val="18"/>
        </w:rPr>
        <w:t>.</w:t>
      </w:r>
      <w:r>
        <w:rPr>
          <w:rFonts w:ascii="Times New Roman" w:hAnsi="Times New Roman" w:eastAsia="黑体" w:cs="Times New Roman"/>
          <w:bCs/>
          <w:sz w:val="18"/>
          <w:szCs w:val="18"/>
        </w:rPr>
        <w:t>4</w:t>
      </w:r>
      <w:r>
        <w:rPr>
          <w:rFonts w:ascii="Times New Roman" w:hAnsi="Times New Roman" w:cs="Times New Roman"/>
          <w:bCs/>
          <w:sz w:val="18"/>
          <w:szCs w:val="18"/>
        </w:rPr>
        <w:t>.</w:t>
      </w:r>
      <w:r>
        <w:rPr>
          <w:rFonts w:ascii="Times New Roman" w:hAnsi="Times New Roman" w:eastAsia="黑体" w:cs="Times New Roman"/>
          <w:bCs/>
          <w:sz w:val="18"/>
          <w:szCs w:val="18"/>
        </w:rPr>
        <w:t>44  卧管示意图</w:t>
      </w:r>
    </w:p>
    <w:p w14:paraId="7C2B283B">
      <w:pPr>
        <w:jc w:val="center"/>
        <w:rPr>
          <w:rFonts w:ascii="Times New Roman" w:hAnsi="Times New Roman" w:cs="Times New Roman"/>
          <w:sz w:val="15"/>
          <w:szCs w:val="15"/>
        </w:rPr>
      </w:pPr>
      <w:r>
        <w:rPr>
          <w:rFonts w:ascii="Times New Roman" w:hAnsi="Times New Roman" w:cs="Times New Roman"/>
          <w:sz w:val="15"/>
          <w:szCs w:val="15"/>
        </w:rPr>
        <w:t>①通气孔 ②放水孔 ③涵洞 ④消力池 ⑤池深 ⑥池长 ⑦池宽</w:t>
      </w:r>
    </w:p>
    <w:p w14:paraId="3268B2B3">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45</w:t>
      </w:r>
      <w:r>
        <w:rPr>
          <w:rFonts w:ascii="Times New Roman" w:hAnsi="Times New Roman" w:cs="Times New Roman"/>
          <w:sz w:val="21"/>
          <w:szCs w:val="24"/>
        </w:rPr>
        <w:t xml:space="preserve">  卧管应布置在坝上游岸坡，不宜与溢洪道同侧。卧管底坡宜取不陡于1:2.0，卧管底板每隔5m～8m应设置齿墙，并应根据地基变化情况适地设置沉陷缝，采用浆砌石或混凝土砌筑成台阶，台阶高差应为0.3m～0.5m，每台设一个或两个放水孔，卧管与涵洞连接处应设置消力池。卧管放水流量可按4d～7d泄完设计频率洪水重现期洪水总量或者3d～5d泄完10年一遇洪水总量。</w:t>
      </w:r>
    </w:p>
    <w:p w14:paraId="1BF683FA">
      <w:pPr>
        <w:adjustRightInd w:val="0"/>
        <w:spacing w:line="360" w:lineRule="auto"/>
        <w:ind w:firstLine="420" w:firstLineChars="200"/>
        <w:rPr>
          <w:rFonts w:ascii="Times New Roman" w:hAnsi="Times New Roman" w:cs="Times New Roman"/>
          <w:sz w:val="21"/>
          <w:szCs w:val="24"/>
        </w:rPr>
      </w:pPr>
      <w:r>
        <w:rPr>
          <w:rFonts w:ascii="Times New Roman" w:hAnsi="Times New Roman" w:cs="Times New Roman"/>
          <w:sz w:val="21"/>
          <w:szCs w:val="24"/>
        </w:rPr>
        <w:t>卧管放水孔直径可按下列公式计算：</w:t>
      </w:r>
    </w:p>
    <w:p w14:paraId="534F280B">
      <w:pPr>
        <w:adjustRightInd w:val="0"/>
        <w:snapToGrid w:val="0"/>
        <w:spacing w:line="360" w:lineRule="auto"/>
        <w:ind w:right="-76" w:rightChars="-27" w:firstLine="1033" w:firstLineChars="492"/>
        <w:rPr>
          <w:rFonts w:ascii="Times New Roman" w:hAnsi="Times New Roman" w:cs="Times New Roman"/>
          <w:sz w:val="21"/>
          <w:szCs w:val="21"/>
        </w:rPr>
      </w:pPr>
      <w:r>
        <w:rPr>
          <w:rFonts w:ascii="Times New Roman" w:hAnsi="Times New Roman" w:cs="Times New Roman"/>
          <w:sz w:val="21"/>
          <w:szCs w:val="21"/>
        </w:rPr>
        <w:t xml:space="preserve">开启一级孔：     </w:t>
      </w:r>
      <w:r>
        <w:rPr>
          <w:rFonts w:ascii="Times New Roman" w:hAnsi="Times New Roman" w:cs="Times New Roman"/>
          <w:b/>
          <w:position w:val="-6"/>
          <w:sz w:val="21"/>
          <w:szCs w:val="21"/>
        </w:rPr>
        <w:object>
          <v:shape id="_x0000_i1045" o:spt="75" type="#_x0000_t75" style="height:26.4pt;width:65.45pt;" o:ole="t" filled="f" o:preferrelative="t" stroked="f" coordsize="21600,21600">
            <v:path/>
            <v:fill on="f" focussize="0,0"/>
            <v:stroke on="f" joinstyle="miter"/>
            <v:imagedata r:id="rId62" o:title=""/>
            <o:lock v:ext="edit" aspectratio="t"/>
            <w10:wrap type="none"/>
            <w10:anchorlock/>
          </v:shape>
          <o:OLEObject Type="Embed" ProgID="Equation.3" ShapeID="_x0000_i1045" DrawAspect="Content" ObjectID="_1468075745" r:id="rId61">
            <o:LockedField>false</o:LockedField>
          </o:OLEObject>
        </w:object>
      </w:r>
      <w:r>
        <w:rPr>
          <w:rFonts w:ascii="Times New Roman" w:hAnsi="Times New Roman" w:cs="Times New Roman"/>
          <w:sz w:val="21"/>
          <w:szCs w:val="21"/>
        </w:rPr>
        <w:t xml:space="preserve">                                （4.4.45-1）</w:t>
      </w:r>
    </w:p>
    <w:p w14:paraId="0E2344A1">
      <w:pPr>
        <w:adjustRightInd w:val="0"/>
        <w:snapToGrid w:val="0"/>
        <w:spacing w:line="360" w:lineRule="auto"/>
        <w:ind w:right="-76" w:rightChars="-27" w:firstLine="823" w:firstLineChars="392"/>
        <w:rPr>
          <w:rFonts w:ascii="Times New Roman" w:hAnsi="Times New Roman" w:cs="Times New Roman"/>
          <w:sz w:val="21"/>
          <w:szCs w:val="21"/>
        </w:rPr>
      </w:pPr>
      <w:r>
        <w:rPr>
          <w:rFonts w:ascii="Times New Roman" w:hAnsi="Times New Roman" w:cs="Times New Roman"/>
          <w:sz w:val="21"/>
          <w:szCs w:val="21"/>
        </w:rPr>
        <w:t xml:space="preserve">同时开启二级孔：   </w:t>
      </w:r>
      <w:r>
        <w:rPr>
          <w:rFonts w:ascii="Times New Roman" w:hAnsi="Times New Roman" w:cs="Times New Roman"/>
          <w:b/>
          <w:position w:val="-6"/>
          <w:sz w:val="21"/>
          <w:szCs w:val="21"/>
        </w:rPr>
        <w:object>
          <v:shape id="_x0000_i1046" o:spt="75" type="#_x0000_t75" style="height:29.4pt;width:95.35pt;" o:ole="t" filled="f" o:preferrelative="t" stroked="f" coordsize="21600,21600">
            <v:path/>
            <v:fill on="f" focussize="0,0"/>
            <v:stroke on="f" joinstyle="miter"/>
            <v:imagedata r:id="rId64" o:title=""/>
            <o:lock v:ext="edit" aspectratio="t"/>
            <w10:wrap type="none"/>
            <w10:anchorlock/>
          </v:shape>
          <o:OLEObject Type="Embed" ProgID="Equation.3" ShapeID="_x0000_i1046" DrawAspect="Content" ObjectID="_1468075746" r:id="rId63">
            <o:LockedField>false</o:LockedField>
          </o:OLEObject>
        </w:object>
      </w:r>
      <w:r>
        <w:rPr>
          <w:rFonts w:ascii="Times New Roman" w:hAnsi="Times New Roman" w:cs="Times New Roman"/>
          <w:sz w:val="21"/>
          <w:szCs w:val="21"/>
        </w:rPr>
        <w:t xml:space="preserve">                         （4.4.45-2）</w:t>
      </w:r>
    </w:p>
    <w:p w14:paraId="4DCB4BBC">
      <w:pPr>
        <w:adjustRightInd w:val="0"/>
        <w:snapToGrid w:val="0"/>
        <w:spacing w:line="360" w:lineRule="auto"/>
        <w:ind w:right="-263" w:rightChars="-94" w:firstLine="823" w:firstLineChars="392"/>
        <w:rPr>
          <w:rFonts w:ascii="Times New Roman" w:hAnsi="Times New Roman" w:cs="Times New Roman"/>
          <w:sz w:val="21"/>
          <w:szCs w:val="21"/>
        </w:rPr>
      </w:pPr>
      <w:r>
        <w:rPr>
          <w:rFonts w:ascii="Times New Roman" w:hAnsi="Times New Roman" w:cs="Times New Roman"/>
          <w:sz w:val="21"/>
          <w:szCs w:val="21"/>
        </w:rPr>
        <w:t xml:space="preserve">同时开启三级孔：  </w:t>
      </w:r>
      <w:r>
        <w:rPr>
          <w:rFonts w:ascii="Times New Roman" w:hAnsi="Times New Roman" w:cs="Times New Roman"/>
          <w:b/>
          <w:position w:val="-6"/>
          <w:sz w:val="21"/>
          <w:szCs w:val="21"/>
        </w:rPr>
        <w:object>
          <v:shape id="_x0000_i1047" o:spt="75" type="#_x0000_t75" style="height:27.6pt;width:111.55pt;" o:ole="t" filled="f" o:preferrelative="t" stroked="f" coordsize="21600,21600">
            <v:path/>
            <v:fill on="f" focussize="0,0"/>
            <v:stroke on="f" joinstyle="miter"/>
            <v:imagedata r:id="rId66" o:title=""/>
            <o:lock v:ext="edit" aspectratio="t"/>
            <w10:wrap type="none"/>
            <w10:anchorlock/>
          </v:shape>
          <o:OLEObject Type="Embed" ProgID="Equation.3" ShapeID="_x0000_i1047" DrawAspect="Content" ObjectID="_1468075747" r:id="rId65">
            <o:LockedField>false</o:LockedField>
          </o:OLEObject>
        </w:object>
      </w:r>
      <w:r>
        <w:rPr>
          <w:rFonts w:ascii="Times New Roman" w:hAnsi="Times New Roman" w:cs="Times New Roman"/>
          <w:sz w:val="21"/>
          <w:szCs w:val="21"/>
        </w:rPr>
        <w:t xml:space="preserve">                       （4.4.45-3）</w:t>
      </w:r>
    </w:p>
    <w:p w14:paraId="725E2F58">
      <w:pPr>
        <w:adjustRightInd w:val="0"/>
        <w:spacing w:line="360" w:lineRule="auto"/>
        <w:rPr>
          <w:rFonts w:ascii="Times New Roman" w:hAnsi="Times New Roman" w:cs="Times New Roman"/>
          <w:sz w:val="21"/>
          <w:szCs w:val="24"/>
        </w:rPr>
      </w:pPr>
      <w:r>
        <w:rPr>
          <w:rFonts w:ascii="Times New Roman" w:hAnsi="Times New Roman" w:cs="Times New Roman"/>
          <w:sz w:val="21"/>
          <w:szCs w:val="24"/>
        </w:rPr>
        <w:t>式中：d</w:t>
      </w:r>
      <w:r>
        <w:rPr>
          <w:rFonts w:ascii="Times New Roman" w:hAnsi="Times New Roman" w:cs="Times New Roman"/>
          <w:sz w:val="21"/>
          <w:szCs w:val="21"/>
        </w:rPr>
        <w:t>——</w:t>
      </w:r>
      <w:r>
        <w:rPr>
          <w:rFonts w:ascii="Times New Roman" w:hAnsi="Times New Roman" w:cs="Times New Roman"/>
          <w:sz w:val="21"/>
          <w:szCs w:val="24"/>
        </w:rPr>
        <w:t>放水孔直径（m）；</w:t>
      </w:r>
    </w:p>
    <w:p w14:paraId="6504F3FF">
      <w:pPr>
        <w:adjustRightInd w:val="0"/>
        <w:spacing w:line="360" w:lineRule="auto"/>
        <w:ind w:firstLine="630" w:firstLineChars="300"/>
        <w:rPr>
          <w:rFonts w:ascii="Times New Roman" w:hAnsi="Times New Roman" w:cs="Times New Roman"/>
          <w:sz w:val="21"/>
          <w:szCs w:val="24"/>
        </w:rPr>
      </w:pPr>
      <w:r>
        <w:rPr>
          <w:rFonts w:ascii="Times New Roman" w:hAnsi="Times New Roman" w:cs="Times New Roman"/>
          <w:i/>
          <w:sz w:val="21"/>
          <w:szCs w:val="24"/>
        </w:rPr>
        <w:t>Q</w:t>
      </w:r>
      <w:r>
        <w:rPr>
          <w:rFonts w:ascii="Times New Roman" w:hAnsi="Times New Roman" w:cs="Times New Roman"/>
          <w:sz w:val="21"/>
          <w:szCs w:val="21"/>
        </w:rPr>
        <w:t>——</w:t>
      </w:r>
      <w:r>
        <w:rPr>
          <w:rFonts w:ascii="Times New Roman" w:hAnsi="Times New Roman" w:cs="Times New Roman"/>
          <w:sz w:val="21"/>
          <w:szCs w:val="24"/>
        </w:rPr>
        <w:t>放水流量（m</w:t>
      </w:r>
      <w:r>
        <w:rPr>
          <w:rFonts w:ascii="Times New Roman" w:hAnsi="Times New Roman" w:cs="Times New Roman"/>
          <w:sz w:val="21"/>
          <w:szCs w:val="24"/>
          <w:vertAlign w:val="superscript"/>
        </w:rPr>
        <w:t>3</w:t>
      </w:r>
      <w:r>
        <w:rPr>
          <w:rFonts w:ascii="Times New Roman" w:hAnsi="Times New Roman" w:cs="Times New Roman"/>
          <w:sz w:val="21"/>
          <w:szCs w:val="24"/>
        </w:rPr>
        <w:t>/s）；</w:t>
      </w:r>
    </w:p>
    <w:p w14:paraId="1342CBCE">
      <w:pPr>
        <w:adjustRightInd w:val="0"/>
        <w:spacing w:line="360" w:lineRule="auto"/>
        <w:ind w:firstLine="630" w:firstLineChars="300"/>
        <w:rPr>
          <w:rFonts w:ascii="Times New Roman" w:hAnsi="Times New Roman" w:cs="Times New Roman"/>
          <w:sz w:val="21"/>
          <w:szCs w:val="24"/>
        </w:rPr>
      </w:pPr>
      <w:r>
        <w:rPr>
          <w:rFonts w:ascii="Times New Roman" w:hAnsi="Times New Roman" w:cs="Times New Roman"/>
          <w:i/>
          <w:sz w:val="21"/>
          <w:szCs w:val="24"/>
        </w:rPr>
        <w:t>H</w:t>
      </w:r>
      <w:r>
        <w:rPr>
          <w:rFonts w:ascii="Times New Roman" w:hAnsi="Times New Roman" w:cs="Times New Roman"/>
          <w:sz w:val="21"/>
          <w:szCs w:val="24"/>
          <w:vertAlign w:val="subscript"/>
        </w:rPr>
        <w:t>1</w:t>
      </w:r>
      <w:r>
        <w:rPr>
          <w:rFonts w:ascii="Times New Roman" w:hAnsi="Times New Roman" w:cs="Times New Roman"/>
          <w:i/>
          <w:sz w:val="21"/>
          <w:szCs w:val="24"/>
        </w:rPr>
        <w:t>、H</w:t>
      </w:r>
      <w:r>
        <w:rPr>
          <w:rFonts w:ascii="Times New Roman" w:hAnsi="Times New Roman" w:cs="Times New Roman"/>
          <w:sz w:val="21"/>
          <w:szCs w:val="24"/>
          <w:vertAlign w:val="subscript"/>
        </w:rPr>
        <w:t>2</w:t>
      </w:r>
      <w:r>
        <w:rPr>
          <w:rFonts w:ascii="Times New Roman" w:hAnsi="Times New Roman" w:cs="Times New Roman"/>
          <w:i/>
          <w:sz w:val="21"/>
          <w:szCs w:val="24"/>
        </w:rPr>
        <w:t>、H</w:t>
      </w:r>
      <w:r>
        <w:rPr>
          <w:rFonts w:ascii="Times New Roman" w:hAnsi="Times New Roman" w:cs="Times New Roman"/>
          <w:sz w:val="21"/>
          <w:szCs w:val="24"/>
          <w:vertAlign w:val="subscript"/>
        </w:rPr>
        <w:t>3</w:t>
      </w:r>
      <w:r>
        <w:rPr>
          <w:rFonts w:ascii="Times New Roman" w:hAnsi="Times New Roman" w:cs="Times New Roman"/>
          <w:sz w:val="21"/>
          <w:szCs w:val="21"/>
        </w:rPr>
        <w:t>——</w:t>
      </w:r>
      <w:r>
        <w:rPr>
          <w:rFonts w:ascii="Times New Roman" w:hAnsi="Times New Roman" w:cs="Times New Roman"/>
          <w:sz w:val="21"/>
          <w:szCs w:val="24"/>
        </w:rPr>
        <w:t>各级孔上水深（m）。</w:t>
      </w:r>
    </w:p>
    <w:p w14:paraId="4082AB81">
      <w:pPr>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46</w:t>
      </w:r>
      <w:r>
        <w:rPr>
          <w:rFonts w:ascii="Times New Roman" w:hAnsi="Times New Roman" w:cs="Times New Roman"/>
          <w:sz w:val="21"/>
          <w:szCs w:val="24"/>
        </w:rPr>
        <w:t xml:space="preserve">  计算卧管、消力池的断面时，设计流量比正常运用时的流量加大20%～30%。</w:t>
      </w:r>
    </w:p>
    <w:p w14:paraId="1F214889">
      <w:pPr>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47</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方形卧管高度应取卧管正常水深的3倍～4倍；圆形卧管直径应取卧管正常水深的2.5倍；并应分析放水孔水流跌落卧管时的水柱跃起高度。</w:t>
      </w:r>
    </w:p>
    <w:p w14:paraId="4DD77446">
      <w:pPr>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 xml:space="preserve">48 </w:t>
      </w:r>
      <w:r>
        <w:rPr>
          <w:rFonts w:ascii="Times New Roman" w:hAnsi="Times New Roman" w:cs="Times New Roman"/>
          <w:sz w:val="21"/>
          <w:szCs w:val="24"/>
        </w:rPr>
        <w:t xml:space="preserve"> 卧管消力池下游水深应取涵洞的正常水深。</w:t>
      </w:r>
    </w:p>
    <w:p w14:paraId="59DDB11F">
      <w:pPr>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 xml:space="preserve">49 </w:t>
      </w:r>
      <w:r>
        <w:rPr>
          <w:rFonts w:ascii="Times New Roman" w:hAnsi="Times New Roman" w:cs="Times New Roman"/>
          <w:sz w:val="21"/>
          <w:szCs w:val="24"/>
        </w:rPr>
        <w:t xml:space="preserve"> 涵洞形式应包括方形、拱形和圆形，并应根据各地条件采用。</w:t>
      </w:r>
    </w:p>
    <w:p w14:paraId="2A9A20F1">
      <w:pPr>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50</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涵洞（管）应布设在高于坝基一侧的原状土上，并应根据地形地质条件合理确定涵洞（管）高度。</w:t>
      </w:r>
    </w:p>
    <w:p w14:paraId="18033072">
      <w:pPr>
        <w:adjustRightInd w:val="0"/>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 xml:space="preserve">51 </w:t>
      </w:r>
      <w:r>
        <w:rPr>
          <w:rFonts w:ascii="Times New Roman" w:hAnsi="Times New Roman" w:cs="Times New Roman"/>
          <w:sz w:val="21"/>
          <w:szCs w:val="24"/>
        </w:rPr>
        <w:t xml:space="preserve"> </w:t>
      </w:r>
      <w:r>
        <w:rPr>
          <w:rFonts w:ascii="Times New Roman" w:hAnsi="Times New Roman" w:cs="Times New Roman"/>
          <w:sz w:val="21"/>
          <w:szCs w:val="21"/>
        </w:rPr>
        <w:t>涵洞底坡宜取1：100～1：200。混凝土涵管管径不应小于0.8m；方涵和拱涵断面宽不应小于0.8m，高不应小于1.2m。涵洞内水深应小于涵洞净高的75%。沿涵洞纵向每隔10m～15m应设置截水环，截水环厚度应为0.6m～0.8m，伸出管壁外层应为0.4m～0.5m。</w:t>
      </w:r>
    </w:p>
    <w:p w14:paraId="4C75694E">
      <w:pPr>
        <w:adjustRightInd w:val="0"/>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1"/>
        </w:rPr>
        <w:t>涵洞结构尺寸应根据涵洞断面及洞上填土高度计算确定。</w:t>
      </w:r>
    </w:p>
    <w:p w14:paraId="67287232">
      <w:pPr>
        <w:adjustRightInd w:val="0"/>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1"/>
        </w:rPr>
        <w:t>涵洞泄水应经消能后送至沟床。</w:t>
      </w:r>
    </w:p>
    <w:p w14:paraId="180B7D29">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 xml:space="preserve">54 </w:t>
      </w:r>
      <w:r>
        <w:rPr>
          <w:rFonts w:ascii="Times New Roman" w:hAnsi="Times New Roman" w:cs="Times New Roman"/>
          <w:sz w:val="21"/>
          <w:szCs w:val="21"/>
        </w:rPr>
        <w:t xml:space="preserve"> 竖井式放水工程（图4.4.54）应采用浆砌石修筑，断面形状应采用圆环形或方形，内径宜取0.8m～1.5m，井壁厚度宜取0.3m～0.6m，沿井壁垂直方向每隔0.3m～0.5m可设一对放水孔；井底应设消力井，井深宜为0.5m～2.0m；放水孔应相对交错排列，孔口处设门槽，插入闸板控制放水，竖井下部应与涵洞相连。当竖井较高或地基较差时，井底应设置井座。</w:t>
      </w:r>
    </w:p>
    <w:p w14:paraId="407FE2ED">
      <w:pPr>
        <w:snapToGrid w:val="0"/>
        <w:spacing w:line="360" w:lineRule="auto"/>
        <w:jc w:val="center"/>
        <w:rPr>
          <w:rFonts w:ascii="Times New Roman" w:hAnsi="Times New Roman" w:cs="Times New Roman"/>
          <w:sz w:val="24"/>
          <w:szCs w:val="24"/>
        </w:rPr>
      </w:pPr>
      <w:r>
        <w:rPr>
          <w:rFonts w:ascii="Times New Roman" w:hAnsi="Times New Roman" w:cs="Times New Roman"/>
          <w:b/>
          <w:sz w:val="24"/>
          <w:szCs w:val="24"/>
        </w:rPr>
        <w:object>
          <v:shape id="_x0000_i1048" o:spt="75" type="#_x0000_t75" style="height:140.35pt;width:291.65pt;" o:ole="t" filled="f" o:preferrelative="t" stroked="f" coordsize="21600,21600">
            <v:path/>
            <v:fill on="f" focussize="0,0"/>
            <v:stroke on="f" joinstyle="miter"/>
            <v:imagedata r:id="rId68" o:title=""/>
            <o:lock v:ext="edit" aspectratio="t"/>
            <w10:wrap type="none"/>
            <w10:anchorlock/>
          </v:shape>
          <o:OLEObject Type="Embed" ProgID="AutoCAD.Drawing.15" ShapeID="_x0000_i1048" DrawAspect="Content" ObjectID="_1468075748" r:id="rId67">
            <o:LockedField>false</o:LockedField>
          </o:OLEObject>
        </w:object>
      </w:r>
    </w:p>
    <w:p w14:paraId="79B702F1">
      <w:pPr>
        <w:snapToGrid w:val="0"/>
        <w:spacing w:line="360" w:lineRule="auto"/>
        <w:jc w:val="center"/>
        <w:rPr>
          <w:rFonts w:ascii="Times New Roman" w:hAnsi="Times New Roman" w:cs="Times New Roman"/>
          <w:sz w:val="13"/>
          <w:szCs w:val="13"/>
        </w:rPr>
      </w:pPr>
      <w:r>
        <w:rPr>
          <w:rFonts w:ascii="Times New Roman" w:hAnsi="Times New Roman" w:cs="Times New Roman"/>
          <w:sz w:val="13"/>
          <w:szCs w:val="13"/>
        </w:rPr>
        <w:t>（a）竖井剖面图                                  （b）放水孔大样图</w:t>
      </w:r>
    </w:p>
    <w:p w14:paraId="113B89E3">
      <w:pPr>
        <w:jc w:val="center"/>
        <w:rPr>
          <w:rFonts w:ascii="Times New Roman" w:hAnsi="Times New Roman" w:eastAsia="黑体" w:cs="Times New Roman"/>
          <w:bCs/>
          <w:sz w:val="18"/>
          <w:szCs w:val="18"/>
        </w:rPr>
      </w:pPr>
      <w:r>
        <w:rPr>
          <w:rFonts w:ascii="Times New Roman" w:hAnsi="Times New Roman" w:eastAsia="黑体" w:cs="Times New Roman"/>
          <w:bCs/>
          <w:sz w:val="18"/>
          <w:szCs w:val="18"/>
        </w:rPr>
        <w:t>图4</w:t>
      </w:r>
      <w:r>
        <w:rPr>
          <w:rFonts w:ascii="Times New Roman" w:hAnsi="Times New Roman" w:cs="Times New Roman"/>
          <w:bCs/>
          <w:sz w:val="18"/>
          <w:szCs w:val="18"/>
        </w:rPr>
        <w:t>.</w:t>
      </w:r>
      <w:r>
        <w:rPr>
          <w:rFonts w:ascii="Times New Roman" w:hAnsi="Times New Roman" w:eastAsia="黑体" w:cs="Times New Roman"/>
          <w:bCs/>
          <w:sz w:val="18"/>
          <w:szCs w:val="18"/>
        </w:rPr>
        <w:t>4</w:t>
      </w:r>
      <w:r>
        <w:rPr>
          <w:rFonts w:ascii="Times New Roman" w:hAnsi="Times New Roman" w:cs="Times New Roman"/>
          <w:bCs/>
          <w:sz w:val="18"/>
          <w:szCs w:val="18"/>
        </w:rPr>
        <w:t>.</w:t>
      </w:r>
      <w:r>
        <w:rPr>
          <w:rFonts w:ascii="Times New Roman" w:hAnsi="Times New Roman" w:eastAsia="黑体" w:cs="Times New Roman"/>
          <w:bCs/>
          <w:sz w:val="18"/>
          <w:szCs w:val="18"/>
        </w:rPr>
        <w:t>54  竖井结构图</w:t>
      </w:r>
    </w:p>
    <w:p w14:paraId="6F0A0EC7">
      <w:pPr>
        <w:jc w:val="center"/>
        <w:rPr>
          <w:rFonts w:ascii="Times New Roman" w:hAnsi="Times New Roman" w:cs="Times New Roman"/>
          <w:sz w:val="15"/>
          <w:szCs w:val="15"/>
        </w:rPr>
      </w:pPr>
      <w:r>
        <w:rPr>
          <w:rFonts w:ascii="Times New Roman" w:hAnsi="Times New Roman" w:cs="Times New Roman"/>
          <w:sz w:val="15"/>
          <w:szCs w:val="15"/>
        </w:rPr>
        <w:t>①土坝 ②插板闸门 ③竖井高 ④竖井外径 ⑤井座宽 ⑥井座厚 ⑦放水孔距 ⑧涵洞 ⑨放水孔直径</w:t>
      </w:r>
    </w:p>
    <w:p w14:paraId="22698A38">
      <w:pPr>
        <w:adjustRightInd w:val="0"/>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55</w:t>
      </w:r>
      <w:r>
        <w:rPr>
          <w:rFonts w:ascii="Times New Roman" w:hAnsi="Times New Roman" w:cs="Times New Roman"/>
          <w:b/>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1"/>
        </w:rPr>
        <w:t>竖井放水孔（图4.4.55）孔口面积可按下列公式计算：</w:t>
      </w:r>
    </w:p>
    <w:p w14:paraId="44AFD2CB">
      <w:pPr>
        <w:adjustRightInd w:val="0"/>
        <w:snapToGri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object>
          <v:shape id="_x0000_i1049" o:spt="75" type="#_x0000_t75" style="height:181.3pt;width:187.75pt;" o:ole="t" filled="f" o:preferrelative="t" stroked="f" coordsize="21600,21600">
            <v:path/>
            <v:fill on="f" focussize="0,0"/>
            <v:stroke on="f" joinstyle="miter"/>
            <v:imagedata r:id="rId70" o:title=""/>
            <o:lock v:ext="edit" aspectratio="t"/>
            <w10:wrap type="none"/>
            <w10:anchorlock/>
          </v:shape>
          <o:OLEObject Type="Embed" ProgID="AutoCAD.Drawing.16" ShapeID="_x0000_i1049" DrawAspect="Content" ObjectID="_1468075749" r:id="rId69">
            <o:LockedField>false</o:LockedField>
          </o:OLEObject>
        </w:object>
      </w:r>
    </w:p>
    <w:p w14:paraId="58DDB3BD">
      <w:pPr>
        <w:jc w:val="center"/>
        <w:rPr>
          <w:rFonts w:ascii="Times New Roman" w:hAnsi="Times New Roman" w:eastAsia="黑体" w:cs="Times New Roman"/>
          <w:bCs/>
          <w:sz w:val="18"/>
          <w:szCs w:val="18"/>
        </w:rPr>
      </w:pPr>
      <w:r>
        <w:rPr>
          <w:rFonts w:ascii="Times New Roman" w:hAnsi="Times New Roman" w:eastAsia="黑体" w:cs="Times New Roman"/>
          <w:bCs/>
          <w:sz w:val="18"/>
          <w:szCs w:val="18"/>
        </w:rPr>
        <w:t>图4</w:t>
      </w:r>
      <w:r>
        <w:rPr>
          <w:rFonts w:ascii="Times New Roman" w:hAnsi="Times New Roman" w:cs="Times New Roman"/>
          <w:bCs/>
          <w:sz w:val="18"/>
          <w:szCs w:val="18"/>
        </w:rPr>
        <w:t>.</w:t>
      </w:r>
      <w:r>
        <w:rPr>
          <w:rFonts w:ascii="Times New Roman" w:hAnsi="Times New Roman" w:eastAsia="黑体" w:cs="Times New Roman"/>
          <w:bCs/>
          <w:sz w:val="18"/>
          <w:szCs w:val="18"/>
        </w:rPr>
        <w:t>4</w:t>
      </w:r>
      <w:r>
        <w:rPr>
          <w:rFonts w:ascii="Times New Roman" w:hAnsi="Times New Roman" w:cs="Times New Roman"/>
          <w:bCs/>
          <w:sz w:val="18"/>
          <w:szCs w:val="18"/>
        </w:rPr>
        <w:t>.</w:t>
      </w:r>
      <w:r>
        <w:rPr>
          <w:rFonts w:ascii="Times New Roman" w:hAnsi="Times New Roman" w:eastAsia="黑体" w:cs="Times New Roman"/>
          <w:bCs/>
          <w:sz w:val="18"/>
          <w:szCs w:val="18"/>
        </w:rPr>
        <w:t xml:space="preserve">55 </w:t>
      </w:r>
      <w:r>
        <w:rPr>
          <w:rFonts w:hint="eastAsia" w:ascii="Times New Roman" w:hAnsi="Times New Roman" w:eastAsia="黑体" w:cs="Times New Roman"/>
          <w:bCs/>
          <w:sz w:val="18"/>
          <w:szCs w:val="18"/>
        </w:rPr>
        <w:t xml:space="preserve"> </w:t>
      </w:r>
      <w:r>
        <w:rPr>
          <w:rFonts w:ascii="Times New Roman" w:hAnsi="Times New Roman" w:eastAsia="黑体" w:cs="Times New Roman"/>
          <w:bCs/>
          <w:sz w:val="18"/>
          <w:szCs w:val="18"/>
        </w:rPr>
        <w:t>竖井放水孔面积计算示意图</w:t>
      </w:r>
    </w:p>
    <w:p w14:paraId="20F3920A">
      <w:pPr>
        <w:adjustRightInd w:val="0"/>
        <w:snapToGrid w:val="0"/>
        <w:spacing w:line="360" w:lineRule="auto"/>
        <w:ind w:right="445" w:rightChars="159" w:firstLine="424" w:firstLineChars="202"/>
        <w:rPr>
          <w:rFonts w:ascii="Times New Roman" w:hAnsi="Times New Roman" w:cs="Times New Roman"/>
          <w:sz w:val="21"/>
          <w:szCs w:val="21"/>
        </w:rPr>
      </w:pPr>
      <w:r>
        <w:rPr>
          <w:rFonts w:ascii="Times New Roman" w:hAnsi="Times New Roman" w:cs="Times New Roman"/>
          <w:sz w:val="21"/>
          <w:szCs w:val="21"/>
        </w:rPr>
        <w:t xml:space="preserve">设一层放水孔放水： </w:t>
      </w:r>
      <w:r>
        <w:rPr>
          <w:rFonts w:ascii="Times New Roman" w:hAnsi="Times New Roman" w:cs="Times New Roman"/>
          <w:b/>
          <w:position w:val="-34"/>
          <w:sz w:val="21"/>
          <w:szCs w:val="21"/>
        </w:rPr>
        <w:object>
          <v:shape id="_x0000_i1050" o:spt="75" type="#_x0000_t75" style="height:32.4pt;width:68.4pt;" o:ole="t" filled="f" o:preferrelative="t" stroked="f" coordsize="21600,21600">
            <v:path/>
            <v:fill on="f" focussize="0,0"/>
            <v:stroke on="f" joinstyle="miter"/>
            <v:imagedata r:id="rId72" o:title=""/>
            <o:lock v:ext="edit" aspectratio="t"/>
            <w10:wrap type="none"/>
            <w10:anchorlock/>
          </v:shape>
          <o:OLEObject Type="Embed" ProgID="Equation.3" ShapeID="_x0000_i1050" DrawAspect="Content" ObjectID="_1468075750" r:id="rId71">
            <o:LockedField>false</o:LockedField>
          </o:OLEObject>
        </w:object>
      </w:r>
      <w:r>
        <w:rPr>
          <w:rFonts w:ascii="Times New Roman" w:hAnsi="Times New Roman" w:cs="Times New Roman"/>
          <w:sz w:val="21"/>
          <w:szCs w:val="21"/>
        </w:rPr>
        <w:t xml:space="preserve">                          </w:t>
      </w:r>
      <w:r>
        <w:rPr>
          <w:rFonts w:hint="eastAsia" w:ascii="Times New Roman" w:hAnsi="Times New Roman" w:cs="Times New Roman"/>
          <w:sz w:val="21"/>
          <w:szCs w:val="21"/>
        </w:rPr>
        <w:t xml:space="preserve">  </w:t>
      </w:r>
      <w:r>
        <w:rPr>
          <w:rFonts w:ascii="Times New Roman" w:hAnsi="Times New Roman" w:cs="Times New Roman"/>
          <w:sz w:val="21"/>
          <w:szCs w:val="21"/>
        </w:rPr>
        <w:t xml:space="preserve"> （4.4.55-1）</w:t>
      </w:r>
    </w:p>
    <w:p w14:paraId="0124E471">
      <w:pPr>
        <w:adjustRightInd w:val="0"/>
        <w:snapToGrid w:val="0"/>
        <w:spacing w:line="360" w:lineRule="auto"/>
        <w:ind w:right="420" w:firstLine="435"/>
        <w:rPr>
          <w:rFonts w:ascii="Times New Roman" w:hAnsi="Times New Roman" w:cs="Times New Roman"/>
          <w:sz w:val="21"/>
          <w:szCs w:val="21"/>
        </w:rPr>
      </w:pPr>
      <w:r>
        <w:rPr>
          <w:rFonts w:ascii="Times New Roman" w:hAnsi="Times New Roman" w:cs="Times New Roman"/>
          <w:sz w:val="21"/>
          <w:szCs w:val="21"/>
        </w:rPr>
        <w:t>设二层放水孔放水：</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QUOTE </w:instrText>
      </w:r>
      <w:r>
        <w:rPr>
          <w:rFonts w:ascii="Times New Roman" w:hAnsi="Times New Roman" w:cs="Times New Roman"/>
          <w:b/>
          <w:position w:val="-27"/>
          <w:sz w:val="24"/>
          <w:szCs w:val="24"/>
        </w:rPr>
        <w:pict>
          <v:shape id="_x0000_i1051" o:spt="75" type="#_x0000_t75" style="height:31.8pt;width:100.2pt;" filled="f" o:preferrelative="t" stroked="f" coordsize="21600,2160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0&quot;/&gt;&lt;w:doNotEmbedSystemFonts/&gt;&lt;w:bordersDontSurroundHeader/&gt;&lt;w:bordersDontSurroundFooter/&gt;&lt;w:hideSpellingErrors/&gt;&lt;w:hideGrammaticalErrors/&gt;&lt;w:stylePaneFormatFilter w:val=&quot;3F01&quot;/&gt;&lt;w:defaultTabStop w:val=&quot;420&quot;/&gt;&lt;w:drawingGridHorizontalSpacing w:val=&quot;241&quot;/&gt;&lt;w:drawingGridVerticalSpacing w:val=&quot;233&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A4E03&quot;/&gt;&lt;wsp:rsid wsp:val=&quot;000005D5&quot;/&gt;&lt;wsp:rsid wsp:val=&quot;000015F7&quot;/&gt;&lt;wsp:rsid wsp:val=&quot;00001DDF&quot;/&gt;&lt;wsp:rsid wsp:val=&quot;00001FA6&quot;/&gt;&lt;wsp:rsid wsp:val=&quot;00002D2F&quot;/&gt;&lt;wsp:rsid wsp:val=&quot;00002E12&quot;/&gt;&lt;wsp:rsid wsp:val=&quot;00003028&quot;/&gt;&lt;wsp:rsid wsp:val=&quot;00004463&quot;/&gt;&lt;wsp:rsid wsp:val=&quot;00005015&quot;/&gt;&lt;wsp:rsid wsp:val=&quot;00005E30&quot;/&gt;&lt;wsp:rsid wsp:val=&quot;00007713&quot;/&gt;&lt;wsp:rsid wsp:val=&quot;0001033B&quot;/&gt;&lt;wsp:rsid wsp:val=&quot;000103F8&quot;/&gt;&lt;wsp:rsid wsp:val=&quot;000108CF&quot;/&gt;&lt;wsp:rsid wsp:val=&quot;000108EE&quot;/&gt;&lt;wsp:rsid wsp:val=&quot;00011130&quot;/&gt;&lt;wsp:rsid wsp:val=&quot;00012F61&quot;/&gt;&lt;wsp:rsid wsp:val=&quot;00013530&quot;/&gt;&lt;wsp:rsid wsp:val=&quot;00015C25&quot;/&gt;&lt;wsp:rsid wsp:val=&quot;0001714F&quot;/&gt;&lt;wsp:rsid wsp:val=&quot;00017590&quot;/&gt;&lt;wsp:rsid wsp:val=&quot;00017C0C&quot;/&gt;&lt;wsp:rsid wsp:val=&quot;00017C23&quot;/&gt;&lt;wsp:rsid wsp:val=&quot;00020187&quot;/&gt;&lt;wsp:rsid wsp:val=&quot;00020469&quot;/&gt;&lt;wsp:rsid wsp:val=&quot;00020576&quot;/&gt;&lt;wsp:rsid wsp:val=&quot;0002076B&quot;/&gt;&lt;wsp:rsid wsp:val=&quot;00020DF2&quot;/&gt;&lt;wsp:rsid wsp:val=&quot;00020E26&quot;/&gt;&lt;wsp:rsid wsp:val=&quot;00020EDB&quot;/&gt;&lt;wsp:rsid wsp:val=&quot;000212EB&quot;/&gt;&lt;wsp:rsid wsp:val=&quot;00021F13&quot;/&gt;&lt;wsp:rsid wsp:val=&quot;0002264D&quot;/&gt;&lt;wsp:rsid wsp:val=&quot;00023258&quot;/&gt;&lt;wsp:rsid wsp:val=&quot;00023372&quot;/&gt;&lt;wsp:rsid wsp:val=&quot;00023C19&quot;/&gt;&lt;wsp:rsid wsp:val=&quot;000241BF&quot;/&gt;&lt;wsp:rsid wsp:val=&quot;0002454F&quot;/&gt;&lt;wsp:rsid wsp:val=&quot;0002512B&quot;/&gt;&lt;wsp:rsid wsp:val=&quot;00025419&quot;/&gt;&lt;wsp:rsid wsp:val=&quot;00025893&quot;/&gt;&lt;wsp:rsid wsp:val=&quot;0002760F&quot;/&gt;&lt;wsp:rsid wsp:val=&quot;00027CF0&quot;/&gt;&lt;wsp:rsid wsp:val=&quot;00030121&quot;/&gt;&lt;wsp:rsid wsp:val=&quot;000303E3&quot;/&gt;&lt;wsp:rsid wsp:val=&quot;000304DA&quot;/&gt;&lt;wsp:rsid wsp:val=&quot;00030A30&quot;/&gt;&lt;wsp:rsid wsp:val=&quot;00030A64&quot;/&gt;&lt;wsp:rsid wsp:val=&quot;00030DA5&quot;/&gt;&lt;wsp:rsid wsp:val=&quot;00030E77&quot;/&gt;&lt;wsp:rsid wsp:val=&quot;000322EA&quot;/&gt;&lt;wsp:rsid wsp:val=&quot;00032604&quot;/&gt;&lt;wsp:rsid wsp:val=&quot;00032C35&quot;/&gt;&lt;wsp:rsid wsp:val=&quot;00033E4E&quot;/&gt;&lt;wsp:rsid wsp:val=&quot;00034678&quot;/&gt;&lt;wsp:rsid wsp:val=&quot;00034954&quot;/&gt;&lt;wsp:rsid wsp:val=&quot;000349C6&quot;/&gt;&lt;wsp:rsid wsp:val=&quot;00035F74&quot;/&gt;&lt;wsp:rsid wsp:val=&quot;00035FC3&quot;/&gt;&lt;wsp:rsid wsp:val=&quot;0003753F&quot;/&gt;&lt;wsp:rsid wsp:val=&quot;000375D9&quot;/&gt;&lt;wsp:rsid wsp:val=&quot;00040E0E&quot;/&gt;&lt;wsp:rsid wsp:val=&quot;0004156C&quot;/&gt;&lt;wsp:rsid wsp:val=&quot;0004186F&quot;/&gt;&lt;wsp:rsid wsp:val=&quot;000419C4&quot;/&gt;&lt;wsp:rsid wsp:val=&quot;00041E59&quot;/&gt;&lt;wsp:rsid wsp:val=&quot;0004233D&quot;/&gt;&lt;wsp:rsid wsp:val=&quot;00042B66&quot;/&gt;&lt;wsp:rsid wsp:val=&quot;00043710&quot;/&gt;&lt;wsp:rsid wsp:val=&quot;0004394B&quot;/&gt;&lt;wsp:rsid wsp:val=&quot;000442BC&quot;/&gt;&lt;wsp:rsid wsp:val=&quot;00044B60&quot;/&gt;&lt;wsp:rsid wsp:val=&quot;000450E2&quot;/&gt;&lt;wsp:rsid wsp:val=&quot;0004645D&quot;/&gt;&lt;wsp:rsid wsp:val=&quot;00046EC6&quot;/&gt;&lt;wsp:rsid wsp:val=&quot;00050176&quot;/&gt;&lt;wsp:rsid wsp:val=&quot;00051E98&quot;/&gt;&lt;wsp:rsid wsp:val=&quot;000524CF&quot;/&gt;&lt;wsp:rsid wsp:val=&quot;000526FE&quot;/&gt;&lt;wsp:rsid wsp:val=&quot;000527B1&quot;/&gt;&lt;wsp:rsid wsp:val=&quot;00052815&quot;/&gt;&lt;wsp:rsid wsp:val=&quot;000542C8&quot;/&gt;&lt;wsp:rsid wsp:val=&quot;000545AF&quot;/&gt;&lt;wsp:rsid wsp:val=&quot;00054824&quot;/&gt;&lt;wsp:rsid wsp:val=&quot;000548D0&quot;/&gt;&lt;wsp:rsid wsp:val=&quot;00054922&quot;/&gt;&lt;wsp:rsid wsp:val=&quot;000559D1&quot;/&gt;&lt;wsp:rsid wsp:val=&quot;00056343&quot;/&gt;&lt;wsp:rsid wsp:val=&quot;000566FA&quot;/&gt;&lt;wsp:rsid wsp:val=&quot;000567C9&quot;/&gt;&lt;wsp:rsid wsp:val=&quot;00056817&quot;/&gt;&lt;wsp:rsid wsp:val=&quot;00057668&quot;/&gt;&lt;wsp:rsid wsp:val=&quot;00057C69&quot;/&gt;&lt;wsp:rsid wsp:val=&quot;00057C97&quot;/&gt;&lt;wsp:rsid wsp:val=&quot;000608A9&quot;/&gt;&lt;wsp:rsid wsp:val=&quot;00060C58&quot;/&gt;&lt;wsp:rsid wsp:val=&quot;00061017&quot;/&gt;&lt;wsp:rsid wsp:val=&quot;00061611&quot;/&gt;&lt;wsp:rsid wsp:val=&quot;00061BD5&quot;/&gt;&lt;wsp:rsid wsp:val=&quot;00061FDF&quot;/&gt;&lt;wsp:rsid wsp:val=&quot;000625BA&quot;/&gt;&lt;wsp:rsid wsp:val=&quot;00062D9B&quot;/&gt;&lt;wsp:rsid wsp:val=&quot;000638A7&quot;/&gt;&lt;wsp:rsid wsp:val=&quot;00063D6D&quot;/&gt;&lt;wsp:rsid wsp:val=&quot;00064A03&quot;/&gt;&lt;wsp:rsid wsp:val=&quot;00064F3B&quot;/&gt;&lt;wsp:rsid wsp:val=&quot;00064F87&quot;/&gt;&lt;wsp:rsid wsp:val=&quot;00065633&quot;/&gt;&lt;wsp:rsid wsp:val=&quot;00066D7B&quot;/&gt;&lt;wsp:rsid wsp:val=&quot;00067516&quot;/&gt;&lt;wsp:rsid wsp:val=&quot;00067EA5&quot;/&gt;&lt;wsp:rsid wsp:val=&quot;00070567&quot;/&gt;&lt;wsp:rsid wsp:val=&quot;00070D52&quot;/&gt;&lt;wsp:rsid wsp:val=&quot;000716AF&quot;/&gt;&lt;wsp:rsid wsp:val=&quot;00071DDC&quot;/&gt;&lt;wsp:rsid wsp:val=&quot;000723DE&quot;/&gt;&lt;wsp:rsid wsp:val=&quot;000724C1&quot;/&gt;&lt;wsp:rsid wsp:val=&quot;00072BB6&quot;/&gt;&lt;wsp:rsid wsp:val=&quot;00072F9D&quot;/&gt;&lt;wsp:rsid wsp:val=&quot;00073E89&quot;/&gt;&lt;wsp:rsid wsp:val=&quot;000747B5&quot;/&gt;&lt;wsp:rsid wsp:val=&quot;0007598A&quot;/&gt;&lt;wsp:rsid wsp:val=&quot;00077030&quot;/&gt;&lt;wsp:rsid wsp:val=&quot;00077A74&quot;/&gt;&lt;wsp:rsid wsp:val=&quot;00077AC4&quot;/&gt;&lt;wsp:rsid wsp:val=&quot;00077CE3&quot;/&gt;&lt;wsp:rsid wsp:val=&quot;00077D95&quot;/&gt;&lt;wsp:rsid wsp:val=&quot;00080E0F&quot;/&gt;&lt;wsp:rsid wsp:val=&quot;00081AE8&quot;/&gt;&lt;wsp:rsid wsp:val=&quot;0008307F&quot;/&gt;&lt;wsp:rsid wsp:val=&quot;000833C9&quot;/&gt;&lt;wsp:rsid wsp:val=&quot;00083821&quot;/&gt;&lt;wsp:rsid wsp:val=&quot;000838EF&quot;/&gt;&lt;wsp:rsid wsp:val=&quot;00084B9D&quot;/&gt;&lt;wsp:rsid wsp:val=&quot;00084D3B&quot;/&gt;&lt;wsp:rsid wsp:val=&quot;00090117&quot;/&gt;&lt;wsp:rsid wsp:val=&quot;00090B14&quot;/&gt;&lt;wsp:rsid wsp:val=&quot;00090EAB&quot;/&gt;&lt;wsp:rsid wsp:val=&quot;00090EEF&quot;/&gt;&lt;wsp:rsid wsp:val=&quot;000911F4&quot;/&gt;&lt;wsp:rsid wsp:val=&quot;00091E28&quot;/&gt;&lt;wsp:rsid wsp:val=&quot;00092541&quot;/&gt;&lt;wsp:rsid wsp:val=&quot;000928BD&quot;/&gt;&lt;wsp:rsid wsp:val=&quot;00092906&quot;/&gt;&lt;wsp:rsid wsp:val=&quot;00093E6E&quot;/&gt;&lt;wsp:rsid wsp:val=&quot;00094816&quot;/&gt;&lt;wsp:rsid wsp:val=&quot;00094B1A&quot;/&gt;&lt;wsp:rsid wsp:val=&quot;00095006&quot;/&gt;&lt;wsp:rsid wsp:val=&quot;0009701A&quot;/&gt;&lt;wsp:rsid wsp:val=&quot;00097324&quot;/&gt;&lt;wsp:rsid wsp:val=&quot;00097655&quot;/&gt;&lt;wsp:rsid wsp:val=&quot;0009793F&quot;/&gt;&lt;wsp:rsid wsp:val=&quot;000979E6&quot;/&gt;&lt;wsp:rsid wsp:val=&quot;000A1061&quot;/&gt;&lt;wsp:rsid wsp:val=&quot;000A1EE5&quot;/&gt;&lt;wsp:rsid wsp:val=&quot;000A2018&quot;/&gt;&lt;wsp:rsid wsp:val=&quot;000A2033&quot;/&gt;&lt;wsp:rsid wsp:val=&quot;000A2F2A&quot;/&gt;&lt;wsp:rsid wsp:val=&quot;000A30A4&quot;/&gt;&lt;wsp:rsid wsp:val=&quot;000A33AD&quot;/&gt;&lt;wsp:rsid wsp:val=&quot;000A46E9&quot;/&gt;&lt;wsp:rsid wsp:val=&quot;000A4E03&quot;/&gt;&lt;wsp:rsid wsp:val=&quot;000A572B&quot;/&gt;&lt;wsp:rsid wsp:val=&quot;000A64F8&quot;/&gt;&lt;wsp:rsid wsp:val=&quot;000A73BB&quot;/&gt;&lt;wsp:rsid wsp:val=&quot;000A78AC&quot;/&gt;&lt;wsp:rsid wsp:val=&quot;000A7A05&quot;/&gt;&lt;wsp:rsid wsp:val=&quot;000B0347&quot;/&gt;&lt;wsp:rsid wsp:val=&quot;000B05DC&quot;/&gt;&lt;wsp:rsid wsp:val=&quot;000B0BAA&quot;/&gt;&lt;wsp:rsid wsp:val=&quot;000B161E&quot;/&gt;&lt;wsp:rsid wsp:val=&quot;000B23EE&quot;/&gt;&lt;wsp:rsid wsp:val=&quot;000B2908&quot;/&gt;&lt;wsp:rsid wsp:val=&quot;000B2E5C&quot;/&gt;&lt;wsp:rsid wsp:val=&quot;000B3126&quot;/&gt;&lt;wsp:rsid wsp:val=&quot;000B3CBD&quot;/&gt;&lt;wsp:rsid wsp:val=&quot;000B442D&quot;/&gt;&lt;wsp:rsid wsp:val=&quot;000B4BD8&quot;/&gt;&lt;wsp:rsid wsp:val=&quot;000B547D&quot;/&gt;&lt;wsp:rsid wsp:val=&quot;000B576E&quot;/&gt;&lt;wsp:rsid wsp:val=&quot;000B595D&quot;/&gt;&lt;wsp:rsid wsp:val=&quot;000B5CBB&quot;/&gt;&lt;wsp:rsid wsp:val=&quot;000B612A&quot;/&gt;&lt;wsp:rsid wsp:val=&quot;000B6302&quot;/&gt;&lt;wsp:rsid wsp:val=&quot;000B7B6B&quot;/&gt;&lt;wsp:rsid wsp:val=&quot;000C0504&quot;/&gt;&lt;wsp:rsid wsp:val=&quot;000C0841&quot;/&gt;&lt;wsp:rsid wsp:val=&quot;000C17DC&quot;/&gt;&lt;wsp:rsid wsp:val=&quot;000C1968&quot;/&gt;&lt;wsp:rsid wsp:val=&quot;000C2D25&quot;/&gt;&lt;wsp:rsid wsp:val=&quot;000C3289&quot;/&gt;&lt;wsp:rsid wsp:val=&quot;000C3A0E&quot;/&gt;&lt;wsp:rsid wsp:val=&quot;000C51B7&quot;/&gt;&lt;wsp:rsid wsp:val=&quot;000C617F&quot;/&gt;&lt;wsp:rsid wsp:val=&quot;000C6591&quot;/&gt;&lt;wsp:rsid wsp:val=&quot;000D0629&quot;/&gt;&lt;wsp:rsid wsp:val=&quot;000D06A2&quot;/&gt;&lt;wsp:rsid wsp:val=&quot;000D0B9E&quot;/&gt;&lt;wsp:rsid wsp:val=&quot;000D0FE3&quot;/&gt;&lt;wsp:rsid wsp:val=&quot;000D20DB&quot;/&gt;&lt;wsp:rsid wsp:val=&quot;000D2875&quot;/&gt;&lt;wsp:rsid wsp:val=&quot;000D2EE4&quot;/&gt;&lt;wsp:rsid wsp:val=&quot;000D301C&quot;/&gt;&lt;wsp:rsid wsp:val=&quot;000D4594&quot;/&gt;&lt;wsp:rsid wsp:val=&quot;000D4AF3&quot;/&gt;&lt;wsp:rsid wsp:val=&quot;000D4B29&quot;/&gt;&lt;wsp:rsid wsp:val=&quot;000D5090&quot;/&gt;&lt;wsp:rsid wsp:val=&quot;000D5882&quot;/&gt;&lt;wsp:rsid wsp:val=&quot;000D7851&quot;/&gt;&lt;wsp:rsid wsp:val=&quot;000E0DA2&quot;/&gt;&lt;wsp:rsid wsp:val=&quot;000E1417&quot;/&gt;&lt;wsp:rsid wsp:val=&quot;000E152E&quot;/&gt;&lt;wsp:rsid wsp:val=&quot;000E1AAA&quot;/&gt;&lt;wsp:rsid wsp:val=&quot;000E2746&quot;/&gt;&lt;wsp:rsid wsp:val=&quot;000E30C5&quot;/&gt;&lt;wsp:rsid wsp:val=&quot;000E4123&quot;/&gt;&lt;wsp:rsid wsp:val=&quot;000E5052&quot;/&gt;&lt;wsp:rsid wsp:val=&quot;000E662C&quot;/&gt;&lt;wsp:rsid wsp:val=&quot;000E790C&quot;/&gt;&lt;wsp:rsid wsp:val=&quot;000F069F&quot;/&gt;&lt;wsp:rsid wsp:val=&quot;000F0E7C&quot;/&gt;&lt;wsp:rsid wsp:val=&quot;000F1285&quot;/&gt;&lt;wsp:rsid wsp:val=&quot;000F12ED&quot;/&gt;&lt;wsp:rsid wsp:val=&quot;000F30D7&quot;/&gt;&lt;wsp:rsid wsp:val=&quot;000F37CE&quot;/&gt;&lt;wsp:rsid wsp:val=&quot;000F3D45&quot;/&gt;&lt;wsp:rsid wsp:val=&quot;000F46EC&quot;/&gt;&lt;wsp:rsid wsp:val=&quot;000F4C2B&quot;/&gt;&lt;wsp:rsid wsp:val=&quot;000F7A6C&quot;/&gt;&lt;wsp:rsid wsp:val=&quot;000F7FBD&quot;/&gt;&lt;wsp:rsid wsp:val=&quot;001017D6&quot;/&gt;&lt;wsp:rsid wsp:val=&quot;00101C87&quot;/&gt;&lt;wsp:rsid wsp:val=&quot;00101F91&quot;/&gt;&lt;wsp:rsid wsp:val=&quot;00102C21&quot;/&gt;&lt;wsp:rsid wsp:val=&quot;00103B36&quot;/&gt;&lt;wsp:rsid wsp:val=&quot;00103F5C&quot;/&gt;&lt;wsp:rsid wsp:val=&quot;00104622&quot;/&gt;&lt;wsp:rsid wsp:val=&quot;00104699&quot;/&gt;&lt;wsp:rsid wsp:val=&quot;0010479E&quot;/&gt;&lt;wsp:rsid wsp:val=&quot;00105016&quot;/&gt;&lt;wsp:rsid wsp:val=&quot;001060D2&quot;/&gt;&lt;wsp:rsid wsp:val=&quot;001061CA&quot;/&gt;&lt;wsp:rsid wsp:val=&quot;001062F5&quot;/&gt;&lt;wsp:rsid wsp:val=&quot;0010674B&quot;/&gt;&lt;wsp:rsid wsp:val=&quot;0010743A&quot;/&gt;&lt;wsp:rsid wsp:val=&quot;00107875&quot;/&gt;&lt;wsp:rsid wsp:val=&quot;00107A10&quot;/&gt;&lt;wsp:rsid wsp:val=&quot;001102CD&quot;/&gt;&lt;wsp:rsid wsp:val=&quot;001113E2&quot;/&gt;&lt;wsp:rsid wsp:val=&quot;001119DA&quot;/&gt;&lt;wsp:rsid wsp:val=&quot;00112531&quot;/&gt;&lt;wsp:rsid wsp:val=&quot;001125C4&quot;/&gt;&lt;wsp:rsid wsp:val=&quot;001131B0&quot;/&gt;&lt;wsp:rsid wsp:val=&quot;001136C9&quot;/&gt;&lt;wsp:rsid wsp:val=&quot;001137E5&quot;/&gt;&lt;wsp:rsid wsp:val=&quot;001138CD&quot;/&gt;&lt;wsp:rsid wsp:val=&quot;001152B4&quot;/&gt;&lt;wsp:rsid wsp:val=&quot;0011766A&quot;/&gt;&lt;wsp:rsid wsp:val=&quot;0011772F&quot;/&gt;&lt;wsp:rsid wsp:val=&quot;00117A02&quot;/&gt;&lt;wsp:rsid wsp:val=&quot;00117ACD&quot;/&gt;&lt;wsp:rsid wsp:val=&quot;0012022B&quot;/&gt;&lt;wsp:rsid wsp:val=&quot;0012050E&quot;/&gt;&lt;wsp:rsid wsp:val=&quot;00121A66&quot;/&gt;&lt;wsp:rsid wsp:val=&quot;00121B07&quot;/&gt;&lt;wsp:rsid wsp:val=&quot;0012409B&quot;/&gt;&lt;wsp:rsid wsp:val=&quot;00125390&quot;/&gt;&lt;wsp:rsid wsp:val=&quot;00125874&quot;/&gt;&lt;wsp:rsid wsp:val=&quot;00125A41&quot;/&gt;&lt;wsp:rsid wsp:val=&quot;00125C90&quot;/&gt;&lt;wsp:rsid wsp:val=&quot;00126345&quot;/&gt;&lt;wsp:rsid wsp:val=&quot;0012641F&quot;/&gt;&lt;wsp:rsid wsp:val=&quot;00126579&quot;/&gt;&lt;wsp:rsid wsp:val=&quot;001268FD&quot;/&gt;&lt;wsp:rsid wsp:val=&quot;00126AFF&quot;/&gt;&lt;wsp:rsid wsp:val=&quot;001277A8&quot;/&gt;&lt;wsp:rsid wsp:val=&quot;00127809&quot;/&gt;&lt;wsp:rsid wsp:val=&quot;00127AE3&quot;/&gt;&lt;wsp:rsid wsp:val=&quot;0013076E&quot;/&gt;&lt;wsp:rsid wsp:val=&quot;001310FC&quot;/&gt;&lt;wsp:rsid wsp:val=&quot;00131BF7&quot;/&gt;&lt;wsp:rsid wsp:val=&quot;00132A85&quot;/&gt;&lt;wsp:rsid wsp:val=&quot;00133830&quot;/&gt;&lt;wsp:rsid wsp:val=&quot;00133EE9&quot;/&gt;&lt;wsp:rsid wsp:val=&quot;00133FD6&quot;/&gt;&lt;wsp:rsid wsp:val=&quot;00134165&quot;/&gt;&lt;wsp:rsid wsp:val=&quot;00134F94&quot;/&gt;&lt;wsp:rsid wsp:val=&quot;00135121&quot;/&gt;&lt;wsp:rsid wsp:val=&quot;00136A8C&quot;/&gt;&lt;wsp:rsid wsp:val=&quot;001376DC&quot;/&gt;&lt;wsp:rsid wsp:val=&quot;00137EF0&quot;/&gt;&lt;wsp:rsid wsp:val=&quot;00140567&quot;/&gt;&lt;wsp:rsid wsp:val=&quot;00141A67&quot;/&gt;&lt;wsp:rsid wsp:val=&quot;00142766&quot;/&gt;&lt;wsp:rsid wsp:val=&quot;001435EE&quot;/&gt;&lt;wsp:rsid wsp:val=&quot;00143B54&quot;/&gt;&lt;wsp:rsid wsp:val=&quot;00143BA4&quot;/&gt;&lt;wsp:rsid wsp:val=&quot;00144B1F&quot;/&gt;&lt;wsp:rsid wsp:val=&quot;00145074&quot;/&gt;&lt;wsp:rsid wsp:val=&quot;001452C5&quot;/&gt;&lt;wsp:rsid wsp:val=&quot;001458AE&quot;/&gt;&lt;wsp:rsid wsp:val=&quot;00145A8B&quot;/&gt;&lt;wsp:rsid wsp:val=&quot;00145B4D&quot;/&gt;&lt;wsp:rsid wsp:val=&quot;0014614C&quot;/&gt;&lt;wsp:rsid wsp:val=&quot;001461DD&quot;/&gt;&lt;wsp:rsid wsp:val=&quot;0014621C&quot;/&gt;&lt;wsp:rsid wsp:val=&quot;00146FA9&quot;/&gt;&lt;wsp:rsid wsp:val=&quot;001470E5&quot;/&gt;&lt;wsp:rsid wsp:val=&quot;001500D0&quot;/&gt;&lt;wsp:rsid wsp:val=&quot;001503B7&quot;/&gt;&lt;wsp:rsid wsp:val=&quot;0015075D&quot;/&gt;&lt;wsp:rsid wsp:val=&quot;001507AF&quot;/&gt;&lt;wsp:rsid wsp:val=&quot;00150EBE&quot;/&gt;&lt;wsp:rsid wsp:val=&quot;00150FDD&quot;/&gt;&lt;wsp:rsid wsp:val=&quot;00151A98&quot;/&gt;&lt;wsp:rsid wsp:val=&quot;00151D77&quot;/&gt;&lt;wsp:rsid wsp:val=&quot;00151EE8&quot;/&gt;&lt;wsp:rsid wsp:val=&quot;001529A5&quot;/&gt;&lt;wsp:rsid wsp:val=&quot;00152BA1&quot;/&gt;&lt;wsp:rsid wsp:val=&quot;00152D04&quot;/&gt;&lt;wsp:rsid wsp:val=&quot;001532F5&quot;/&gt;&lt;wsp:rsid wsp:val=&quot;001536CC&quot;/&gt;&lt;wsp:rsid wsp:val=&quot;00153ED5&quot;/&gt;&lt;wsp:rsid wsp:val=&quot;00154602&quot;/&gt;&lt;wsp:rsid wsp:val=&quot;001546A2&quot;/&gt;&lt;wsp:rsid wsp:val=&quot;001548D4&quot;/&gt;&lt;wsp:rsid wsp:val=&quot;00154C86&quot;/&gt;&lt;wsp:rsid wsp:val=&quot;00154F69&quot;/&gt;&lt;wsp:rsid wsp:val=&quot;00156E05&quot;/&gt;&lt;wsp:rsid wsp:val=&quot;0016051D&quot;/&gt;&lt;wsp:rsid wsp:val=&quot;00160E6F&quot;/&gt;&lt;wsp:rsid wsp:val=&quot;0016124F&quot;/&gt;&lt;wsp:rsid wsp:val=&quot;001623E8&quot;/&gt;&lt;wsp:rsid wsp:val=&quot;001625EC&quot;/&gt;&lt;wsp:rsid wsp:val=&quot;00162BC3&quot;/&gt;&lt;wsp:rsid wsp:val=&quot;00163E40&quot;/&gt;&lt;wsp:rsid wsp:val=&quot;0016450F&quot;/&gt;&lt;wsp:rsid wsp:val=&quot;001648C8&quot;/&gt;&lt;wsp:rsid wsp:val=&quot;00164CCB&quot;/&gt;&lt;wsp:rsid wsp:val=&quot;00165507&quot;/&gt;&lt;wsp:rsid wsp:val=&quot;0016571B&quot;/&gt;&lt;wsp:rsid wsp:val=&quot;00166700&quot;/&gt;&lt;wsp:rsid wsp:val=&quot;00166BFE&quot;/&gt;&lt;wsp:rsid wsp:val=&quot;00166D29&quot;/&gt;&lt;wsp:rsid wsp:val=&quot;00167641&quot;/&gt;&lt;wsp:rsid wsp:val=&quot;00167F75&quot;/&gt;&lt;wsp:rsid wsp:val=&quot;0017174C&quot;/&gt;&lt;wsp:rsid wsp:val=&quot;00173D54&quot;/&gt;&lt;wsp:rsid wsp:val=&quot;00173F9E&quot;/&gt;&lt;wsp:rsid wsp:val=&quot;00174DDE&quot;/&gt;&lt;wsp:rsid wsp:val=&quot;00174FD5&quot;/&gt;&lt;wsp:rsid wsp:val=&quot;0017536D&quot;/&gt;&lt;wsp:rsid wsp:val=&quot;00175B8B&quot;/&gt;&lt;wsp:rsid wsp:val=&quot;00175DD2&quot;/&gt;&lt;wsp:rsid wsp:val=&quot;0017691E&quot;/&gt;&lt;wsp:rsid wsp:val=&quot;00176CAA&quot;/&gt;&lt;wsp:rsid wsp:val=&quot;00180B42&quot;/&gt;&lt;wsp:rsid wsp:val=&quot;00181802&quot;/&gt;&lt;wsp:rsid wsp:val=&quot;00181AFC&quot;/&gt;&lt;wsp:rsid wsp:val=&quot;00181F01&quot;/&gt;&lt;wsp:rsid wsp:val=&quot;00182152&quot;/&gt;&lt;wsp:rsid wsp:val=&quot;001825E5&quot;/&gt;&lt;wsp:rsid wsp:val=&quot;001828C9&quot;/&gt;&lt;wsp:rsid wsp:val=&quot;0018366D&quot;/&gt;&lt;wsp:rsid wsp:val=&quot;00183678&quot;/&gt;&lt;wsp:rsid wsp:val=&quot;001848D6&quot;/&gt;&lt;wsp:rsid wsp:val=&quot;001850DE&quot;/&gt;&lt;wsp:rsid wsp:val=&quot;001850F7&quot;/&gt;&lt;wsp:rsid wsp:val=&quot;00185797&quot;/&gt;&lt;wsp:rsid wsp:val=&quot;00185B9A&quot;/&gt;&lt;wsp:rsid wsp:val=&quot;001869D9&quot;/&gt;&lt;wsp:rsid wsp:val=&quot;0018706D&quot;/&gt;&lt;wsp:rsid wsp:val=&quot;00187866&quot;/&gt;&lt;wsp:rsid wsp:val=&quot;00187EE0&quot;/&gt;&lt;wsp:rsid wsp:val=&quot;00190378&quot;/&gt;&lt;wsp:rsid wsp:val=&quot;00190615&quot;/&gt;&lt;wsp:rsid wsp:val=&quot;00190AC1&quot;/&gt;&lt;wsp:rsid wsp:val=&quot;001916F5&quot;/&gt;&lt;wsp:rsid wsp:val=&quot;00192639&quot;/&gt;&lt;wsp:rsid wsp:val=&quot;0019268A&quot;/&gt;&lt;wsp:rsid wsp:val=&quot;00193049&quot;/&gt;&lt;wsp:rsid wsp:val=&quot;00193536&quot;/&gt;&lt;wsp:rsid wsp:val=&quot;001937A5&quot;/&gt;&lt;wsp:rsid wsp:val=&quot;00193B74&quot;/&gt;&lt;wsp:rsid wsp:val=&quot;001944FD&quot;/&gt;&lt;wsp:rsid wsp:val=&quot;00195B95&quot;/&gt;&lt;wsp:rsid wsp:val=&quot;00195F0D&quot;/&gt;&lt;wsp:rsid wsp:val=&quot;0019622A&quot;/&gt;&lt;wsp:rsid wsp:val=&quot;0019627F&quot;/&gt;&lt;wsp:rsid wsp:val=&quot;00197700&quot;/&gt;&lt;wsp:rsid wsp:val=&quot;001A00A4&quot;/&gt;&lt;wsp:rsid wsp:val=&quot;001A111D&quot;/&gt;&lt;wsp:rsid wsp:val=&quot;001A1333&quot;/&gt;&lt;wsp:rsid wsp:val=&quot;001A194D&quot;/&gt;&lt;wsp:rsid wsp:val=&quot;001A1C07&quot;/&gt;&lt;wsp:rsid wsp:val=&quot;001A1E4C&quot;/&gt;&lt;wsp:rsid wsp:val=&quot;001A1F64&quot;/&gt;&lt;wsp:rsid wsp:val=&quot;001A2039&quot;/&gt;&lt;wsp:rsid wsp:val=&quot;001A26C4&quot;/&gt;&lt;wsp:rsid wsp:val=&quot;001A27B1&quot;/&gt;&lt;wsp:rsid wsp:val=&quot;001A3474&quot;/&gt;&lt;wsp:rsid wsp:val=&quot;001A3946&quot;/&gt;&lt;wsp:rsid wsp:val=&quot;001A3D00&quot;/&gt;&lt;wsp:rsid wsp:val=&quot;001A4339&quot;/&gt;&lt;wsp:rsid wsp:val=&quot;001A453B&quot;/&gt;&lt;wsp:rsid wsp:val=&quot;001A5914&quot;/&gt;&lt;wsp:rsid wsp:val=&quot;001A5F84&quot;/&gt;&lt;wsp:rsid wsp:val=&quot;001A6A3A&quot;/&gt;&lt;wsp:rsid wsp:val=&quot;001A712F&quot;/&gt;&lt;wsp:rsid wsp:val=&quot;001A7475&quot;/&gt;&lt;wsp:rsid wsp:val=&quot;001A770D&quot;/&gt;&lt;wsp:rsid wsp:val=&quot;001A77C5&quot;/&gt;&lt;wsp:rsid wsp:val=&quot;001B1F9C&quot;/&gt;&lt;wsp:rsid wsp:val=&quot;001B2524&quot;/&gt;&lt;wsp:rsid wsp:val=&quot;001B25E0&quot;/&gt;&lt;wsp:rsid wsp:val=&quot;001B2636&quot;/&gt;&lt;wsp:rsid wsp:val=&quot;001B274F&quot;/&gt;&lt;wsp:rsid wsp:val=&quot;001B2C04&quot;/&gt;&lt;wsp:rsid wsp:val=&quot;001B2E25&quot;/&gt;&lt;wsp:rsid wsp:val=&quot;001B35B4&quot;/&gt;&lt;wsp:rsid wsp:val=&quot;001B36A1&quot;/&gt;&lt;wsp:rsid wsp:val=&quot;001B49CC&quot;/&gt;&lt;wsp:rsid wsp:val=&quot;001B4FA3&quot;/&gt;&lt;wsp:rsid wsp:val=&quot;001B50E9&quot;/&gt;&lt;wsp:rsid wsp:val=&quot;001B6142&quot;/&gt;&lt;wsp:rsid wsp:val=&quot;001B7036&quot;/&gt;&lt;wsp:rsid wsp:val=&quot;001C06CF&quot;/&gt;&lt;wsp:rsid wsp:val=&quot;001C0813&quot;/&gt;&lt;wsp:rsid wsp:val=&quot;001C0B6B&quot;/&gt;&lt;wsp:rsid wsp:val=&quot;001C0E5F&quot;/&gt;&lt;wsp:rsid wsp:val=&quot;001C10C2&quot;/&gt;&lt;wsp:rsid wsp:val=&quot;001C1911&quot;/&gt;&lt;wsp:rsid wsp:val=&quot;001C1D95&quot;/&gt;&lt;wsp:rsid wsp:val=&quot;001C26AF&quot;/&gt;&lt;wsp:rsid wsp:val=&quot;001C2C7F&quot;/&gt;&lt;wsp:rsid wsp:val=&quot;001C3E8F&quot;/&gt;&lt;wsp:rsid wsp:val=&quot;001C3F2D&quot;/&gt;&lt;wsp:rsid wsp:val=&quot;001C3F35&quot;/&gt;&lt;wsp:rsid wsp:val=&quot;001C4955&quot;/&gt;&lt;wsp:rsid wsp:val=&quot;001C4B72&quot;/&gt;&lt;wsp:rsid wsp:val=&quot;001C4DAC&quot;/&gt;&lt;wsp:rsid wsp:val=&quot;001C59CA&quot;/&gt;&lt;wsp:rsid wsp:val=&quot;001C609B&quot;/&gt;&lt;wsp:rsid wsp:val=&quot;001C66C8&quot;/&gt;&lt;wsp:rsid wsp:val=&quot;001C692B&quot;/&gt;&lt;wsp:rsid wsp:val=&quot;001C710B&quot;/&gt;&lt;wsp:rsid wsp:val=&quot;001C7706&quot;/&gt;&lt;wsp:rsid wsp:val=&quot;001C7B90&quot;/&gt;&lt;wsp:rsid wsp:val=&quot;001D00DD&quot;/&gt;&lt;wsp:rsid wsp:val=&quot;001D12DE&quot;/&gt;&lt;wsp:rsid wsp:val=&quot;001D2C43&quot;/&gt;&lt;wsp:rsid wsp:val=&quot;001D3DE0&quot;/&gt;&lt;wsp:rsid wsp:val=&quot;001D3DF2&quot;/&gt;&lt;wsp:rsid wsp:val=&quot;001D3E47&quot;/&gt;&lt;wsp:rsid wsp:val=&quot;001D4A14&quot;/&gt;&lt;wsp:rsid wsp:val=&quot;001D5BBF&quot;/&gt;&lt;wsp:rsid wsp:val=&quot;001D639F&quot;/&gt;&lt;wsp:rsid wsp:val=&quot;001D7203&quot;/&gt;&lt;wsp:rsid wsp:val=&quot;001E0B80&quot;/&gt;&lt;wsp:rsid wsp:val=&quot;001E1E97&quot;/&gt;&lt;wsp:rsid wsp:val=&quot;001E1EEE&quot;/&gt;&lt;wsp:rsid wsp:val=&quot;001E2557&quot;/&gt;&lt;wsp:rsid wsp:val=&quot;001E3AB9&quot;/&gt;&lt;wsp:rsid wsp:val=&quot;001E43C7&quot;/&gt;&lt;wsp:rsid wsp:val=&quot;001E4410&quot;/&gt;&lt;wsp:rsid wsp:val=&quot;001E46C9&quot;/&gt;&lt;wsp:rsid wsp:val=&quot;001E4823&quot;/&gt;&lt;wsp:rsid wsp:val=&quot;001E51C2&quot;/&gt;&lt;wsp:rsid wsp:val=&quot;001E54CB&quot;/&gt;&lt;wsp:rsid wsp:val=&quot;001E54F7&quot;/&gt;&lt;wsp:rsid wsp:val=&quot;001E6721&quot;/&gt;&lt;wsp:rsid wsp:val=&quot;001F0544&quot;/&gt;&lt;wsp:rsid wsp:val=&quot;001F1A7F&quot;/&gt;&lt;wsp:rsid wsp:val=&quot;001F3C04&quot;/&gt;&lt;wsp:rsid wsp:val=&quot;001F484E&quot;/&gt;&lt;wsp:rsid wsp:val=&quot;001F48EE&quot;/&gt;&lt;wsp:rsid wsp:val=&quot;001F4AC5&quot;/&gt;&lt;wsp:rsid wsp:val=&quot;001F61C2&quot;/&gt;&lt;wsp:rsid wsp:val=&quot;001F64B3&quot;/&gt;&lt;wsp:rsid wsp:val=&quot;001F76F0&quot;/&gt;&lt;wsp:rsid wsp:val=&quot;001F7A36&quot;/&gt;&lt;wsp:rsid wsp:val=&quot;0020039B&quot;/&gt;&lt;wsp:rsid wsp:val=&quot;00200557&quot;/&gt;&lt;wsp:rsid wsp:val=&quot;00200E4F&quot;/&gt;&lt;wsp:rsid wsp:val=&quot;00201E6B&quot;/&gt;&lt;wsp:rsid wsp:val=&quot;00201EAB&quot;/&gt;&lt;wsp:rsid wsp:val=&quot;00201FA3&quot;/&gt;&lt;wsp:rsid wsp:val=&quot;00203DCC&quot;/&gt;&lt;wsp:rsid wsp:val=&quot;002040CD&quot;/&gt;&lt;wsp:rsid wsp:val=&quot;0020444A&quot;/&gt;&lt;wsp:rsid wsp:val=&quot;0020460C&quot;/&gt;&lt;wsp:rsid wsp:val=&quot;00205031&quot;/&gt;&lt;wsp:rsid wsp:val=&quot;002050BD&quot;/&gt;&lt;wsp:rsid wsp:val=&quot;00205929&quot;/&gt;&lt;wsp:rsid wsp:val=&quot;00205AA0&quot;/&gt;&lt;wsp:rsid wsp:val=&quot;002065C3&quot;/&gt;&lt;wsp:rsid wsp:val=&quot;00206743&quot;/&gt;&lt;wsp:rsid wsp:val=&quot;00210116&quot;/&gt;&lt;wsp:rsid wsp:val=&quot;002105A8&quot;/&gt;&lt;wsp:rsid wsp:val=&quot;00210DE1&quot;/&gt;&lt;wsp:rsid wsp:val=&quot;002110E8&quot;/&gt;&lt;wsp:rsid wsp:val=&quot;0021149E&quot;/&gt;&lt;wsp:rsid wsp:val=&quot;00211621&quot;/&gt;&lt;wsp:rsid wsp:val=&quot;0021179C&quot;/&gt;&lt;wsp:rsid wsp:val=&quot;00211B25&quot;/&gt;&lt;wsp:rsid wsp:val=&quot;00212A14&quot;/&gt;&lt;wsp:rsid wsp:val=&quot;0021307A&quot;/&gt;&lt;wsp:rsid wsp:val=&quot;002135F6&quot;/&gt;&lt;wsp:rsid wsp:val=&quot;00214ADE&quot;/&gt;&lt;wsp:rsid wsp:val=&quot;00214D96&quot;/&gt;&lt;wsp:rsid wsp:val=&quot;00215643&quot;/&gt;&lt;wsp:rsid wsp:val=&quot;0021585C&quot;/&gt;&lt;wsp:rsid wsp:val=&quot;00216D85&quot;/&gt;&lt;wsp:rsid wsp:val=&quot;0021733D&quot;/&gt;&lt;wsp:rsid wsp:val=&quot;0021748C&quot;/&gt;&lt;wsp:rsid wsp:val=&quot;00221566&quot;/&gt;&lt;wsp:rsid wsp:val=&quot;002229A3&quot;/&gt;&lt;wsp:rsid wsp:val=&quot;0022318F&quot;/&gt;&lt;wsp:rsid wsp:val=&quot;00223389&quot;/&gt;&lt;wsp:rsid wsp:val=&quot;00223B2F&quot;/&gt;&lt;wsp:rsid wsp:val=&quot;00223EBA&quot;/&gt;&lt;wsp:rsid wsp:val=&quot;00223ED4&quot;/&gt;&lt;wsp:rsid wsp:val=&quot;0022466F&quot;/&gt;&lt;wsp:rsid wsp:val=&quot;00224BC9&quot;/&gt;&lt;wsp:rsid wsp:val=&quot;00224E4B&quot;/&gt;&lt;wsp:rsid wsp:val=&quot;002252F9&quot;/&gt;&lt;wsp:rsid wsp:val=&quot;00225DC4&quot;/&gt;&lt;wsp:rsid wsp:val=&quot;00225DF8&quot;/&gt;&lt;wsp:rsid wsp:val=&quot;00226335&quot;/&gt;&lt;wsp:rsid wsp:val=&quot;00226405&quot;/&gt;&lt;wsp:rsid wsp:val=&quot;00226416&quot;/&gt;&lt;wsp:rsid wsp:val=&quot;002264F3&quot;/&gt;&lt;wsp:rsid wsp:val=&quot;00226793&quot;/&gt;&lt;wsp:rsid wsp:val=&quot;00226DA1&quot;/&gt;&lt;wsp:rsid wsp:val=&quot;00226E70&quot;/&gt;&lt;wsp:rsid wsp:val=&quot;00227028&quot;/&gt;&lt;wsp:rsid wsp:val=&quot;002274C7&quot;/&gt;&lt;wsp:rsid wsp:val=&quot;00227FE5&quot;/&gt;&lt;wsp:rsid wsp:val=&quot;0023033E&quot;/&gt;&lt;wsp:rsid wsp:val=&quot;00232CD6&quot;/&gt;&lt;wsp:rsid wsp:val=&quot;00232DF6&quot;/&gt;&lt;wsp:rsid wsp:val=&quot;00233946&quot;/&gt;&lt;wsp:rsid wsp:val=&quot;00233A88&quot;/&gt;&lt;wsp:rsid wsp:val=&quot;00233ACA&quot;/&gt;&lt;wsp:rsid wsp:val=&quot;00233AD0&quot;/&gt;&lt;wsp:rsid wsp:val=&quot;002343B5&quot;/&gt;&lt;wsp:rsid wsp:val=&quot;00234459&quot;/&gt;&lt;wsp:rsid wsp:val=&quot;00234BAD&quot;/&gt;&lt;wsp:rsid wsp:val=&quot;0023535E&quot;/&gt;&lt;wsp:rsid wsp:val=&quot;00235A39&quot;/&gt;&lt;wsp:rsid wsp:val=&quot;00235C43&quot;/&gt;&lt;wsp:rsid wsp:val=&quot;0023680A&quot;/&gt;&lt;wsp:rsid wsp:val=&quot;00236DA4&quot;/&gt;&lt;wsp:rsid wsp:val=&quot;00240BF7&quot;/&gt;&lt;wsp:rsid wsp:val=&quot;00240D71&quot;/&gt;&lt;wsp:rsid wsp:val=&quot;00242266&quot;/&gt;&lt;wsp:rsid wsp:val=&quot;00242404&quot;/&gt;&lt;wsp:rsid wsp:val=&quot;0024265D&quot;/&gt;&lt;wsp:rsid wsp:val=&quot;00242CED&quot;/&gt;&lt;wsp:rsid wsp:val=&quot;00242F9E&quot;/&gt;&lt;wsp:rsid wsp:val=&quot;002431C7&quot;/&gt;&lt;wsp:rsid wsp:val=&quot;00245151&quot;/&gt;&lt;wsp:rsid wsp:val=&quot;0024517D&quot;/&gt;&lt;wsp:rsid wsp:val=&quot;002452E1&quot;/&gt;&lt;wsp:rsid wsp:val=&quot;002458D9&quot;/&gt;&lt;wsp:rsid wsp:val=&quot;0024741C&quot;/&gt;&lt;wsp:rsid wsp:val=&quot;00247952&quot;/&gt;&lt;wsp:rsid wsp:val=&quot;00247ADE&quot;/&gt;&lt;wsp:rsid wsp:val=&quot;00250241&quot;/&gt;&lt;wsp:rsid wsp:val=&quot;00250718&quot;/&gt;&lt;wsp:rsid wsp:val=&quot;00250772&quot;/&gt;&lt;wsp:rsid wsp:val=&quot;0025174E&quot;/&gt;&lt;wsp:rsid wsp:val=&quot;00252E1B&quot;/&gt;&lt;wsp:rsid wsp:val=&quot;002538AE&quot;/&gt;&lt;wsp:rsid wsp:val=&quot;00253A3E&quot;/&gt;&lt;wsp:rsid wsp:val=&quot;002541A9&quot;/&gt;&lt;wsp:rsid wsp:val=&quot;00254A7D&quot;/&gt;&lt;wsp:rsid wsp:val=&quot;00254D72&quot;/&gt;&lt;wsp:rsid wsp:val=&quot;00254FE2&quot;/&gt;&lt;wsp:rsid wsp:val=&quot;00255C22&quot;/&gt;&lt;wsp:rsid wsp:val=&quot;00256112&quot;/&gt;&lt;wsp:rsid wsp:val=&quot;00256A2B&quot;/&gt;&lt;wsp:rsid wsp:val=&quot;00256D0D&quot;/&gt;&lt;wsp:rsid wsp:val=&quot;002604D9&quot;/&gt;&lt;wsp:rsid wsp:val=&quot;00260614&quot;/&gt;&lt;wsp:rsid wsp:val=&quot;00261189&quot;/&gt;&lt;wsp:rsid wsp:val=&quot;0026122C&quot;/&gt;&lt;wsp:rsid wsp:val=&quot;002615BC&quot;/&gt;&lt;wsp:rsid wsp:val=&quot;002615F2&quot;/&gt;&lt;wsp:rsid wsp:val=&quot;002629C0&quot;/&gt;&lt;wsp:rsid wsp:val=&quot;00262E5F&quot;/&gt;&lt;wsp:rsid wsp:val=&quot;0026324A&quot;/&gt;&lt;wsp:rsid wsp:val=&quot;00264417&quot;/&gt;&lt;wsp:rsid wsp:val=&quot;0026557F&quot;/&gt;&lt;wsp:rsid wsp:val=&quot;00265B79&quot;/&gt;&lt;wsp:rsid wsp:val=&quot;00265FE9&quot;/&gt;&lt;wsp:rsid wsp:val=&quot;00266B6A&quot;/&gt;&lt;wsp:rsid wsp:val=&quot;00266E3C&quot;/&gt;&lt;wsp:rsid wsp:val=&quot;002670DB&quot;/&gt;&lt;wsp:rsid wsp:val=&quot;00270193&quot;/&gt;&lt;wsp:rsid wsp:val=&quot;00270DF3&quot;/&gt;&lt;wsp:rsid wsp:val=&quot;00271B15&quot;/&gt;&lt;wsp:rsid wsp:val=&quot;00271C1A&quot;/&gt;&lt;wsp:rsid wsp:val=&quot;00272889&quot;/&gt;&lt;wsp:rsid wsp:val=&quot;002729CD&quot;/&gt;&lt;wsp:rsid wsp:val=&quot;00272BCE&quot;/&gt;&lt;wsp:rsid wsp:val=&quot;00273845&quot;/&gt;&lt;wsp:rsid wsp:val=&quot;00274004&quot;/&gt;&lt;wsp:rsid wsp:val=&quot;002749CE&quot;/&gt;&lt;wsp:rsid wsp:val=&quot;002752DD&quot;/&gt;&lt;wsp:rsid wsp:val=&quot;0027587D&quot;/&gt;&lt;wsp:rsid wsp:val=&quot;00275FDC&quot;/&gt;&lt;wsp:rsid wsp:val=&quot;00276142&quot;/&gt;&lt;wsp:rsid wsp:val=&quot;00276BB2&quot;/&gt;&lt;wsp:rsid wsp:val=&quot;00276ED7&quot;/&gt;&lt;wsp:rsid wsp:val=&quot;002772F7&quot;/&gt;&lt;wsp:rsid wsp:val=&quot;00280246&quot;/&gt;&lt;wsp:rsid wsp:val=&quot;00280F6B&quot;/&gt;&lt;wsp:rsid wsp:val=&quot;00280FE5&quot;/&gt;&lt;wsp:rsid wsp:val=&quot;002823E3&quot;/&gt;&lt;wsp:rsid wsp:val=&quot;00282429&quot;/&gt;&lt;wsp:rsid wsp:val=&quot;00282E11&quot;/&gt;&lt;wsp:rsid wsp:val=&quot;0028341A&quot;/&gt;&lt;wsp:rsid wsp:val=&quot;00283561&quot;/&gt;&lt;wsp:rsid wsp:val=&quot;002844C5&quot;/&gt;&lt;wsp:rsid wsp:val=&quot;00284854&quot;/&gt;&lt;wsp:rsid wsp:val=&quot;0028772E&quot;/&gt;&lt;wsp:rsid wsp:val=&quot;00287A9E&quot;/&gt;&lt;wsp:rsid wsp:val=&quot;00287C17&quot;/&gt;&lt;wsp:rsid wsp:val=&quot;002909C9&quot;/&gt;&lt;wsp:rsid wsp:val=&quot;002911DD&quot;/&gt;&lt;wsp:rsid wsp:val=&quot;00291790&quot;/&gt;&lt;wsp:rsid wsp:val=&quot;00292688&quot;/&gt;&lt;wsp:rsid wsp:val=&quot;0029304F&quot;/&gt;&lt;wsp:rsid wsp:val=&quot;00293179&quot;/&gt;&lt;wsp:rsid wsp:val=&quot;002945EB&quot;/&gt;&lt;wsp:rsid wsp:val=&quot;00294826&quot;/&gt;&lt;wsp:rsid wsp:val=&quot;00294C3C&quot;/&gt;&lt;wsp:rsid wsp:val=&quot;0029544B&quot;/&gt;&lt;wsp:rsid wsp:val=&quot;002963EB&quot;/&gt;&lt;wsp:rsid wsp:val=&quot;002967ED&quot;/&gt;&lt;wsp:rsid wsp:val=&quot;00296CDA&quot;/&gt;&lt;wsp:rsid wsp:val=&quot;00296D4B&quot;/&gt;&lt;wsp:rsid wsp:val=&quot;00296F75&quot;/&gt;&lt;wsp:rsid wsp:val=&quot;002972D4&quot;/&gt;&lt;wsp:rsid wsp:val=&quot;002975EF&quot;/&gt;&lt;wsp:rsid wsp:val=&quot;002A0526&quot;/&gt;&lt;wsp:rsid wsp:val=&quot;002A1E44&quot;/&gt;&lt;wsp:rsid wsp:val=&quot;002A208C&quot;/&gt;&lt;wsp:rsid wsp:val=&quot;002A454D&quot;/&gt;&lt;wsp:rsid wsp:val=&quot;002A4573&quot;/&gt;&lt;wsp:rsid wsp:val=&quot;002A5FE7&quot;/&gt;&lt;wsp:rsid wsp:val=&quot;002A68AA&quot;/&gt;&lt;wsp:rsid wsp:val=&quot;002A775B&quot;/&gt;&lt;wsp:rsid wsp:val=&quot;002A7C21&quot;/&gt;&lt;wsp:rsid wsp:val=&quot;002B06DF&quot;/&gt;&lt;wsp:rsid wsp:val=&quot;002B12FE&quot;/&gt;&lt;wsp:rsid wsp:val=&quot;002B14F2&quot;/&gt;&lt;wsp:rsid wsp:val=&quot;002B1F65&quot;/&gt;&lt;wsp:rsid wsp:val=&quot;002B1FB6&quot;/&gt;&lt;wsp:rsid wsp:val=&quot;002B212C&quot;/&gt;&lt;wsp:rsid wsp:val=&quot;002B3ED4&quot;/&gt;&lt;wsp:rsid wsp:val=&quot;002B46DF&quot;/&gt;&lt;wsp:rsid wsp:val=&quot;002B48B4&quot;/&gt;&lt;wsp:rsid wsp:val=&quot;002B499C&quot;/&gt;&lt;wsp:rsid wsp:val=&quot;002B4B68&quot;/&gt;&lt;wsp:rsid wsp:val=&quot;002B5565&quot;/&gt;&lt;wsp:rsid wsp:val=&quot;002B5CF1&quot;/&gt;&lt;wsp:rsid wsp:val=&quot;002B5E7D&quot;/&gt;&lt;wsp:rsid wsp:val=&quot;002B65DA&quot;/&gt;&lt;wsp:rsid wsp:val=&quot;002B71AB&quot;/&gt;&lt;wsp:rsid wsp:val=&quot;002C15FB&quot;/&gt;&lt;wsp:rsid wsp:val=&quot;002C1B7A&quot;/&gt;&lt;wsp:rsid wsp:val=&quot;002C2257&quot;/&gt;&lt;wsp:rsid wsp:val=&quot;002C24D9&quot;/&gt;&lt;wsp:rsid wsp:val=&quot;002C26E8&quot;/&gt;&lt;wsp:rsid wsp:val=&quot;002C2E90&quot;/&gt;&lt;wsp:rsid wsp:val=&quot;002C3F99&quot;/&gt;&lt;wsp:rsid wsp:val=&quot;002C4497&quot;/&gt;&lt;wsp:rsid wsp:val=&quot;002C45F1&quot;/&gt;&lt;wsp:rsid wsp:val=&quot;002C4653&quot;/&gt;&lt;wsp:rsid wsp:val=&quot;002C4857&quot;/&gt;&lt;wsp:rsid wsp:val=&quot;002C4AC8&quot;/&gt;&lt;wsp:rsid wsp:val=&quot;002C4E2D&quot;/&gt;&lt;wsp:rsid wsp:val=&quot;002C5BBE&quot;/&gt;&lt;wsp:rsid wsp:val=&quot;002C5E4F&quot;/&gt;&lt;wsp:rsid wsp:val=&quot;002C6BD4&quot;/&gt;&lt;wsp:rsid wsp:val=&quot;002C6C9D&quot;/&gt;&lt;wsp:rsid wsp:val=&quot;002C7459&quot;/&gt;&lt;wsp:rsid wsp:val=&quot;002C7C19&quot;/&gt;&lt;wsp:rsid wsp:val=&quot;002D1100&quot;/&gt;&lt;wsp:rsid wsp:val=&quot;002D174E&quot;/&gt;&lt;wsp:rsid wsp:val=&quot;002D17CB&quot;/&gt;&lt;wsp:rsid wsp:val=&quot;002D1C33&quot;/&gt;&lt;wsp:rsid wsp:val=&quot;002D2235&quot;/&gt;&lt;wsp:rsid wsp:val=&quot;002D2D57&quot;/&gt;&lt;wsp:rsid wsp:val=&quot;002D34CD&quot;/&gt;&lt;wsp:rsid wsp:val=&quot;002D3837&quot;/&gt;&lt;wsp:rsid wsp:val=&quot;002D48C3&quot;/&gt;&lt;wsp:rsid wsp:val=&quot;002D53F4&quot;/&gt;&lt;wsp:rsid wsp:val=&quot;002D541F&quot;/&gt;&lt;wsp:rsid wsp:val=&quot;002D6888&quot;/&gt;&lt;wsp:rsid wsp:val=&quot;002D6D28&quot;/&gt;&lt;wsp:rsid wsp:val=&quot;002D75D3&quot;/&gt;&lt;wsp:rsid wsp:val=&quot;002D77DF&quot;/&gt;&lt;wsp:rsid wsp:val=&quot;002E01D6&quot;/&gt;&lt;wsp:rsid wsp:val=&quot;002E29AF&quot;/&gt;&lt;wsp:rsid wsp:val=&quot;002E2ABE&quot;/&gt;&lt;wsp:rsid wsp:val=&quot;002E429F&quot;/&gt;&lt;wsp:rsid wsp:val=&quot;002E4420&quot;/&gt;&lt;wsp:rsid wsp:val=&quot;002E5CFC&quot;/&gt;&lt;wsp:rsid wsp:val=&quot;002E6702&quot;/&gt;&lt;wsp:rsid wsp:val=&quot;002E6BA6&quot;/&gt;&lt;wsp:rsid wsp:val=&quot;002E74A3&quot;/&gt;&lt;wsp:rsid wsp:val=&quot;002E7730&quot;/&gt;&lt;wsp:rsid wsp:val=&quot;002E7D60&quot;/&gt;&lt;wsp:rsid wsp:val=&quot;002F072B&quot;/&gt;&lt;wsp:rsid wsp:val=&quot;002F09EB&quot;/&gt;&lt;wsp:rsid wsp:val=&quot;002F112A&quot;/&gt;&lt;wsp:rsid wsp:val=&quot;002F287D&quot;/&gt;&lt;wsp:rsid wsp:val=&quot;002F2CAD&quot;/&gt;&lt;wsp:rsid wsp:val=&quot;002F3451&quot;/&gt;&lt;wsp:rsid wsp:val=&quot;002F3CD2&quot;/&gt;&lt;wsp:rsid wsp:val=&quot;002F495F&quot;/&gt;&lt;wsp:rsid wsp:val=&quot;002F5AF2&quot;/&gt;&lt;wsp:rsid wsp:val=&quot;002F6392&quot;/&gt;&lt;wsp:rsid wsp:val=&quot;002F7B97&quot;/&gt;&lt;wsp:rsid wsp:val=&quot;00300C66&quot;/&gt;&lt;wsp:rsid wsp:val=&quot;00300EC5&quot;/&gt;&lt;wsp:rsid wsp:val=&quot;00300FA2&quot;/&gt;&lt;wsp:rsid wsp:val=&quot;00301A67&quot;/&gt;&lt;wsp:rsid wsp:val=&quot;00301CA8&quot;/&gt;&lt;wsp:rsid wsp:val=&quot;00301DBB&quot;/&gt;&lt;wsp:rsid wsp:val=&quot;00301DF4&quot;/&gt;&lt;wsp:rsid wsp:val=&quot;00302714&quot;/&gt;&lt;wsp:rsid wsp:val=&quot;00302B27&quot;/&gt;&lt;wsp:rsid wsp:val=&quot;003036E0&quot;/&gt;&lt;wsp:rsid wsp:val=&quot;00303B47&quot;/&gt;&lt;wsp:rsid wsp:val=&quot;00303D0B&quot;/&gt;&lt;wsp:rsid wsp:val=&quot;003040B6&quot;/&gt;&lt;wsp:rsid wsp:val=&quot;003065F4&quot;/&gt;&lt;wsp:rsid wsp:val=&quot;00306F33&quot;/&gt;&lt;wsp:rsid wsp:val=&quot;00307A53&quot;/&gt;&lt;wsp:rsid wsp:val=&quot;003106DA&quot;/&gt;&lt;wsp:rsid wsp:val=&quot;00310D6F&quot;/&gt;&lt;wsp:rsid wsp:val=&quot;003139FD&quot;/&gt;&lt;wsp:rsid wsp:val=&quot;0031429F&quot;/&gt;&lt;wsp:rsid wsp:val=&quot;003147D8&quot;/&gt;&lt;wsp:rsid wsp:val=&quot;00314B4D&quot;/&gt;&lt;wsp:rsid wsp:val=&quot;00314E16&quot;/&gt;&lt;wsp:rsid wsp:val=&quot;00315486&quot;/&gt;&lt;wsp:rsid wsp:val=&quot;00315828&quot;/&gt;&lt;wsp:rsid wsp:val=&quot;0031647C&quot;/&gt;&lt;wsp:rsid wsp:val=&quot;0031684D&quot;/&gt;&lt;wsp:rsid wsp:val=&quot;00317220&quot;/&gt;&lt;wsp:rsid wsp:val=&quot;00317959&quot;/&gt;&lt;wsp:rsid wsp:val=&quot;003220D3&quot;/&gt;&lt;wsp:rsid wsp:val=&quot;003229D1&quot;/&gt;&lt;wsp:rsid wsp:val=&quot;003236FF&quot;/&gt;&lt;wsp:rsid wsp:val=&quot;00323E0E&quot;/&gt;&lt;wsp:rsid wsp:val=&quot;00323EE1&quot;/&gt;&lt;wsp:rsid wsp:val=&quot;00324F91&quot;/&gt;&lt;wsp:rsid wsp:val=&quot;0032521D&quot;/&gt;&lt;wsp:rsid wsp:val=&quot;00325E6F&quot;/&gt;&lt;wsp:rsid wsp:val=&quot;00326031&quot;/&gt;&lt;wsp:rsid wsp:val=&quot;00326923&quot;/&gt;&lt;wsp:rsid wsp:val=&quot;003272BF&quot;/&gt;&lt;wsp:rsid wsp:val=&quot;00330AD2&quot;/&gt;&lt;wsp:rsid wsp:val=&quot;00331527&quot;/&gt;&lt;wsp:rsid wsp:val=&quot;003318C5&quot;/&gt;&lt;wsp:rsid wsp:val=&quot;00331A3A&quot;/&gt;&lt;wsp:rsid wsp:val=&quot;00331C73&quot;/&gt;&lt;wsp:rsid wsp:val=&quot;003320B7&quot;/&gt;&lt;wsp:rsid wsp:val=&quot;00332406&quot;/&gt;&lt;wsp:rsid wsp:val=&quot;003325DC&quot;/&gt;&lt;wsp:rsid wsp:val=&quot;00332F0D&quot;/&gt;&lt;wsp:rsid wsp:val=&quot;003335DD&quot;/&gt;&lt;wsp:rsid wsp:val=&quot;00333AD7&quot;/&gt;&lt;wsp:rsid wsp:val=&quot;00334AC6&quot;/&gt;&lt;wsp:rsid wsp:val=&quot;00334CCB&quot;/&gt;&lt;wsp:rsid wsp:val=&quot;00335185&quot;/&gt;&lt;wsp:rsid wsp:val=&quot;00335223&quot;/&gt;&lt;wsp:rsid wsp:val=&quot;003369E7&quot;/&gt;&lt;wsp:rsid wsp:val=&quot;00336AED&quot;/&gt;&lt;wsp:rsid wsp:val=&quot;00341D12&quot;/&gt;&lt;wsp:rsid wsp:val=&quot;003422A5&quot;/&gt;&lt;wsp:rsid wsp:val=&quot;00342723&quot;/&gt;&lt;wsp:rsid wsp:val=&quot;00343A17&quot;/&gt;&lt;wsp:rsid wsp:val=&quot;00343C2F&quot;/&gt;&lt;wsp:rsid wsp:val=&quot;003444E6&quot;/&gt;&lt;wsp:rsid wsp:val=&quot;00344534&quot;/&gt;&lt;wsp:rsid wsp:val=&quot;003446C0&quot;/&gt;&lt;wsp:rsid wsp:val=&quot;00344AAF&quot;/&gt;&lt;wsp:rsid wsp:val=&quot;00344F44&quot;/&gt;&lt;wsp:rsid wsp:val=&quot;00345782&quot;/&gt;&lt;wsp:rsid wsp:val=&quot;00345DB2&quot;/&gt;&lt;wsp:rsid wsp:val=&quot;0034772C&quot;/&gt;&lt;wsp:rsid wsp:val=&quot;0034780E&quot;/&gt;&lt;wsp:rsid wsp:val=&quot;00347865&quot;/&gt;&lt;wsp:rsid wsp:val=&quot;00347C67&quot;/&gt;&lt;wsp:rsid wsp:val=&quot;00351D78&quot;/&gt;&lt;wsp:rsid wsp:val=&quot;003521F1&quot;/&gt;&lt;wsp:rsid wsp:val=&quot;00353196&quot;/&gt;&lt;wsp:rsid wsp:val=&quot;00355456&quot;/&gt;&lt;wsp:rsid wsp:val=&quot;003555B2&quot;/&gt;&lt;wsp:rsid wsp:val=&quot;00356505&quot;/&gt;&lt;wsp:rsid wsp:val=&quot;00356727&quot;/&gt;&lt;wsp:rsid wsp:val=&quot;00356E51&quot;/&gt;&lt;wsp:rsid wsp:val=&quot;00357A8F&quot;/&gt;&lt;wsp:rsid wsp:val=&quot;00357A9C&quot;/&gt;&lt;wsp:rsid wsp:val=&quot;0036142F&quot;/&gt;&lt;wsp:rsid wsp:val=&quot;00362AF6&quot;/&gt;&lt;wsp:rsid wsp:val=&quot;00363057&quot;/&gt;&lt;wsp:rsid wsp:val=&quot;00363B4D&quot;/&gt;&lt;wsp:rsid wsp:val=&quot;00363FAF&quot;/&gt;&lt;wsp:rsid wsp:val=&quot;00364047&quot;/&gt;&lt;wsp:rsid wsp:val=&quot;0036533A&quot;/&gt;&lt;wsp:rsid wsp:val=&quot;00365352&quot;/&gt;&lt;wsp:rsid wsp:val=&quot;00365AD9&quot;/&gt;&lt;wsp:rsid wsp:val=&quot;00365EA2&quot;/&gt;&lt;wsp:rsid wsp:val=&quot;003669E0&quot;/&gt;&lt;wsp:rsid wsp:val=&quot;00366FAD&quot;/&gt;&lt;wsp:rsid wsp:val=&quot;00367090&quot;/&gt;&lt;wsp:rsid wsp:val=&quot;0036766E&quot;/&gt;&lt;wsp:rsid wsp:val=&quot;00367A74&quot;/&gt;&lt;wsp:rsid wsp:val=&quot;003721C6&quot;/&gt;&lt;wsp:rsid wsp:val=&quot;00372B75&quot;/&gt;&lt;wsp:rsid wsp:val=&quot;00372DB4&quot;/&gt;&lt;wsp:rsid wsp:val=&quot;00372FB3&quot;/&gt;&lt;wsp:rsid wsp:val=&quot;00373466&quot;/&gt;&lt;wsp:rsid wsp:val=&quot;003734DB&quot;/&gt;&lt;wsp:rsid wsp:val=&quot;00373711&quot;/&gt;&lt;wsp:rsid wsp:val=&quot;00373ABB&quot;/&gt;&lt;wsp:rsid wsp:val=&quot;00373B7E&quot;/&gt;&lt;wsp:rsid wsp:val=&quot;003758C6&quot;/&gt;&lt;wsp:rsid wsp:val=&quot;00375A0F&quot;/&gt;&lt;wsp:rsid wsp:val=&quot;00376410&quot;/&gt;&lt;wsp:rsid wsp:val=&quot;00377B01&quot;/&gt;&lt;wsp:rsid wsp:val=&quot;0038087E&quot;/&gt;&lt;wsp:rsid wsp:val=&quot;00380BAF&quot;/&gt;&lt;wsp:rsid wsp:val=&quot;00381FD1&quot;/&gt;&lt;wsp:rsid wsp:val=&quot;0038274A&quot;/&gt;&lt;wsp:rsid wsp:val=&quot;00383F29&quot;/&gt;&lt;wsp:rsid wsp:val=&quot;003844CB&quot;/&gt;&lt;wsp:rsid wsp:val=&quot;00384A11&quot;/&gt;&lt;wsp:rsid wsp:val=&quot;00384CC3&quot;/&gt;&lt;wsp:rsid wsp:val=&quot;003855E3&quot;/&gt;&lt;wsp:rsid wsp:val=&quot;00385AA1&quot;/&gt;&lt;wsp:rsid wsp:val=&quot;00385D23&quot;/&gt;&lt;wsp:rsid wsp:val=&quot;00385DB9&quot;/&gt;&lt;wsp:rsid wsp:val=&quot;003866D9&quot;/&gt;&lt;wsp:rsid wsp:val=&quot;0038674C&quot;/&gt;&lt;wsp:rsid wsp:val=&quot;003867D2&quot;/&gt;&lt;wsp:rsid wsp:val=&quot;0038685A&quot;/&gt;&lt;wsp:rsid wsp:val=&quot;00390195&quot;/&gt;&lt;wsp:rsid wsp:val=&quot;003906ED&quot;/&gt;&lt;wsp:rsid wsp:val=&quot;003909FE&quot;/&gt;&lt;wsp:rsid wsp:val=&quot;00390A84&quot;/&gt;&lt;wsp:rsid wsp:val=&quot;00390AF8&quot;/&gt;&lt;wsp:rsid wsp:val=&quot;003912F6&quot;/&gt;&lt;wsp:rsid wsp:val=&quot;00392662&quot;/&gt;&lt;wsp:rsid wsp:val=&quot;00393D89&quot;/&gt;&lt;wsp:rsid wsp:val=&quot;0039468A&quot;/&gt;&lt;wsp:rsid wsp:val=&quot;003963D7&quot;/&gt;&lt;wsp:rsid wsp:val=&quot;00396F65&quot;/&gt;&lt;wsp:rsid wsp:val=&quot;00397356&quot;/&gt;&lt;wsp:rsid wsp:val=&quot;003973EC&quot;/&gt;&lt;wsp:rsid wsp:val=&quot;00397541&quot;/&gt;&lt;wsp:rsid wsp:val=&quot;00397E05&quot;/&gt;&lt;wsp:rsid wsp:val=&quot;003A06B3&quot;/&gt;&lt;wsp:rsid wsp:val=&quot;003A1E1E&quot;/&gt;&lt;wsp:rsid wsp:val=&quot;003A20BD&quot;/&gt;&lt;wsp:rsid wsp:val=&quot;003A22ED&quot;/&gt;&lt;wsp:rsid wsp:val=&quot;003A2844&quot;/&gt;&lt;wsp:rsid wsp:val=&quot;003A3B97&quot;/&gt;&lt;wsp:rsid wsp:val=&quot;003A3BF0&quot;/&gt;&lt;wsp:rsid wsp:val=&quot;003A3C64&quot;/&gt;&lt;wsp:rsid wsp:val=&quot;003A44B9&quot;/&gt;&lt;wsp:rsid wsp:val=&quot;003A4A19&quot;/&gt;&lt;wsp:rsid wsp:val=&quot;003A4C4E&quot;/&gt;&lt;wsp:rsid wsp:val=&quot;003A4E57&quot;/&gt;&lt;wsp:rsid wsp:val=&quot;003A5E63&quot;/&gt;&lt;wsp:rsid wsp:val=&quot;003A6946&quot;/&gt;&lt;wsp:rsid wsp:val=&quot;003A69C6&quot;/&gt;&lt;wsp:rsid wsp:val=&quot;003A6E31&quot;/&gt;&lt;wsp:rsid wsp:val=&quot;003A709F&quot;/&gt;&lt;wsp:rsid wsp:val=&quot;003B01A4&quot;/&gt;&lt;wsp:rsid wsp:val=&quot;003B0AB6&quot;/&gt;&lt;wsp:rsid wsp:val=&quot;003B18C3&quot;/&gt;&lt;wsp:rsid wsp:val=&quot;003B1987&quot;/&gt;&lt;wsp:rsid wsp:val=&quot;003B1E28&quot;/&gt;&lt;wsp:rsid wsp:val=&quot;003B2C70&quot;/&gt;&lt;wsp:rsid wsp:val=&quot;003B41D1&quot;/&gt;&lt;wsp:rsid wsp:val=&quot;003B45F9&quot;/&gt;&lt;wsp:rsid wsp:val=&quot;003B5A67&quot;/&gt;&lt;wsp:rsid wsp:val=&quot;003B5C17&quot;/&gt;&lt;wsp:rsid wsp:val=&quot;003B68C9&quot;/&gt;&lt;wsp:rsid wsp:val=&quot;003C01A0&quot;/&gt;&lt;wsp:rsid wsp:val=&quot;003C0D51&quot;/&gt;&lt;wsp:rsid wsp:val=&quot;003C250A&quot;/&gt;&lt;wsp:rsid wsp:val=&quot;003C3A26&quot;/&gt;&lt;wsp:rsid wsp:val=&quot;003C3F35&quot;/&gt;&lt;wsp:rsid wsp:val=&quot;003C4424&quot;/&gt;&lt;wsp:rsid wsp:val=&quot;003C4832&quot;/&gt;&lt;wsp:rsid wsp:val=&quot;003C4B7E&quot;/&gt;&lt;wsp:rsid wsp:val=&quot;003C53C6&quot;/&gt;&lt;wsp:rsid wsp:val=&quot;003C5672&quot;/&gt;&lt;wsp:rsid wsp:val=&quot;003C5A36&quot;/&gt;&lt;wsp:rsid wsp:val=&quot;003C6331&quot;/&gt;&lt;wsp:rsid wsp:val=&quot;003C6CB7&quot;/&gt;&lt;wsp:rsid wsp:val=&quot;003C6E87&quot;/&gt;&lt;wsp:rsid wsp:val=&quot;003C757C&quot;/&gt;&lt;wsp:rsid wsp:val=&quot;003C762F&quot;/&gt;&lt;wsp:rsid wsp:val=&quot;003C7EB4&quot;/&gt;&lt;wsp:rsid wsp:val=&quot;003D01F4&quot;/&gt;&lt;wsp:rsid wsp:val=&quot;003D0699&quot;/&gt;&lt;wsp:rsid wsp:val=&quot;003D1B29&quot;/&gt;&lt;wsp:rsid wsp:val=&quot;003D1B52&quot;/&gt;&lt;wsp:rsid wsp:val=&quot;003D33C1&quot;/&gt;&lt;wsp:rsid wsp:val=&quot;003D3FB1&quot;/&gt;&lt;wsp:rsid wsp:val=&quot;003D417A&quot;/&gt;&lt;wsp:rsid wsp:val=&quot;003D45AB&quot;/&gt;&lt;wsp:rsid wsp:val=&quot;003D5097&quot;/&gt;&lt;wsp:rsid wsp:val=&quot;003D59C1&quot;/&gt;&lt;wsp:rsid wsp:val=&quot;003D5D7F&quot;/&gt;&lt;wsp:rsid wsp:val=&quot;003D5E61&quot;/&gt;&lt;wsp:rsid wsp:val=&quot;003D728F&quot;/&gt;&lt;wsp:rsid wsp:val=&quot;003D7DD3&quot;/&gt;&lt;wsp:rsid wsp:val=&quot;003D7E31&quot;/&gt;&lt;wsp:rsid wsp:val=&quot;003E02A0&quot;/&gt;&lt;wsp:rsid wsp:val=&quot;003E068E&quot;/&gt;&lt;wsp:rsid wsp:val=&quot;003E1A22&quot;/&gt;&lt;wsp:rsid wsp:val=&quot;003E1DE8&quot;/&gt;&lt;wsp:rsid wsp:val=&quot;003E25DA&quot;/&gt;&lt;wsp:rsid wsp:val=&quot;003E3214&quot;/&gt;&lt;wsp:rsid wsp:val=&quot;003E37BB&quot;/&gt;&lt;wsp:rsid wsp:val=&quot;003E3C3E&quot;/&gt;&lt;wsp:rsid wsp:val=&quot;003E61D3&quot;/&gt;&lt;wsp:rsid wsp:val=&quot;003F2528&quot;/&gt;&lt;wsp:rsid wsp:val=&quot;003F27A1&quot;/&gt;&lt;wsp:rsid wsp:val=&quot;003F2863&quot;/&gt;&lt;wsp:rsid wsp:val=&quot;003F457A&quot;/&gt;&lt;wsp:rsid wsp:val=&quot;003F60F9&quot;/&gt;&lt;wsp:rsid wsp:val=&quot;003F6568&quot;/&gt;&lt;wsp:rsid wsp:val=&quot;003F68CF&quot;/&gt;&lt;wsp:rsid wsp:val=&quot;003F697C&quot;/&gt;&lt;wsp:rsid wsp:val=&quot;003F6E03&quot;/&gt;&lt;wsp:rsid wsp:val=&quot;003F7E78&quot;/&gt;&lt;wsp:rsid wsp:val=&quot;0040150C&quot;/&gt;&lt;wsp:rsid wsp:val=&quot;00402988&quot;/&gt;&lt;wsp:rsid wsp:val=&quot;00402FB1&quot;/&gt;&lt;wsp:rsid wsp:val=&quot;0040328C&quot;/&gt;&lt;wsp:rsid wsp:val=&quot;004048A2&quot;/&gt;&lt;wsp:rsid wsp:val=&quot;00404B13&quot;/&gt;&lt;wsp:rsid wsp:val=&quot;00405751&quot;/&gt;&lt;wsp:rsid wsp:val=&quot;00405C5C&quot;/&gt;&lt;wsp:rsid wsp:val=&quot;0040611B&quot;/&gt;&lt;wsp:rsid wsp:val=&quot;0040711B&quot;/&gt;&lt;wsp:rsid wsp:val=&quot;0040776B&quot;/&gt;&lt;wsp:rsid wsp:val=&quot;00407B15&quot;/&gt;&lt;wsp:rsid wsp:val=&quot;004111E2&quot;/&gt;&lt;wsp:rsid wsp:val=&quot;00411233&quot;/&gt;&lt;wsp:rsid wsp:val=&quot;00411451&quot;/&gt;&lt;wsp:rsid wsp:val=&quot;00412047&quot;/&gt;&lt;wsp:rsid wsp:val=&quot;00412154&quot;/&gt;&lt;wsp:rsid wsp:val=&quot;00412736&quot;/&gt;&lt;wsp:rsid wsp:val=&quot;00412B56&quot;/&gt;&lt;wsp:rsid wsp:val=&quot;004135FC&quot;/&gt;&lt;wsp:rsid wsp:val=&quot;0041442E&quot;/&gt;&lt;wsp:rsid wsp:val=&quot;00414538&quot;/&gt;&lt;wsp:rsid wsp:val=&quot;00414F82&quot;/&gt;&lt;wsp:rsid wsp:val=&quot;004150E5&quot;/&gt;&lt;wsp:rsid wsp:val=&quot;004156DD&quot;/&gt;&lt;wsp:rsid wsp:val=&quot;004158EC&quot;/&gt;&lt;wsp:rsid wsp:val=&quot;00415959&quot;/&gt;&lt;wsp:rsid wsp:val=&quot;00415F49&quot;/&gt;&lt;wsp:rsid wsp:val=&quot;004169D7&quot;/&gt;&lt;wsp:rsid wsp:val=&quot;00416B8D&quot;/&gt;&lt;wsp:rsid wsp:val=&quot;00417307&quot;/&gt;&lt;wsp:rsid wsp:val=&quot;00417398&quot;/&gt;&lt;wsp:rsid wsp:val=&quot;00417410&quot;/&gt;&lt;wsp:rsid wsp:val=&quot;004174D5&quot;/&gt;&lt;wsp:rsid wsp:val=&quot;00420316&quot;/&gt;&lt;wsp:rsid wsp:val=&quot;00420E2A&quot;/&gt;&lt;wsp:rsid wsp:val=&quot;00421D5C&quot;/&gt;&lt;wsp:rsid wsp:val=&quot;00422E7F&quot;/&gt;&lt;wsp:rsid wsp:val=&quot;004236BF&quot;/&gt;&lt;wsp:rsid wsp:val=&quot;00423C9F&quot;/&gt;&lt;wsp:rsid wsp:val=&quot;0042473C&quot;/&gt;&lt;wsp:rsid wsp:val=&quot;0042513D&quot;/&gt;&lt;wsp:rsid wsp:val=&quot;00425526&quot;/&gt;&lt;wsp:rsid wsp:val=&quot;00425872&quot;/&gt;&lt;wsp:rsid wsp:val=&quot;00426025&quot;/&gt;&lt;wsp:rsid wsp:val=&quot;00426B6C&quot;/&gt;&lt;wsp:rsid wsp:val=&quot;00426BA2&quot;/&gt;&lt;wsp:rsid wsp:val=&quot;00426D56&quot;/&gt;&lt;wsp:rsid wsp:val=&quot;004275D3&quot;/&gt;&lt;wsp:rsid wsp:val=&quot;00430235&quot;/&gt;&lt;wsp:rsid wsp:val=&quot;00430285&quot;/&gt;&lt;wsp:rsid wsp:val=&quot;00430333&quot;/&gt;&lt;wsp:rsid wsp:val=&quot;0043165A&quot;/&gt;&lt;wsp:rsid wsp:val=&quot;00431B1D&quot;/&gt;&lt;wsp:rsid wsp:val=&quot;004334AE&quot;/&gt;&lt;wsp:rsid wsp:val=&quot;004334D7&quot;/&gt;&lt;wsp:rsid wsp:val=&quot;00433CC0&quot;/&gt;&lt;wsp:rsid wsp:val=&quot;00434E02&quot;/&gt;&lt;wsp:rsid wsp:val=&quot;00435842&quot;/&gt;&lt;wsp:rsid wsp:val=&quot;004364B4&quot;/&gt;&lt;wsp:rsid wsp:val=&quot;00437C1B&quot;/&gt;&lt;wsp:rsid wsp:val=&quot;00437DD1&quot;/&gt;&lt;wsp:rsid wsp:val=&quot;004401B1&quot;/&gt;&lt;wsp:rsid wsp:val=&quot;004403FC&quot;/&gt;&lt;wsp:rsid wsp:val=&quot;0044093B&quot;/&gt;&lt;wsp:rsid wsp:val=&quot;00440CC9&quot;/&gt;&lt;wsp:rsid wsp:val=&quot;00440D59&quot;/&gt;&lt;wsp:rsid wsp:val=&quot;00440EA7&quot;/&gt;&lt;wsp:rsid wsp:val=&quot;0044172C&quot;/&gt;&lt;wsp:rsid wsp:val=&quot;00441E5A&quot;/&gt;&lt;wsp:rsid wsp:val=&quot;00441FC5&quot;/&gt;&lt;wsp:rsid wsp:val=&quot;00442728&quot;/&gt;&lt;wsp:rsid wsp:val=&quot;00442EE9&quot;/&gt;&lt;wsp:rsid wsp:val=&quot;004431E4&quot;/&gt;&lt;wsp:rsid wsp:val=&quot;004442B0&quot;/&gt;&lt;wsp:rsid wsp:val=&quot;00444A72&quot;/&gt;&lt;wsp:rsid wsp:val=&quot;004453CC&quot;/&gt;&lt;wsp:rsid wsp:val=&quot;0044627D&quot;/&gt;&lt;wsp:rsid wsp:val=&quot;004470F8&quot;/&gt;&lt;wsp:rsid wsp:val=&quot;00447D31&quot;/&gt;&lt;wsp:rsid wsp:val=&quot;00450AA1&quot;/&gt;&lt;wsp:rsid wsp:val=&quot;00450BD4&quot;/&gt;&lt;wsp:rsid wsp:val=&quot;00451395&quot;/&gt;&lt;wsp:rsid wsp:val=&quot;00451A98&quot;/&gt;&lt;wsp:rsid wsp:val=&quot;00451C21&quot;/&gt;&lt;wsp:rsid wsp:val=&quot;00451D76&quot;/&gt;&lt;wsp:rsid wsp:val=&quot;00451EA7&quot;/&gt;&lt;wsp:rsid wsp:val=&quot;004524AE&quot;/&gt;&lt;wsp:rsid wsp:val=&quot;00453413&quot;/&gt;&lt;wsp:rsid wsp:val=&quot;004535EA&quot;/&gt;&lt;wsp:rsid wsp:val=&quot;00453DDB&quot;/&gt;&lt;wsp:rsid wsp:val=&quot;00453DF1&quot;/&gt;&lt;wsp:rsid wsp:val=&quot;00454131&quot;/&gt;&lt;wsp:rsid wsp:val=&quot;00454333&quot;/&gt;&lt;wsp:rsid wsp:val=&quot;0045442A&quot;/&gt;&lt;wsp:rsid wsp:val=&quot;00455917&quot;/&gt;&lt;wsp:rsid wsp:val=&quot;00455D4D&quot;/&gt;&lt;wsp:rsid wsp:val=&quot;00455EF7&quot;/&gt;&lt;wsp:rsid wsp:val=&quot;00456275&quot;/&gt;&lt;wsp:rsid wsp:val=&quot;00456816&quot;/&gt;&lt;wsp:rsid wsp:val=&quot;00456A68&quot;/&gt;&lt;wsp:rsid wsp:val=&quot;00457BB1&quot;/&gt;&lt;wsp:rsid wsp:val=&quot;0046023D&quot;/&gt;&lt;wsp:rsid wsp:val=&quot;0046044F&quot;/&gt;&lt;wsp:rsid wsp:val=&quot;00460DFD&quot;/&gt;&lt;wsp:rsid wsp:val=&quot;00461263&quot;/&gt;&lt;wsp:rsid wsp:val=&quot;00461A78&quot;/&gt;&lt;wsp:rsid wsp:val=&quot;0046219B&quot;/&gt;&lt;wsp:rsid wsp:val=&quot;004622EA&quot;/&gt;&lt;wsp:rsid wsp:val=&quot;004629C1&quot;/&gt;&lt;wsp:rsid wsp:val=&quot;00462A20&quot;/&gt;&lt;wsp:rsid wsp:val=&quot;00462C00&quot;/&gt;&lt;wsp:rsid wsp:val=&quot;004637D9&quot;/&gt;&lt;wsp:rsid wsp:val=&quot;00464425&quot;/&gt;&lt;wsp:rsid wsp:val=&quot;004644B7&quot;/&gt;&lt;wsp:rsid wsp:val=&quot;00464B1D&quot;/&gt;&lt;wsp:rsid wsp:val=&quot;004651BF&quot;/&gt;&lt;wsp:rsid wsp:val=&quot;00465F17&quot;/&gt;&lt;wsp:rsid wsp:val=&quot;00466A26&quot;/&gt;&lt;wsp:rsid wsp:val=&quot;00466FED&quot;/&gt;&lt;wsp:rsid wsp:val=&quot;004675D1&quot;/&gt;&lt;wsp:rsid wsp:val=&quot;00470529&quot;/&gt;&lt;wsp:rsid wsp:val=&quot;00470E29&quot;/&gt;&lt;wsp:rsid wsp:val=&quot;00471D36&quot;/&gt;&lt;wsp:rsid wsp:val=&quot;00471FF3&quot;/&gt;&lt;wsp:rsid wsp:val=&quot;00472C20&quot;/&gt;&lt;wsp:rsid wsp:val=&quot;00472CE5&quot;/&gt;&lt;wsp:rsid wsp:val=&quot;00472DBA&quot;/&gt;&lt;wsp:rsid wsp:val=&quot;00473062&quot;/&gt;&lt;wsp:rsid wsp:val=&quot;00473A88&quot;/&gt;&lt;wsp:rsid wsp:val=&quot;00474123&quot;/&gt;&lt;wsp:rsid wsp:val=&quot;00474764&quot;/&gt;&lt;wsp:rsid wsp:val=&quot;00474EB5&quot;/&gt;&lt;wsp:rsid wsp:val=&quot;0047548E&quot;/&gt;&lt;wsp:rsid wsp:val=&quot;00475B88&quot;/&gt;&lt;wsp:rsid wsp:val=&quot;00475DD1&quot;/&gt;&lt;wsp:rsid wsp:val=&quot;0047652D&quot;/&gt;&lt;wsp:rsid wsp:val=&quot;004770A7&quot;/&gt;&lt;wsp:rsid wsp:val=&quot;004778AB&quot;/&gt;&lt;wsp:rsid wsp:val=&quot;004801D9&quot;/&gt;&lt;wsp:rsid wsp:val=&quot;00480B51&quot;/&gt;&lt;wsp:rsid wsp:val=&quot;00480EF1&quot;/&gt;&lt;wsp:rsid wsp:val=&quot;0048186F&quot;/&gt;&lt;wsp:rsid wsp:val=&quot;00482571&quot;/&gt;&lt;wsp:rsid wsp:val=&quot;004827A5&quot;/&gt;&lt;wsp:rsid wsp:val=&quot;004830F7&quot;/&gt;&lt;wsp:rsid wsp:val=&quot;00483129&quot;/&gt;&lt;wsp:rsid wsp:val=&quot;004837FB&quot;/&gt;&lt;wsp:rsid wsp:val=&quot;00483B5C&quot;/&gt;&lt;wsp:rsid wsp:val=&quot;004847AF&quot;/&gt;&lt;wsp:rsid wsp:val=&quot;004848A9&quot;/&gt;&lt;wsp:rsid wsp:val=&quot;00485447&quot;/&gt;&lt;wsp:rsid wsp:val=&quot;00485547&quot;/&gt;&lt;wsp:rsid wsp:val=&quot;00485B4A&quot;/&gt;&lt;wsp:rsid wsp:val=&quot;00485D94&quot;/&gt;&lt;wsp:rsid wsp:val=&quot;00486410&quot;/&gt;&lt;wsp:rsid wsp:val=&quot;00486524&quot;/&gt;&lt;wsp:rsid wsp:val=&quot;00486AB8&quot;/&gt;&lt;wsp:rsid wsp:val=&quot;00486DEE&quot;/&gt;&lt;wsp:rsid wsp:val=&quot;004875B5&quot;/&gt;&lt;wsp:rsid wsp:val=&quot;00487FC0&quot;/&gt;&lt;wsp:rsid wsp:val=&quot;004910BC&quot;/&gt;&lt;wsp:rsid wsp:val=&quot;0049135A&quot;/&gt;&lt;wsp:rsid wsp:val=&quot;0049193A&quot;/&gt;&lt;wsp:rsid wsp:val=&quot;00491C2D&quot;/&gt;&lt;wsp:rsid wsp:val=&quot;00491F51&quot;/&gt;&lt;wsp:rsid wsp:val=&quot;00492262&quot;/&gt;&lt;wsp:rsid wsp:val=&quot;00493011&quot;/&gt;&lt;wsp:rsid wsp:val=&quot;00493687&quot;/&gt;&lt;wsp:rsid wsp:val=&quot;004944FF&quot;/&gt;&lt;wsp:rsid wsp:val=&quot;00494555&quot;/&gt;&lt;wsp:rsid wsp:val=&quot;004948AC&quot;/&gt;&lt;wsp:rsid wsp:val=&quot;00494C2B&quot;/&gt;&lt;wsp:rsid wsp:val=&quot;00496307&quot;/&gt;&lt;wsp:rsid wsp:val=&quot;0049699B&quot;/&gt;&lt;wsp:rsid wsp:val=&quot;00497F64&quot;/&gt;&lt;wsp:rsid wsp:val=&quot;004A0715&quot;/&gt;&lt;wsp:rsid wsp:val=&quot;004A1DFB&quot;/&gt;&lt;wsp:rsid wsp:val=&quot;004A230F&quot;/&gt;&lt;wsp:rsid wsp:val=&quot;004A283B&quot;/&gt;&lt;wsp:rsid wsp:val=&quot;004A2CD1&quot;/&gt;&lt;wsp:rsid wsp:val=&quot;004A406D&quot;/&gt;&lt;wsp:rsid wsp:val=&quot;004A4E20&quot;/&gt;&lt;wsp:rsid wsp:val=&quot;004A517E&quot;/&gt;&lt;wsp:rsid wsp:val=&quot;004A5747&quot;/&gt;&lt;wsp:rsid wsp:val=&quot;004A7DFA&quot;/&gt;&lt;wsp:rsid wsp:val=&quot;004B0CAF&quot;/&gt;&lt;wsp:rsid wsp:val=&quot;004B173D&quot;/&gt;&lt;wsp:rsid wsp:val=&quot;004B1F2D&quot;/&gt;&lt;wsp:rsid wsp:val=&quot;004B26BF&quot;/&gt;&lt;wsp:rsid wsp:val=&quot;004B2D3A&quot;/&gt;&lt;wsp:rsid wsp:val=&quot;004B32AF&quot;/&gt;&lt;wsp:rsid wsp:val=&quot;004B3CEB&quot;/&gt;&lt;wsp:rsid wsp:val=&quot;004B41C4&quot;/&gt;&lt;wsp:rsid wsp:val=&quot;004B46D5&quot;/&gt;&lt;wsp:rsid wsp:val=&quot;004B4D63&quot;/&gt;&lt;wsp:rsid wsp:val=&quot;004B520B&quot;/&gt;&lt;wsp:rsid wsp:val=&quot;004B55F0&quot;/&gt;&lt;wsp:rsid wsp:val=&quot;004B5E43&quot;/&gt;&lt;wsp:rsid wsp:val=&quot;004B6371&quot;/&gt;&lt;wsp:rsid wsp:val=&quot;004B638D&quot;/&gt;&lt;wsp:rsid wsp:val=&quot;004B67FA&quot;/&gt;&lt;wsp:rsid wsp:val=&quot;004B777A&quot;/&gt;&lt;wsp:rsid wsp:val=&quot;004B7BD0&quot;/&gt;&lt;wsp:rsid wsp:val=&quot;004C00AA&quot;/&gt;&lt;wsp:rsid wsp:val=&quot;004C01D2&quot;/&gt;&lt;wsp:rsid wsp:val=&quot;004C096F&quot;/&gt;&lt;wsp:rsid wsp:val=&quot;004C0C5D&quot;/&gt;&lt;wsp:rsid wsp:val=&quot;004C0D35&quot;/&gt;&lt;wsp:rsid wsp:val=&quot;004C1255&quot;/&gt;&lt;wsp:rsid wsp:val=&quot;004C2429&quot;/&gt;&lt;wsp:rsid wsp:val=&quot;004C29A7&quot;/&gt;&lt;wsp:rsid wsp:val=&quot;004C36FA&quot;/&gt;&lt;wsp:rsid wsp:val=&quot;004C4A20&quot;/&gt;&lt;wsp:rsid wsp:val=&quot;004C7288&quot;/&gt;&lt;wsp:rsid wsp:val=&quot;004C7DB4&quot;/&gt;&lt;wsp:rsid wsp:val=&quot;004C7E29&quot;/&gt;&lt;wsp:rsid wsp:val=&quot;004D1A77&quot;/&gt;&lt;wsp:rsid wsp:val=&quot;004D1A8E&quot;/&gt;&lt;wsp:rsid wsp:val=&quot;004D28A4&quot;/&gt;&lt;wsp:rsid wsp:val=&quot;004D3304&quot;/&gt;&lt;wsp:rsid wsp:val=&quot;004D3533&quot;/&gt;&lt;wsp:rsid wsp:val=&quot;004D494F&quot;/&gt;&lt;wsp:rsid wsp:val=&quot;004D4979&quot;/&gt;&lt;wsp:rsid wsp:val=&quot;004D4A44&quot;/&gt;&lt;wsp:rsid wsp:val=&quot;004D5885&quot;/&gt;&lt;wsp:rsid wsp:val=&quot;004D59D9&quot;/&gt;&lt;wsp:rsid wsp:val=&quot;004D5F59&quot;/&gt;&lt;wsp:rsid wsp:val=&quot;004D708B&quot;/&gt;&lt;wsp:rsid wsp:val=&quot;004D74F4&quot;/&gt;&lt;wsp:rsid wsp:val=&quot;004D7CE6&quot;/&gt;&lt;wsp:rsid wsp:val=&quot;004E0391&quot;/&gt;&lt;wsp:rsid wsp:val=&quot;004E2243&quot;/&gt;&lt;wsp:rsid wsp:val=&quot;004E2611&quot;/&gt;&lt;wsp:rsid wsp:val=&quot;004E2AF7&quot;/&gt;&lt;wsp:rsid wsp:val=&quot;004E2CDF&quot;/&gt;&lt;wsp:rsid wsp:val=&quot;004E3C44&quot;/&gt;&lt;wsp:rsid wsp:val=&quot;004E46C5&quot;/&gt;&lt;wsp:rsid wsp:val=&quot;004E505E&quot;/&gt;&lt;wsp:rsid wsp:val=&quot;004F07C2&quot;/&gt;&lt;wsp:rsid wsp:val=&quot;004F0DAF&quot;/&gt;&lt;wsp:rsid wsp:val=&quot;004F0FCF&quot;/&gt;&lt;wsp:rsid wsp:val=&quot;004F11E6&quot;/&gt;&lt;wsp:rsid wsp:val=&quot;004F1627&quot;/&gt;&lt;wsp:rsid wsp:val=&quot;004F280C&quot;/&gt;&lt;wsp:rsid wsp:val=&quot;004F2816&quot;/&gt;&lt;wsp:rsid wsp:val=&quot;004F2829&quot;/&gt;&lt;wsp:rsid wsp:val=&quot;004F2D6D&quot;/&gt;&lt;wsp:rsid wsp:val=&quot;004F32FC&quot;/&gt;&lt;wsp:rsid wsp:val=&quot;004F33F8&quot;/&gt;&lt;wsp:rsid wsp:val=&quot;004F354B&quot;/&gt;&lt;wsp:rsid wsp:val=&quot;004F3AC8&quot;/&gt;&lt;wsp:rsid wsp:val=&quot;004F424D&quot;/&gt;&lt;wsp:rsid wsp:val=&quot;004F4317&quot;/&gt;&lt;wsp:rsid wsp:val=&quot;004F582D&quot;/&gt;&lt;wsp:rsid wsp:val=&quot;004F586F&quot;/&gt;&lt;wsp:rsid wsp:val=&quot;004F5A51&quot;/&gt;&lt;wsp:rsid wsp:val=&quot;004F6779&quot;/&gt;&lt;wsp:rsid wsp:val=&quot;004F67F4&quot;/&gt;&lt;wsp:rsid wsp:val=&quot;004F6D23&quot;/&gt;&lt;wsp:rsid wsp:val=&quot;004F7263&quot;/&gt;&lt;wsp:rsid wsp:val=&quot;004F78A8&quot;/&gt;&lt;wsp:rsid wsp:val=&quot;0050054E&quot;/&gt;&lt;wsp:rsid wsp:val=&quot;0050064D&quot;/&gt;&lt;wsp:rsid wsp:val=&quot;0050086F&quot;/&gt;&lt;wsp:rsid wsp:val=&quot;00500E8D&quot;/&gt;&lt;wsp:rsid wsp:val=&quot;00500EF4&quot;/&gt;&lt;wsp:rsid wsp:val=&quot;0050125F&quot;/&gt;&lt;wsp:rsid wsp:val=&quot;005012B6&quot;/&gt;&lt;wsp:rsid wsp:val=&quot;00502991&quot;/&gt;&lt;wsp:rsid wsp:val=&quot;00502F0C&quot;/&gt;&lt;wsp:rsid wsp:val=&quot;0050727C&quot;/&gt;&lt;wsp:rsid wsp:val=&quot;005072F1&quot;/&gt;&lt;wsp:rsid wsp:val=&quot;00507DDB&quot;/&gt;&lt;wsp:rsid wsp:val=&quot;00510EBF&quot;/&gt;&lt;wsp:rsid wsp:val=&quot;00511523&quot;/&gt;&lt;wsp:rsid wsp:val=&quot;005117D0&quot;/&gt;&lt;wsp:rsid wsp:val=&quot;005129D7&quot;/&gt;&lt;wsp:rsid wsp:val=&quot;00512A30&quot;/&gt;&lt;wsp:rsid wsp:val=&quot;00512DA5&quot;/&gt;&lt;wsp:rsid wsp:val=&quot;00512F5D&quot;/&gt;&lt;wsp:rsid wsp:val=&quot;00513878&quot;/&gt;&lt;wsp:rsid wsp:val=&quot;00514541&quot;/&gt;&lt;wsp:rsid wsp:val=&quot;005153BC&quot;/&gt;&lt;wsp:rsid wsp:val=&quot;005156A5&quot;/&gt;&lt;wsp:rsid wsp:val=&quot;00516706&quot;/&gt;&lt;wsp:rsid wsp:val=&quot;0051670F&quot;/&gt;&lt;wsp:rsid wsp:val=&quot;005169B5&quot;/&gt;&lt;wsp:rsid wsp:val=&quot;00516ABC&quot;/&gt;&lt;wsp:rsid wsp:val=&quot;00517AF4&quot;/&gt;&lt;wsp:rsid wsp:val=&quot;00517F8A&quot;/&gt;&lt;wsp:rsid wsp:val=&quot;005203E0&quot;/&gt;&lt;wsp:rsid wsp:val=&quot;005211C4&quot;/&gt;&lt;wsp:rsid wsp:val=&quot;0052132E&quot;/&gt;&lt;wsp:rsid wsp:val=&quot;00522149&quot;/&gt;&lt;wsp:rsid wsp:val=&quot;005223A4&quot;/&gt;&lt;wsp:rsid wsp:val=&quot;00522E0A&quot;/&gt;&lt;wsp:rsid wsp:val=&quot;00523807&quot;/&gt;&lt;wsp:rsid wsp:val=&quot;005238D6&quot;/&gt;&lt;wsp:rsid wsp:val=&quot;005241AD&quot;/&gt;&lt;wsp:rsid wsp:val=&quot;00524970&quot;/&gt;&lt;wsp:rsid wsp:val=&quot;00524A94&quot;/&gt;&lt;wsp:rsid wsp:val=&quot;00524B15&quot;/&gt;&lt;wsp:rsid wsp:val=&quot;00525DF1&quot;/&gt;&lt;wsp:rsid wsp:val=&quot;0052616F&quot;/&gt;&lt;wsp:rsid wsp:val=&quot;0052619C&quot;/&gt;&lt;wsp:rsid wsp:val=&quot;005263CF&quot;/&gt;&lt;wsp:rsid wsp:val=&quot;0052681E&quot;/&gt;&lt;wsp:rsid wsp:val=&quot;00526FA7&quot;/&gt;&lt;wsp:rsid wsp:val=&quot;00527943&quot;/&gt;&lt;wsp:rsid wsp:val=&quot;005304D4&quot;/&gt;&lt;wsp:rsid wsp:val=&quot;00530901&quot;/&gt;&lt;wsp:rsid wsp:val=&quot;00531DBC&quot;/&gt;&lt;wsp:rsid wsp:val=&quot;00532BC2&quot;/&gt;&lt;wsp:rsid wsp:val=&quot;00533454&quot;/&gt;&lt;wsp:rsid wsp:val=&quot;00533A07&quot;/&gt;&lt;wsp:rsid wsp:val=&quot;00533DFF&quot;/&gt;&lt;wsp:rsid wsp:val=&quot;00533E76&quot;/&gt;&lt;wsp:rsid wsp:val=&quot;005359EF&quot;/&gt;&lt;wsp:rsid wsp:val=&quot;0053602B&quot;/&gt;&lt;wsp:rsid wsp:val=&quot;005366C1&quot;/&gt;&lt;wsp:rsid wsp:val=&quot;00536FBE&quot;/&gt;&lt;wsp:rsid wsp:val=&quot;00537111&quot;/&gt;&lt;wsp:rsid wsp:val=&quot;00537DA0&quot;/&gt;&lt;wsp:rsid wsp:val=&quot;00540C7B&quot;/&gt;&lt;wsp:rsid wsp:val=&quot;00540CE0&quot;/&gt;&lt;wsp:rsid wsp:val=&quot;00541921&quot;/&gt;&lt;wsp:rsid wsp:val=&quot;005427EF&quot;/&gt;&lt;wsp:rsid wsp:val=&quot;00543D01&quot;/&gt;&lt;wsp:rsid wsp:val=&quot;00543DB5&quot;/&gt;&lt;wsp:rsid wsp:val=&quot;00543F5F&quot;/&gt;&lt;wsp:rsid wsp:val=&quot;005448DE&quot;/&gt;&lt;wsp:rsid wsp:val=&quot;00544C87&quot;/&gt;&lt;wsp:rsid wsp:val=&quot;00545246&quot;/&gt;&lt;wsp:rsid wsp:val=&quot;005456AA&quot;/&gt;&lt;wsp:rsid wsp:val=&quot;00545A66&quot;/&gt;&lt;wsp:rsid wsp:val=&quot;00546628&quot;/&gt;&lt;wsp:rsid wsp:val=&quot;0054722A&quot;/&gt;&lt;wsp:rsid wsp:val=&quot;005478CC&quot;/&gt;&lt;wsp:rsid wsp:val=&quot;0055052A&quot;/&gt;&lt;wsp:rsid wsp:val=&quot;00551AB2&quot;/&gt;&lt;wsp:rsid wsp:val=&quot;00552F79&quot;/&gt;&lt;wsp:rsid wsp:val=&quot;0055337F&quot;/&gt;&lt;wsp:rsid wsp:val=&quot;00553C5A&quot;/&gt;&lt;wsp:rsid wsp:val=&quot;00554215&quot;/&gt;&lt;wsp:rsid wsp:val=&quot;005547EC&quot;/&gt;&lt;wsp:rsid wsp:val=&quot;00554923&quot;/&gt;&lt;wsp:rsid wsp:val=&quot;00554B44&quot;/&gt;&lt;wsp:rsid wsp:val=&quot;00554CFB&quot;/&gt;&lt;wsp:rsid wsp:val=&quot;00555FC9&quot;/&gt;&lt;wsp:rsid wsp:val=&quot;005562AB&quot;/&gt;&lt;wsp:rsid wsp:val=&quot;00560437&quot;/&gt;&lt;wsp:rsid wsp:val=&quot;005607FF&quot;/&gt;&lt;wsp:rsid wsp:val=&quot;00560D81&quot;/&gt;&lt;wsp:rsid wsp:val=&quot;0056188B&quot;/&gt;&lt;wsp:rsid wsp:val=&quot;00562504&quot;/&gt;&lt;wsp:rsid wsp:val=&quot;00562543&quot;/&gt;&lt;wsp:rsid wsp:val=&quot;005629C8&quot;/&gt;&lt;wsp:rsid wsp:val=&quot;00563434&quot;/&gt;&lt;wsp:rsid wsp:val=&quot;00563575&quot;/&gt;&lt;wsp:rsid wsp:val=&quot;0056430B&quot;/&gt;&lt;wsp:rsid wsp:val=&quot;00564310&quot;/&gt;&lt;wsp:rsid wsp:val=&quot;00564BD4&quot;/&gt;&lt;wsp:rsid wsp:val=&quot;005651F6&quot;/&gt;&lt;wsp:rsid wsp:val=&quot;00565D5F&quot;/&gt;&lt;wsp:rsid wsp:val=&quot;00565F60&quot;/&gt;&lt;wsp:rsid wsp:val=&quot;005675A4&quot;/&gt;&lt;wsp:rsid wsp:val=&quot;005676DF&quot;/&gt;&lt;wsp:rsid wsp:val=&quot;005701BF&quot;/&gt;&lt;wsp:rsid wsp:val=&quot;00571FFB&quot;/&gt;&lt;wsp:rsid wsp:val=&quot;00572813&quot;/&gt;&lt;wsp:rsid wsp:val=&quot;00572AA6&quot;/&gt;&lt;wsp:rsid wsp:val=&quot;00572CCE&quot;/&gt;&lt;wsp:rsid wsp:val=&quot;005730E9&quot;/&gt;&lt;wsp:rsid wsp:val=&quot;005733A8&quot;/&gt;&lt;wsp:rsid wsp:val=&quot;005738B6&quot;/&gt;&lt;wsp:rsid wsp:val=&quot;00573E2D&quot;/&gt;&lt;wsp:rsid wsp:val=&quot;00573F65&quot;/&gt;&lt;wsp:rsid wsp:val=&quot;005741E5&quot;/&gt;&lt;wsp:rsid wsp:val=&quot;005745E9&quot;/&gt;&lt;wsp:rsid wsp:val=&quot;005747CB&quot;/&gt;&lt;wsp:rsid wsp:val=&quot;00574ADF&quot;/&gt;&lt;wsp:rsid wsp:val=&quot;0057593C&quot;/&gt;&lt;wsp:rsid wsp:val=&quot;00576B23&quot;/&gt;&lt;wsp:rsid wsp:val=&quot;00577563&quot;/&gt;&lt;wsp:rsid wsp:val=&quot;00577D3F&quot;/&gt;&lt;wsp:rsid wsp:val=&quot;0058099C&quot;/&gt;&lt;wsp:rsid wsp:val=&quot;00581022&quot;/&gt;&lt;wsp:rsid wsp:val=&quot;005823F7&quot;/&gt;&lt;wsp:rsid wsp:val=&quot;00582679&quot;/&gt;&lt;wsp:rsid wsp:val=&quot;00582932&quot;/&gt;&lt;wsp:rsid wsp:val=&quot;00582F0A&quot;/&gt;&lt;wsp:rsid wsp:val=&quot;00583223&quot;/&gt;&lt;wsp:rsid wsp:val=&quot;00584982&quot;/&gt;&lt;wsp:rsid wsp:val=&quot;005862C9&quot;/&gt;&lt;wsp:rsid wsp:val=&quot;0058661D&quot;/&gt;&lt;wsp:rsid wsp:val=&quot;00586CCC&quot;/&gt;&lt;wsp:rsid wsp:val=&quot;00587709&quot;/&gt;&lt;wsp:rsid wsp:val=&quot;00587CDA&quot;/&gt;&lt;wsp:rsid wsp:val=&quot;00590589&quot;/&gt;&lt;wsp:rsid wsp:val=&quot;00591211&quot;/&gt;&lt;wsp:rsid wsp:val=&quot;00591401&quot;/&gt;&lt;wsp:rsid wsp:val=&quot;005917EB&quot;/&gt;&lt;wsp:rsid wsp:val=&quot;0059264C&quot;/&gt;&lt;wsp:rsid wsp:val=&quot;00593E37&quot;/&gt;&lt;wsp:rsid wsp:val=&quot;0059404B&quot;/&gt;&lt;wsp:rsid wsp:val=&quot;00594094&quot;/&gt;&lt;wsp:rsid wsp:val=&quot;0059440C&quot;/&gt;&lt;wsp:rsid wsp:val=&quot;005950D1&quot;/&gt;&lt;wsp:rsid wsp:val=&quot;00595BB8&quot;/&gt;&lt;wsp:rsid wsp:val=&quot;00595FC4&quot;/&gt;&lt;wsp:rsid wsp:val=&quot;00596E4C&quot;/&gt;&lt;wsp:rsid wsp:val=&quot;00596FA7&quot;/&gt;&lt;wsp:rsid wsp:val=&quot;005A00AE&quot;/&gt;&lt;wsp:rsid wsp:val=&quot;005A07F8&quot;/&gt;&lt;wsp:rsid wsp:val=&quot;005A0B04&quot;/&gt;&lt;wsp:rsid wsp:val=&quot;005A0E12&quot;/&gt;&lt;wsp:rsid wsp:val=&quot;005A19AD&quot;/&gt;&lt;wsp:rsid wsp:val=&quot;005A202C&quot;/&gt;&lt;wsp:rsid wsp:val=&quot;005A2A4B&quot;/&gt;&lt;wsp:rsid wsp:val=&quot;005A30F6&quot;/&gt;&lt;wsp:rsid wsp:val=&quot;005A3575&quot;/&gt;&lt;wsp:rsid wsp:val=&quot;005A3762&quot;/&gt;&lt;wsp:rsid wsp:val=&quot;005A39E6&quot;/&gt;&lt;wsp:rsid wsp:val=&quot;005A46F1&quot;/&gt;&lt;wsp:rsid wsp:val=&quot;005A4789&quot;/&gt;&lt;wsp:rsid wsp:val=&quot;005A4793&quot;/&gt;&lt;wsp:rsid wsp:val=&quot;005A59AA&quot;/&gt;&lt;wsp:rsid wsp:val=&quot;005A6994&quot;/&gt;&lt;wsp:rsid wsp:val=&quot;005A6AC5&quot;/&gt;&lt;wsp:rsid wsp:val=&quot;005A7081&quot;/&gt;&lt;wsp:rsid wsp:val=&quot;005A737F&quot;/&gt;&lt;wsp:rsid wsp:val=&quot;005A7B6F&quot;/&gt;&lt;wsp:rsid wsp:val=&quot;005B0185&quot;/&gt;&lt;wsp:rsid wsp:val=&quot;005B0529&quot;/&gt;&lt;wsp:rsid wsp:val=&quot;005B0B6D&quot;/&gt;&lt;wsp:rsid wsp:val=&quot;005B0E9E&quot;/&gt;&lt;wsp:rsid wsp:val=&quot;005B1147&quot;/&gt;&lt;wsp:rsid wsp:val=&quot;005B12C9&quot;/&gt;&lt;wsp:rsid wsp:val=&quot;005B173C&quot;/&gt;&lt;wsp:rsid wsp:val=&quot;005B2313&quot;/&gt;&lt;wsp:rsid wsp:val=&quot;005B33E4&quot;/&gt;&lt;wsp:rsid wsp:val=&quot;005B34BE&quot;/&gt;&lt;wsp:rsid wsp:val=&quot;005B35C0&quot;/&gt;&lt;wsp:rsid wsp:val=&quot;005B3BA9&quot;/&gt;&lt;wsp:rsid wsp:val=&quot;005B4130&quot;/&gt;&lt;wsp:rsid wsp:val=&quot;005B4835&quot;/&gt;&lt;wsp:rsid wsp:val=&quot;005B661F&quot;/&gt;&lt;wsp:rsid wsp:val=&quot;005B6704&quot;/&gt;&lt;wsp:rsid wsp:val=&quot;005B7695&quot;/&gt;&lt;wsp:rsid wsp:val=&quot;005B7A6F&quot;/&gt;&lt;wsp:rsid wsp:val=&quot;005B7A89&quot;/&gt;&lt;wsp:rsid wsp:val=&quot;005C01FE&quot;/&gt;&lt;wsp:rsid wsp:val=&quot;005C0C09&quot;/&gt;&lt;wsp:rsid wsp:val=&quot;005C0C22&quot;/&gt;&lt;wsp:rsid wsp:val=&quot;005C19D3&quot;/&gt;&lt;wsp:rsid wsp:val=&quot;005C1C52&quot;/&gt;&lt;wsp:rsid wsp:val=&quot;005C38BB&quot;/&gt;&lt;wsp:rsid wsp:val=&quot;005C3E61&quot;/&gt;&lt;wsp:rsid wsp:val=&quot;005C411E&quot;/&gt;&lt;wsp:rsid wsp:val=&quot;005C4CAC&quot;/&gt;&lt;wsp:rsid wsp:val=&quot;005C4D9B&quot;/&gt;&lt;wsp:rsid wsp:val=&quot;005C505A&quot;/&gt;&lt;wsp:rsid wsp:val=&quot;005C59B4&quot;/&gt;&lt;wsp:rsid wsp:val=&quot;005C6EBA&quot;/&gt;&lt;wsp:rsid wsp:val=&quot;005C74BA&quot;/&gt;&lt;wsp:rsid wsp:val=&quot;005C782D&quot;/&gt;&lt;wsp:rsid wsp:val=&quot;005C7BFA&quot;/&gt;&lt;wsp:rsid wsp:val=&quot;005D05A2&quot;/&gt;&lt;wsp:rsid wsp:val=&quot;005D0812&quot;/&gt;&lt;wsp:rsid wsp:val=&quot;005D08E8&quot;/&gt;&lt;wsp:rsid wsp:val=&quot;005D2132&quot;/&gt;&lt;wsp:rsid wsp:val=&quot;005D28AC&quot;/&gt;&lt;wsp:rsid wsp:val=&quot;005D2D54&quot;/&gt;&lt;wsp:rsid wsp:val=&quot;005D3027&quot;/&gt;&lt;wsp:rsid wsp:val=&quot;005D3173&quot;/&gt;&lt;wsp:rsid wsp:val=&quot;005D384A&quot;/&gt;&lt;wsp:rsid wsp:val=&quot;005D3948&quot;/&gt;&lt;wsp:rsid wsp:val=&quot;005D3D74&quot;/&gt;&lt;wsp:rsid wsp:val=&quot;005D41E4&quot;/&gt;&lt;wsp:rsid wsp:val=&quot;005D5239&quot;/&gt;&lt;wsp:rsid wsp:val=&quot;005D54C6&quot;/&gt;&lt;wsp:rsid wsp:val=&quot;005D5BD6&quot;/&gt;&lt;wsp:rsid wsp:val=&quot;005D6D09&quot;/&gt;&lt;wsp:rsid wsp:val=&quot;005D752E&quot;/&gt;&lt;wsp:rsid wsp:val=&quot;005D78CE&quot;/&gt;&lt;wsp:rsid wsp:val=&quot;005E00DA&quot;/&gt;&lt;wsp:rsid wsp:val=&quot;005E01E5&quot;/&gt;&lt;wsp:rsid wsp:val=&quot;005E01F7&quot;/&gt;&lt;wsp:rsid wsp:val=&quot;005E0C64&quot;/&gt;&lt;wsp:rsid wsp:val=&quot;005E12D7&quot;/&gt;&lt;wsp:rsid wsp:val=&quot;005E136A&quot;/&gt;&lt;wsp:rsid wsp:val=&quot;005E2472&quot;/&gt;&lt;wsp:rsid wsp:val=&quot;005E2C7B&quot;/&gt;&lt;wsp:rsid wsp:val=&quot;005E2FC3&quot;/&gt;&lt;wsp:rsid wsp:val=&quot;005E3084&quot;/&gt;&lt;wsp:rsid wsp:val=&quot;005E37EB&quot;/&gt;&lt;wsp:rsid wsp:val=&quot;005E38AC&quot;/&gt;&lt;wsp:rsid wsp:val=&quot;005E3B45&quot;/&gt;&lt;wsp:rsid wsp:val=&quot;005E4D85&quot;/&gt;&lt;wsp:rsid wsp:val=&quot;005E53B6&quot;/&gt;&lt;wsp:rsid wsp:val=&quot;005E54B5&quot;/&gt;&lt;wsp:rsid wsp:val=&quot;005E567D&quot;/&gt;&lt;wsp:rsid wsp:val=&quot;005E68B1&quot;/&gt;&lt;wsp:rsid wsp:val=&quot;005E7FFA&quot;/&gt;&lt;wsp:rsid wsp:val=&quot;005F00AF&quot;/&gt;&lt;wsp:rsid wsp:val=&quot;005F02B7&quot;/&gt;&lt;wsp:rsid wsp:val=&quot;005F0639&quot;/&gt;&lt;wsp:rsid wsp:val=&quot;005F09DD&quot;/&gt;&lt;wsp:rsid wsp:val=&quot;005F1345&quot;/&gt;&lt;wsp:rsid wsp:val=&quot;005F139D&quot;/&gt;&lt;wsp:rsid wsp:val=&quot;005F2AF6&quot;/&gt;&lt;wsp:rsid wsp:val=&quot;005F4ECE&quot;/&gt;&lt;wsp:rsid wsp:val=&quot;005F5E4D&quot;/&gt;&lt;wsp:rsid wsp:val=&quot;005F5F9C&quot;/&gt;&lt;wsp:rsid wsp:val=&quot;005F60D2&quot;/&gt;&lt;wsp:rsid wsp:val=&quot;005F6AC1&quot;/&gt;&lt;wsp:rsid wsp:val=&quot;005F739C&quot;/&gt;&lt;wsp:rsid wsp:val=&quot;005F7967&quot;/&gt;&lt;wsp:rsid wsp:val=&quot;006012DD&quot;/&gt;&lt;wsp:rsid wsp:val=&quot;00601800&quot;/&gt;&lt;wsp:rsid wsp:val=&quot;00602044&quot;/&gt;&lt;wsp:rsid wsp:val=&quot;00602A8B&quot;/&gt;&lt;wsp:rsid wsp:val=&quot;00602C67&quot;/&gt;&lt;wsp:rsid wsp:val=&quot;0060344B&quot;/&gt;&lt;wsp:rsid wsp:val=&quot;006046A9&quot;/&gt;&lt;wsp:rsid wsp:val=&quot;006047EC&quot;/&gt;&lt;wsp:rsid wsp:val=&quot;0060488A&quot;/&gt;&lt;wsp:rsid wsp:val=&quot;00604A99&quot;/&gt;&lt;wsp:rsid wsp:val=&quot;00605DCD&quot;/&gt;&lt;wsp:rsid wsp:val=&quot;00606697&quot;/&gt;&lt;wsp:rsid wsp:val=&quot;0060797C&quot;/&gt;&lt;wsp:rsid wsp:val=&quot;00610AEC&quot;/&gt;&lt;wsp:rsid wsp:val=&quot;006113F4&quot;/&gt;&lt;wsp:rsid wsp:val=&quot;006133E1&quot;/&gt;&lt;wsp:rsid wsp:val=&quot;00613BC5&quot;/&gt;&lt;wsp:rsid wsp:val=&quot;00613BD6&quot;/&gt;&lt;wsp:rsid wsp:val=&quot;00613BF9&quot;/&gt;&lt;wsp:rsid wsp:val=&quot;00614D68&quot;/&gt;&lt;wsp:rsid wsp:val=&quot;00614F0E&quot;/&gt;&lt;wsp:rsid wsp:val=&quot;00615C71&quot;/&gt;&lt;wsp:rsid wsp:val=&quot;00615E3E&quot;/&gt;&lt;wsp:rsid wsp:val=&quot;006163EF&quot;/&gt;&lt;wsp:rsid wsp:val=&quot;00616865&quot;/&gt;&lt;wsp:rsid wsp:val=&quot;00617059&quot;/&gt;&lt;wsp:rsid wsp:val=&quot;00617791&quot;/&gt;&lt;wsp:rsid wsp:val=&quot;006204C8&quot;/&gt;&lt;wsp:rsid wsp:val=&quot;00620E74&quot;/&gt;&lt;wsp:rsid wsp:val=&quot;00620FED&quot;/&gt;&lt;wsp:rsid wsp:val=&quot;006221DE&quot;/&gt;&lt;wsp:rsid wsp:val=&quot;006226F5&quot;/&gt;&lt;wsp:rsid wsp:val=&quot;006229F8&quot;/&gt;&lt;wsp:rsid wsp:val=&quot;00622D88&quot;/&gt;&lt;wsp:rsid wsp:val=&quot;006232C9&quot;/&gt;&lt;wsp:rsid wsp:val=&quot;0062362F&quot;/&gt;&lt;wsp:rsid wsp:val=&quot;006239EB&quot;/&gt;&lt;wsp:rsid wsp:val=&quot;00624655&quot;/&gt;&lt;wsp:rsid wsp:val=&quot;00624A52&quot;/&gt;&lt;wsp:rsid wsp:val=&quot;0062534E&quot;/&gt;&lt;wsp:rsid wsp:val=&quot;006256ED&quot;/&gt;&lt;wsp:rsid wsp:val=&quot;0062647C&quot;/&gt;&lt;wsp:rsid wsp:val=&quot;0063135E&quot;/&gt;&lt;wsp:rsid wsp:val=&quot;0063199F&quot;/&gt;&lt;wsp:rsid wsp:val=&quot;00631F37&quot;/&gt;&lt;wsp:rsid wsp:val=&quot;006320AD&quot;/&gt;&lt;wsp:rsid wsp:val=&quot;006320DE&quot;/&gt;&lt;wsp:rsid wsp:val=&quot;006328EF&quot;/&gt;&lt;wsp:rsid wsp:val=&quot;00632CB4&quot;/&gt;&lt;wsp:rsid wsp:val=&quot;00632D8E&quot;/&gt;&lt;wsp:rsid wsp:val=&quot;006345A3&quot;/&gt;&lt;wsp:rsid wsp:val=&quot;00634DC5&quot;/&gt;&lt;wsp:rsid wsp:val=&quot;00635734&quot;/&gt;&lt;wsp:rsid wsp:val=&quot;00635AEB&quot;/&gt;&lt;wsp:rsid wsp:val=&quot;00635BB6&quot;/&gt;&lt;wsp:rsid wsp:val=&quot;00635C2D&quot;/&gt;&lt;wsp:rsid wsp:val=&quot;00636ACC&quot;/&gt;&lt;wsp:rsid wsp:val=&quot;00636B56&quot;/&gt;&lt;wsp:rsid wsp:val=&quot;00637702&quot;/&gt;&lt;wsp:rsid wsp:val=&quot;00637A24&quot;/&gt;&lt;wsp:rsid wsp:val=&quot;00637FAA&quot;/&gt;&lt;wsp:rsid wsp:val=&quot;0064062D&quot;/&gt;&lt;wsp:rsid wsp:val=&quot;006418C4&quot;/&gt;&lt;wsp:rsid wsp:val=&quot;00643A7A&quot;/&gt;&lt;wsp:rsid wsp:val=&quot;00644ACE&quot;/&gt;&lt;wsp:rsid wsp:val=&quot;006453E9&quot;/&gt;&lt;wsp:rsid wsp:val=&quot;006466DF&quot;/&gt;&lt;wsp:rsid wsp:val=&quot;0064684D&quot;/&gt;&lt;wsp:rsid wsp:val=&quot;00646A5D&quot;/&gt;&lt;wsp:rsid wsp:val=&quot;006477D4&quot;/&gt;&lt;wsp:rsid wsp:val=&quot;0065069F&quot;/&gt;&lt;wsp:rsid wsp:val=&quot;00650B82&quot;/&gt;&lt;wsp:rsid wsp:val=&quot;00651654&quot;/&gt;&lt;wsp:rsid wsp:val=&quot;00651900&quot;/&gt;&lt;wsp:rsid wsp:val=&quot;00651D18&quot;/&gt;&lt;wsp:rsid wsp:val=&quot;00651F26&quot;/&gt;&lt;wsp:rsid wsp:val=&quot;00652E1F&quot;/&gt;&lt;wsp:rsid wsp:val=&quot;00652F58&quot;/&gt;&lt;wsp:rsid wsp:val=&quot;0065333B&quot;/&gt;&lt;wsp:rsid wsp:val=&quot;006537EE&quot;/&gt;&lt;wsp:rsid wsp:val=&quot;0065398D&quot;/&gt;&lt;wsp:rsid wsp:val=&quot;00653E88&quot;/&gt;&lt;wsp:rsid wsp:val=&quot;00654859&quot;/&gt;&lt;wsp:rsid wsp:val=&quot;00654CE8&quot;/&gt;&lt;wsp:rsid wsp:val=&quot;00656354&quot;/&gt;&lt;wsp:rsid wsp:val=&quot;00656473&quot;/&gt;&lt;wsp:rsid wsp:val=&quot;00660A0E&quot;/&gt;&lt;wsp:rsid wsp:val=&quot;006610B7&quot;/&gt;&lt;wsp:rsid wsp:val=&quot;0066168B&quot;/&gt;&lt;wsp:rsid wsp:val=&quot;00661776&quot;/&gt;&lt;wsp:rsid wsp:val=&quot;00661C46&quot;/&gt;&lt;wsp:rsid wsp:val=&quot;00662757&quot;/&gt;&lt;wsp:rsid wsp:val=&quot;006633B2&quot;/&gt;&lt;wsp:rsid wsp:val=&quot;00663555&quot;/&gt;&lt;wsp:rsid wsp:val=&quot;00663B36&quot;/&gt;&lt;wsp:rsid wsp:val=&quot;00665022&quot;/&gt;&lt;wsp:rsid wsp:val=&quot;006651C2&quot;/&gt;&lt;wsp:rsid wsp:val=&quot;006656D2&quot;/&gt;&lt;wsp:rsid wsp:val=&quot;00665AD5&quot;/&gt;&lt;wsp:rsid wsp:val=&quot;006661A5&quot;/&gt;&lt;wsp:rsid wsp:val=&quot;00667299&quot;/&gt;&lt;wsp:rsid wsp:val=&quot;00667971&quot;/&gt;&lt;wsp:rsid wsp:val=&quot;00670FC0&quot;/&gt;&lt;wsp:rsid wsp:val=&quot;006717E5&quot;/&gt;&lt;wsp:rsid wsp:val=&quot;00671AA8&quot;/&gt;&lt;wsp:rsid wsp:val=&quot;00671AE1&quot;/&gt;&lt;wsp:rsid wsp:val=&quot;00671B6E&quot;/&gt;&lt;wsp:rsid wsp:val=&quot;00672909&quot;/&gt;&lt;wsp:rsid wsp:val=&quot;00673F39&quot;/&gt;&lt;wsp:rsid wsp:val=&quot;00673F6F&quot;/&gt;&lt;wsp:rsid wsp:val=&quot;0067436C&quot;/&gt;&lt;wsp:rsid wsp:val=&quot;006743CD&quot;/&gt;&lt;wsp:rsid wsp:val=&quot;00674AE4&quot;/&gt;&lt;wsp:rsid wsp:val=&quot;00674E2D&quot;/&gt;&lt;wsp:rsid wsp:val=&quot;0067563D&quot;/&gt;&lt;wsp:rsid wsp:val=&quot;006761E2&quot;/&gt;&lt;wsp:rsid wsp:val=&quot;006766A0&quot;/&gt;&lt;wsp:rsid wsp:val=&quot;00676E61&quot;/&gt;&lt;wsp:rsid wsp:val=&quot;00677591&quot;/&gt;&lt;wsp:rsid wsp:val=&quot;00677686&quot;/&gt;&lt;wsp:rsid wsp:val=&quot;00680F82&quot;/&gt;&lt;wsp:rsid wsp:val=&quot;00681573&quot;/&gt;&lt;wsp:rsid wsp:val=&quot;00681791&quot;/&gt;&lt;wsp:rsid wsp:val=&quot;0068278C&quot;/&gt;&lt;wsp:rsid wsp:val=&quot;0068335F&quot;/&gt;&lt;wsp:rsid wsp:val=&quot;006833BE&quot;/&gt;&lt;wsp:rsid wsp:val=&quot;006837B6&quot;/&gt;&lt;wsp:rsid wsp:val=&quot;00684638&quot;/&gt;&lt;wsp:rsid wsp:val=&quot;00684F85&quot;/&gt;&lt;wsp:rsid wsp:val=&quot;00685A90&quot;/&gt;&lt;wsp:rsid wsp:val=&quot;00686F91&quot;/&gt;&lt;wsp:rsid wsp:val=&quot;006875D6&quot;/&gt;&lt;wsp:rsid wsp:val=&quot;006878AA&quot;/&gt;&lt;wsp:rsid wsp:val=&quot;00687D1F&quot;/&gt;&lt;wsp:rsid wsp:val=&quot;0069070B&quot;/&gt;&lt;wsp:rsid wsp:val=&quot;00692F51&quot;/&gt;&lt;wsp:rsid wsp:val=&quot;006930F5&quot;/&gt;&lt;wsp:rsid wsp:val=&quot;00693918&quot;/&gt;&lt;wsp:rsid wsp:val=&quot;006950D2&quot;/&gt;&lt;wsp:rsid wsp:val=&quot;006959E0&quot;/&gt;&lt;wsp:rsid wsp:val=&quot;00695ACB&quot;/&gt;&lt;wsp:rsid wsp:val=&quot;00695CEB&quot;/&gt;&lt;wsp:rsid wsp:val=&quot;00696290&quot;/&gt;&lt;wsp:rsid wsp:val=&quot;00697FFA&quot;/&gt;&lt;wsp:rsid wsp:val=&quot;006A0B5D&quot;/&gt;&lt;wsp:rsid wsp:val=&quot;006A1B04&quot;/&gt;&lt;wsp:rsid wsp:val=&quot;006A320A&quot;/&gt;&lt;wsp:rsid wsp:val=&quot;006A367A&quot;/&gt;&lt;wsp:rsid wsp:val=&quot;006A666F&quot;/&gt;&lt;wsp:rsid wsp:val=&quot;006A6814&quot;/&gt;&lt;wsp:rsid wsp:val=&quot;006A6907&quot;/&gt;&lt;wsp:rsid wsp:val=&quot;006A6C8A&quot;/&gt;&lt;wsp:rsid wsp:val=&quot;006A7720&quot;/&gt;&lt;wsp:rsid wsp:val=&quot;006A79AA&quot;/&gt;&lt;wsp:rsid wsp:val=&quot;006B0235&quot;/&gt;&lt;wsp:rsid wsp:val=&quot;006B0EFA&quot;/&gt;&lt;wsp:rsid wsp:val=&quot;006B2793&quot;/&gt;&lt;wsp:rsid wsp:val=&quot;006B2F88&quot;/&gt;&lt;wsp:rsid wsp:val=&quot;006B30AC&quot;/&gt;&lt;wsp:rsid wsp:val=&quot;006B4407&quot;/&gt;&lt;wsp:rsid wsp:val=&quot;006B54DE&quot;/&gt;&lt;wsp:rsid wsp:val=&quot;006B6CBA&quot;/&gt;&lt;wsp:rsid wsp:val=&quot;006B70F5&quot;/&gt;&lt;wsp:rsid wsp:val=&quot;006C1530&quot;/&gt;&lt;wsp:rsid wsp:val=&quot;006C17DB&quot;/&gt;&lt;wsp:rsid wsp:val=&quot;006C35C8&quot;/&gt;&lt;wsp:rsid wsp:val=&quot;006C4897&quot;/&gt;&lt;wsp:rsid wsp:val=&quot;006C4E73&quot;/&gt;&lt;wsp:rsid wsp:val=&quot;006C5979&quot;/&gt;&lt;wsp:rsid wsp:val=&quot;006C5E16&quot;/&gt;&lt;wsp:rsid wsp:val=&quot;006C62EE&quot;/&gt;&lt;wsp:rsid wsp:val=&quot;006C63D3&quot;/&gt;&lt;wsp:rsid wsp:val=&quot;006C74E6&quot;/&gt;&lt;wsp:rsid wsp:val=&quot;006D015A&quot;/&gt;&lt;wsp:rsid wsp:val=&quot;006D22BA&quot;/&gt;&lt;wsp:rsid wsp:val=&quot;006D3705&quot;/&gt;&lt;wsp:rsid wsp:val=&quot;006D3EF6&quot;/&gt;&lt;wsp:rsid wsp:val=&quot;006D42D0&quot;/&gt;&lt;wsp:rsid wsp:val=&quot;006D455C&quot;/&gt;&lt;wsp:rsid wsp:val=&quot;006D4DBB&quot;/&gt;&lt;wsp:rsid wsp:val=&quot;006D5440&quot;/&gt;&lt;wsp:rsid wsp:val=&quot;006D54BC&quot;/&gt;&lt;wsp:rsid wsp:val=&quot;006D56BA&quot;/&gt;&lt;wsp:rsid wsp:val=&quot;006D56F1&quot;/&gt;&lt;wsp:rsid wsp:val=&quot;006D5C73&quot;/&gt;&lt;wsp:rsid wsp:val=&quot;006D5FE5&quot;/&gt;&lt;wsp:rsid wsp:val=&quot;006D742F&quot;/&gt;&lt;wsp:rsid wsp:val=&quot;006D7DF4&quot;/&gt;&lt;wsp:rsid wsp:val=&quot;006E0FC8&quot;/&gt;&lt;wsp:rsid wsp:val=&quot;006E11F6&quot;/&gt;&lt;wsp:rsid wsp:val=&quot;006E1D8D&quot;/&gt;&lt;wsp:rsid wsp:val=&quot;006E2444&quot;/&gt;&lt;wsp:rsid wsp:val=&quot;006E25BD&quot;/&gt;&lt;wsp:rsid wsp:val=&quot;006E284A&quot;/&gt;&lt;wsp:rsid wsp:val=&quot;006E2B78&quot;/&gt;&lt;wsp:rsid wsp:val=&quot;006E449F&quot;/&gt;&lt;wsp:rsid wsp:val=&quot;006E6813&quot;/&gt;&lt;wsp:rsid wsp:val=&quot;006E6A5E&quot;/&gt;&lt;wsp:rsid wsp:val=&quot;006E6D74&quot;/&gt;&lt;wsp:rsid wsp:val=&quot;006E760C&quot;/&gt;&lt;wsp:rsid wsp:val=&quot;006E76D2&quot;/&gt;&lt;wsp:rsid wsp:val=&quot;006F045A&quot;/&gt;&lt;wsp:rsid wsp:val=&quot;006F09BF&quot;/&gt;&lt;wsp:rsid wsp:val=&quot;006F14A4&quot;/&gt;&lt;wsp:rsid wsp:val=&quot;006F2388&quot;/&gt;&lt;wsp:rsid wsp:val=&quot;006F33D8&quot;/&gt;&lt;wsp:rsid wsp:val=&quot;006F3F12&quot;/&gt;&lt;wsp:rsid wsp:val=&quot;006F4C83&quot;/&gt;&lt;wsp:rsid wsp:val=&quot;006F518D&quot;/&gt;&lt;wsp:rsid wsp:val=&quot;006F52A4&quot;/&gt;&lt;wsp:rsid wsp:val=&quot;006F55BE&quot;/&gt;&lt;wsp:rsid wsp:val=&quot;006F582A&quot;/&gt;&lt;wsp:rsid wsp:val=&quot;006F5A56&quot;/&gt;&lt;wsp:rsid wsp:val=&quot;006F6D91&quot;/&gt;&lt;wsp:rsid wsp:val=&quot;006F77E8&quot;/&gt;&lt;wsp:rsid wsp:val=&quot;006F7D40&quot;/&gt;&lt;wsp:rsid wsp:val=&quot;0070048A&quot;/&gt;&lt;wsp:rsid wsp:val=&quot;007008BC&quot;/&gt;&lt;wsp:rsid wsp:val=&quot;00700C0C&quot;/&gt;&lt;wsp:rsid wsp:val=&quot;007015FC&quot;/&gt;&lt;wsp:rsid wsp:val=&quot;007028EB&quot;/&gt;&lt;wsp:rsid wsp:val=&quot;00702A88&quot;/&gt;&lt;wsp:rsid wsp:val=&quot;0070386A&quot;/&gt;&lt;wsp:rsid wsp:val=&quot;0070386C&quot;/&gt;&lt;wsp:rsid wsp:val=&quot;00703BF8&quot;/&gt;&lt;wsp:rsid wsp:val=&quot;00703EBC&quot;/&gt;&lt;wsp:rsid wsp:val=&quot;007040FA&quot;/&gt;&lt;wsp:rsid wsp:val=&quot;00706502&quot;/&gt;&lt;wsp:rsid wsp:val=&quot;007067AA&quot;/&gt;&lt;wsp:rsid wsp:val=&quot;00706975&quot;/&gt;&lt;wsp:rsid wsp:val=&quot;00707766&quot;/&gt;&lt;wsp:rsid wsp:val=&quot;00707B02&quot;/&gt;&lt;wsp:rsid wsp:val=&quot;007101BB&quot;/&gt;&lt;wsp:rsid wsp:val=&quot;00710561&quot;/&gt;&lt;wsp:rsid wsp:val=&quot;007107A6&quot;/&gt;&lt;wsp:rsid wsp:val=&quot;00710947&quot;/&gt;&lt;wsp:rsid wsp:val=&quot;007125AA&quot;/&gt;&lt;wsp:rsid wsp:val=&quot;00712F09&quot;/&gt;&lt;wsp:rsid wsp:val=&quot;00713704&quot;/&gt;&lt;wsp:rsid wsp:val=&quot;00713D99&quot;/&gt;&lt;wsp:rsid wsp:val=&quot;00714386&quot;/&gt;&lt;wsp:rsid wsp:val=&quot;007145BB&quot;/&gt;&lt;wsp:rsid wsp:val=&quot;00714E4C&quot;/&gt;&lt;wsp:rsid wsp:val=&quot;00715191&quot;/&gt;&lt;wsp:rsid wsp:val=&quot;007167D3&quot;/&gt;&lt;wsp:rsid wsp:val=&quot;007169D3&quot;/&gt;&lt;wsp:rsid wsp:val=&quot;007172BF&quot;/&gt;&lt;wsp:rsid wsp:val=&quot;00717529&quot;/&gt;&lt;wsp:rsid wsp:val=&quot;00717FC7&quot;/&gt;&lt;wsp:rsid wsp:val=&quot;00720242&quot;/&gt;&lt;wsp:rsid wsp:val=&quot;00721C16&quot;/&gt;&lt;wsp:rsid wsp:val=&quot;00721CDF&quot;/&gt;&lt;wsp:rsid wsp:val=&quot;00722172&quot;/&gt;&lt;wsp:rsid wsp:val=&quot;00722F29&quot;/&gt;&lt;wsp:rsid wsp:val=&quot;0072307C&quot;/&gt;&lt;wsp:rsid wsp:val=&quot;0072388E&quot;/&gt;&lt;wsp:rsid wsp:val=&quot;00723A4B&quot;/&gt;&lt;wsp:rsid wsp:val=&quot;00725B0D&quot;/&gt;&lt;wsp:rsid wsp:val=&quot;007264BA&quot;/&gt;&lt;wsp:rsid wsp:val=&quot;0072658D&quot;/&gt;&lt;wsp:rsid wsp:val=&quot;00726E33&quot;/&gt;&lt;wsp:rsid wsp:val=&quot;00726FAB&quot;/&gt;&lt;wsp:rsid wsp:val=&quot;00727764&quot;/&gt;&lt;wsp:rsid wsp:val=&quot;007279B7&quot;/&gt;&lt;wsp:rsid wsp:val=&quot;00731C95&quot;/&gt;&lt;wsp:rsid wsp:val=&quot;00732031&quot;/&gt;&lt;wsp:rsid wsp:val=&quot;00732345&quot;/&gt;&lt;wsp:rsid wsp:val=&quot;00732566&quot;/&gt;&lt;wsp:rsid wsp:val=&quot;00733FEA&quot;/&gt;&lt;wsp:rsid wsp:val=&quot;00734A6C&quot;/&gt;&lt;wsp:rsid wsp:val=&quot;007355E1&quot;/&gt;&lt;wsp:rsid wsp:val=&quot;00735C77&quot;/&gt;&lt;wsp:rsid wsp:val=&quot;00736093&quot;/&gt;&lt;wsp:rsid wsp:val=&quot;00736129&quot;/&gt;&lt;wsp:rsid wsp:val=&quot;007364BE&quot;/&gt;&lt;wsp:rsid wsp:val=&quot;0073696E&quot;/&gt;&lt;wsp:rsid wsp:val=&quot;00736997&quot;/&gt;&lt;wsp:rsid wsp:val=&quot;007378DD&quot;/&gt;&lt;wsp:rsid wsp:val=&quot;007402FB&quot;/&gt;&lt;wsp:rsid wsp:val=&quot;00740FAB&quot;/&gt;&lt;wsp:rsid wsp:val=&quot;00741229&quot;/&gt;&lt;wsp:rsid wsp:val=&quot;007415DF&quot;/&gt;&lt;wsp:rsid wsp:val=&quot;00742C54&quot;/&gt;&lt;wsp:rsid wsp:val=&quot;00743C57&quot;/&gt;&lt;wsp:rsid wsp:val=&quot;00743CB0&quot;/&gt;&lt;wsp:rsid wsp:val=&quot;00744B7A&quot;/&gt;&lt;wsp:rsid wsp:val=&quot;007458F5&quot;/&gt;&lt;wsp:rsid wsp:val=&quot;00745C5F&quot;/&gt;&lt;wsp:rsid wsp:val=&quot;00745CC5&quot;/&gt;&lt;wsp:rsid wsp:val=&quot;00745F92&quot;/&gt;&lt;wsp:rsid wsp:val=&quot;0074670C&quot;/&gt;&lt;wsp:rsid wsp:val=&quot;00747A45&quot;/&gt;&lt;wsp:rsid wsp:val=&quot;00747C3A&quot;/&gt;&lt;wsp:rsid wsp:val=&quot;00747F73&quot;/&gt;&lt;wsp:rsid wsp:val=&quot;007500EE&quot;/&gt;&lt;wsp:rsid wsp:val=&quot;007501C5&quot;/&gt;&lt;wsp:rsid wsp:val=&quot;00750209&quot;/&gt;&lt;wsp:rsid wsp:val=&quot;00750301&quot;/&gt;&lt;wsp:rsid wsp:val=&quot;00750AE6&quot;/&gt;&lt;wsp:rsid wsp:val=&quot;00750E35&quot;/&gt;&lt;wsp:rsid wsp:val=&quot;00751541&quot;/&gt;&lt;wsp:rsid wsp:val=&quot;00751F08&quot;/&gt;&lt;wsp:rsid wsp:val=&quot;0075209D&quot;/&gt;&lt;wsp:rsid wsp:val=&quot;007529E9&quot;/&gt;&lt;wsp:rsid wsp:val=&quot;007530B7&quot;/&gt;&lt;wsp:rsid wsp:val=&quot;00753265&quot;/&gt;&lt;wsp:rsid wsp:val=&quot;0075362B&quot;/&gt;&lt;wsp:rsid wsp:val=&quot;00753A44&quot;/&gt;&lt;wsp:rsid wsp:val=&quot;00754000&quot;/&gt;&lt;wsp:rsid wsp:val=&quot;00754785&quot;/&gt;&lt;wsp:rsid wsp:val=&quot;00755049&quot;/&gt;&lt;wsp:rsid wsp:val=&quot;007557ED&quot;/&gt;&lt;wsp:rsid wsp:val=&quot;00755DAA&quot;/&gt;&lt;wsp:rsid wsp:val=&quot;007568FC&quot;/&gt;&lt;wsp:rsid wsp:val=&quot;00756C08&quot;/&gt;&lt;wsp:rsid wsp:val=&quot;007574B8&quot;/&gt;&lt;wsp:rsid wsp:val=&quot;00757534&quot;/&gt;&lt;wsp:rsid wsp:val=&quot;007579C2&quot;/&gt;&lt;wsp:rsid wsp:val=&quot;00760331&quot;/&gt;&lt;wsp:rsid wsp:val=&quot;00760A2C&quot;/&gt;&lt;wsp:rsid wsp:val=&quot;00760D98&quot;/&gt;&lt;wsp:rsid wsp:val=&quot;007611C4&quot;/&gt;&lt;wsp:rsid wsp:val=&quot;00761C83&quot;/&gt;&lt;wsp:rsid wsp:val=&quot;00761F01&quot;/&gt;&lt;wsp:rsid wsp:val=&quot;0076380B&quot;/&gt;&lt;wsp:rsid wsp:val=&quot;00763AF9&quot;/&gt;&lt;wsp:rsid wsp:val=&quot;00764BF2&quot;/&gt;&lt;wsp:rsid wsp:val=&quot;0076534A&quot;/&gt;&lt;wsp:rsid wsp:val=&quot;007658E5&quot;/&gt;&lt;wsp:rsid wsp:val=&quot;00765C50&quot;/&gt;&lt;wsp:rsid wsp:val=&quot;007662A6&quot;/&gt;&lt;wsp:rsid wsp:val=&quot;0076662F&quot;/&gt;&lt;wsp:rsid wsp:val=&quot;007669B7&quot;/&gt;&lt;wsp:rsid wsp:val=&quot;00766E78&quot;/&gt;&lt;wsp:rsid wsp:val=&quot;00766FF3&quot;/&gt;&lt;wsp:rsid wsp:val=&quot;0076725C&quot;/&gt;&lt;wsp:rsid wsp:val=&quot;007675C3&quot;/&gt;&lt;wsp:rsid wsp:val=&quot;00770367&quot;/&gt;&lt;wsp:rsid wsp:val=&quot;00770645&quot;/&gt;&lt;wsp:rsid wsp:val=&quot;0077077C&quot;/&gt;&lt;wsp:rsid wsp:val=&quot;00770A11&quot;/&gt;&lt;wsp:rsid wsp:val=&quot;00770D98&quot;/&gt;&lt;wsp:rsid wsp:val=&quot;00771D62&quot;/&gt;&lt;wsp:rsid wsp:val=&quot;0077216B&quot;/&gt;&lt;wsp:rsid wsp:val=&quot;00772F2C&quot;/&gt;&lt;wsp:rsid wsp:val=&quot;0077354F&quot;/&gt;&lt;wsp:rsid wsp:val=&quot;00773669&quot;/&gt;&lt;wsp:rsid wsp:val=&quot;007737BA&quot;/&gt;&lt;wsp:rsid wsp:val=&quot;00774A0F&quot;/&gt;&lt;wsp:rsid wsp:val=&quot;007750B3&quot;/&gt;&lt;wsp:rsid wsp:val=&quot;007760A4&quot;/&gt;&lt;wsp:rsid wsp:val=&quot;007760A8&quot;/&gt;&lt;wsp:rsid wsp:val=&quot;0077683E&quot;/&gt;&lt;wsp:rsid wsp:val=&quot;007771AC&quot;/&gt;&lt;wsp:rsid wsp:val=&quot;007804F1&quot;/&gt;&lt;wsp:rsid wsp:val=&quot;00780BED&quot;/&gt;&lt;wsp:rsid wsp:val=&quot;00780DDC&quot;/&gt;&lt;wsp:rsid wsp:val=&quot;0078115A&quot;/&gt;&lt;wsp:rsid wsp:val=&quot;0078151C&quot;/&gt;&lt;wsp:rsid wsp:val=&quot;007819E9&quot;/&gt;&lt;wsp:rsid wsp:val=&quot;007826D7&quot;/&gt;&lt;wsp:rsid wsp:val=&quot;00782D31&quot;/&gt;&lt;wsp:rsid wsp:val=&quot;007850B3&quot;/&gt;&lt;wsp:rsid wsp:val=&quot;00785F7B&quot;/&gt;&lt;wsp:rsid wsp:val=&quot;007860BF&quot;/&gt;&lt;wsp:rsid wsp:val=&quot;00786CA0&quot;/&gt;&lt;wsp:rsid wsp:val=&quot;00786E4B&quot;/&gt;&lt;wsp:rsid wsp:val=&quot;00787B85&quot;/&gt;&lt;wsp:rsid wsp:val=&quot;00787DA5&quot;/&gt;&lt;wsp:rsid wsp:val=&quot;00790481&quot;/&gt;&lt;wsp:rsid wsp:val=&quot;0079058E&quot;/&gt;&lt;wsp:rsid wsp:val=&quot;007908AC&quot;/&gt;&lt;wsp:rsid wsp:val=&quot;00790FB2&quot;/&gt;&lt;wsp:rsid wsp:val=&quot;00790FD1&quot;/&gt;&lt;wsp:rsid wsp:val=&quot;00792DD0&quot;/&gt;&lt;wsp:rsid wsp:val=&quot;00793196&quot;/&gt;&lt;wsp:rsid wsp:val=&quot;007936D4&quot;/&gt;&lt;wsp:rsid wsp:val=&quot;00793C08&quot;/&gt;&lt;wsp:rsid wsp:val=&quot;00794266&quot;/&gt;&lt;wsp:rsid wsp:val=&quot;00794655&quot;/&gt;&lt;wsp:rsid wsp:val=&quot;00794799&quot;/&gt;&lt;wsp:rsid wsp:val=&quot;007964AC&quot;/&gt;&lt;wsp:rsid wsp:val=&quot;00796A69&quot;/&gt;&lt;wsp:rsid wsp:val=&quot;007976CF&quot;/&gt;&lt;wsp:rsid wsp:val=&quot;007A0A5E&quot;/&gt;&lt;wsp:rsid wsp:val=&quot;007A16E2&quot;/&gt;&lt;wsp:rsid wsp:val=&quot;007A180E&quot;/&gt;&lt;wsp:rsid wsp:val=&quot;007A1B63&quot;/&gt;&lt;wsp:rsid wsp:val=&quot;007A1C0B&quot;/&gt;&lt;wsp:rsid wsp:val=&quot;007A26E9&quot;/&gt;&lt;wsp:rsid wsp:val=&quot;007A33CA&quot;/&gt;&lt;wsp:rsid wsp:val=&quot;007A3578&quot;/&gt;&lt;wsp:rsid wsp:val=&quot;007A3B3A&quot;/&gt;&lt;wsp:rsid wsp:val=&quot;007A45AE&quot;/&gt;&lt;wsp:rsid wsp:val=&quot;007A4945&quot;/&gt;&lt;wsp:rsid wsp:val=&quot;007A4A68&quot;/&gt;&lt;wsp:rsid wsp:val=&quot;007A5461&quot;/&gt;&lt;wsp:rsid wsp:val=&quot;007A573C&quot;/&gt;&lt;wsp:rsid wsp:val=&quot;007A5D2E&quot;/&gt;&lt;wsp:rsid wsp:val=&quot;007A5D48&quot;/&gt;&lt;wsp:rsid wsp:val=&quot;007A63F4&quot;/&gt;&lt;wsp:rsid wsp:val=&quot;007A658C&quot;/&gt;&lt;wsp:rsid wsp:val=&quot;007A71B9&quot;/&gt;&lt;wsp:rsid wsp:val=&quot;007B01D0&quot;/&gt;&lt;wsp:rsid wsp:val=&quot;007B08D2&quot;/&gt;&lt;wsp:rsid wsp:val=&quot;007B0A8F&quot;/&gt;&lt;wsp:rsid wsp:val=&quot;007B0B99&quot;/&gt;&lt;wsp:rsid wsp:val=&quot;007B0C22&quot;/&gt;&lt;wsp:rsid wsp:val=&quot;007B24EB&quot;/&gt;&lt;wsp:rsid wsp:val=&quot;007B277B&quot;/&gt;&lt;wsp:rsid wsp:val=&quot;007B3290&quot;/&gt;&lt;wsp:rsid wsp:val=&quot;007B3403&quot;/&gt;&lt;wsp:rsid wsp:val=&quot;007B3C51&quot;/&gt;&lt;wsp:rsid wsp:val=&quot;007B3E5D&quot;/&gt;&lt;wsp:rsid wsp:val=&quot;007B40D0&quot;/&gt;&lt;wsp:rsid wsp:val=&quot;007B5211&quot;/&gt;&lt;wsp:rsid wsp:val=&quot;007B5BDB&quot;/&gt;&lt;wsp:rsid wsp:val=&quot;007B5C65&quot;/&gt;&lt;wsp:rsid wsp:val=&quot;007B5F6B&quot;/&gt;&lt;wsp:rsid wsp:val=&quot;007B68D4&quot;/&gt;&lt;wsp:rsid wsp:val=&quot;007B77FA&quot;/&gt;&lt;wsp:rsid wsp:val=&quot;007B7B3B&quot;/&gt;&lt;wsp:rsid wsp:val=&quot;007B7B4E&quot;/&gt;&lt;wsp:rsid wsp:val=&quot;007B7D40&quot;/&gt;&lt;wsp:rsid wsp:val=&quot;007B7DAA&quot;/&gt;&lt;wsp:rsid wsp:val=&quot;007C0325&quot;/&gt;&lt;wsp:rsid wsp:val=&quot;007C0A63&quot;/&gt;&lt;wsp:rsid wsp:val=&quot;007C1109&quot;/&gt;&lt;wsp:rsid wsp:val=&quot;007C18E2&quot;/&gt;&lt;wsp:rsid wsp:val=&quot;007C2156&quot;/&gt;&lt;wsp:rsid wsp:val=&quot;007C28A7&quot;/&gt;&lt;wsp:rsid wsp:val=&quot;007C28BC&quot;/&gt;&lt;wsp:rsid wsp:val=&quot;007C35BC&quot;/&gt;&lt;wsp:rsid wsp:val=&quot;007C45D2&quot;/&gt;&lt;wsp:rsid wsp:val=&quot;007C4CAC&quot;/&gt;&lt;wsp:rsid wsp:val=&quot;007C4E83&quot;/&gt;&lt;wsp:rsid wsp:val=&quot;007C71CA&quot;/&gt;&lt;wsp:rsid wsp:val=&quot;007D0041&quot;/&gt;&lt;wsp:rsid wsp:val=&quot;007D04C2&quot;/&gt;&lt;wsp:rsid wsp:val=&quot;007D1073&quot;/&gt;&lt;wsp:rsid wsp:val=&quot;007D1710&quot;/&gt;&lt;wsp:rsid wsp:val=&quot;007D2D2D&quot;/&gt;&lt;wsp:rsid wsp:val=&quot;007D35F0&quot;/&gt;&lt;wsp:rsid wsp:val=&quot;007D43C6&quot;/&gt;&lt;wsp:rsid wsp:val=&quot;007D4403&quot;/&gt;&lt;wsp:rsid wsp:val=&quot;007D47FB&quot;/&gt;&lt;wsp:rsid wsp:val=&quot;007D4936&quot;/&gt;&lt;wsp:rsid wsp:val=&quot;007D4AD6&quot;/&gt;&lt;wsp:rsid wsp:val=&quot;007D51B1&quot;/&gt;&lt;wsp:rsid wsp:val=&quot;007D57B7&quot;/&gt;&lt;wsp:rsid wsp:val=&quot;007D5BC4&quot;/&gt;&lt;wsp:rsid wsp:val=&quot;007D62E8&quot;/&gt;&lt;wsp:rsid wsp:val=&quot;007D6DD3&quot;/&gt;&lt;wsp:rsid wsp:val=&quot;007E040F&quot;/&gt;&lt;wsp:rsid wsp:val=&quot;007E066E&quot;/&gt;&lt;wsp:rsid wsp:val=&quot;007E08D6&quot;/&gt;&lt;wsp:rsid wsp:val=&quot;007E0B27&quot;/&gt;&lt;wsp:rsid wsp:val=&quot;007E0E91&quot;/&gt;&lt;wsp:rsid wsp:val=&quot;007E1072&quot;/&gt;&lt;wsp:rsid wsp:val=&quot;007E298B&quot;/&gt;&lt;wsp:rsid wsp:val=&quot;007E2B8F&quot;/&gt;&lt;wsp:rsid wsp:val=&quot;007E2F20&quot;/&gt;&lt;wsp:rsid wsp:val=&quot;007E3C3B&quot;/&gt;&lt;wsp:rsid wsp:val=&quot;007E4F43&quot;/&gt;&lt;wsp:rsid wsp:val=&quot;007E5B1B&quot;/&gt;&lt;wsp:rsid wsp:val=&quot;007E7608&quot;/&gt;&lt;wsp:rsid wsp:val=&quot;007F14AB&quot;/&gt;&lt;wsp:rsid wsp:val=&quot;007F160B&quot;/&gt;&lt;wsp:rsid wsp:val=&quot;007F1C9C&quot;/&gt;&lt;wsp:rsid wsp:val=&quot;007F2B2D&quot;/&gt;&lt;wsp:rsid wsp:val=&quot;007F35EA&quot;/&gt;&lt;wsp:rsid wsp:val=&quot;007F448C&quot;/&gt;&lt;wsp:rsid wsp:val=&quot;007F533C&quot;/&gt;&lt;wsp:rsid wsp:val=&quot;007F5C6C&quot;/&gt;&lt;wsp:rsid wsp:val=&quot;007F6662&quot;/&gt;&lt;wsp:rsid wsp:val=&quot;007F6AC6&quot;/&gt;&lt;wsp:rsid wsp:val=&quot;007F6E29&quot;/&gt;&lt;wsp:rsid wsp:val=&quot;007F719B&quot;/&gt;&lt;wsp:rsid wsp:val=&quot;007F7376&quot;/&gt;&lt;wsp:rsid wsp:val=&quot;00800D0C&quot;/&gt;&lt;wsp:rsid wsp:val=&quot;00800F5F&quot;/&gt;&lt;wsp:rsid wsp:val=&quot;00801192&quot;/&gt;&lt;wsp:rsid wsp:val=&quot;0080155B&quot;/&gt;&lt;wsp:rsid wsp:val=&quot;008028BB&quot;/&gt;&lt;wsp:rsid wsp:val=&quot;0080319D&quot;/&gt;&lt;wsp:rsid wsp:val=&quot;008034FB&quot;/&gt;&lt;wsp:rsid wsp:val=&quot;008046E9&quot;/&gt;&lt;wsp:rsid wsp:val=&quot;00804FEB&quot;/&gt;&lt;wsp:rsid wsp:val=&quot;00805290&quot;/&gt;&lt;wsp:rsid wsp:val=&quot;00805758&quot;/&gt;&lt;wsp:rsid wsp:val=&quot;0080590E&quot;/&gt;&lt;wsp:rsid wsp:val=&quot;00805E17&quot;/&gt;&lt;wsp:rsid wsp:val=&quot;00806035&quot;/&gt;&lt;wsp:rsid wsp:val=&quot;00806680&quot;/&gt;&lt;wsp:rsid wsp:val=&quot;008071CA&quot;/&gt;&lt;wsp:rsid wsp:val=&quot;008074F8&quot;/&gt;&lt;wsp:rsid wsp:val=&quot;0080768F&quot;/&gt;&lt;wsp:rsid wsp:val=&quot;00813146&quot;/&gt;&lt;wsp:rsid wsp:val=&quot;008131F0&quot;/&gt;&lt;wsp:rsid wsp:val=&quot;00814139&quot;/&gt;&lt;wsp:rsid wsp:val=&quot;00814D9A&quot;/&gt;&lt;wsp:rsid wsp:val=&quot;00815203&quot;/&gt;&lt;wsp:rsid wsp:val=&quot;00816080&quot;/&gt;&lt;wsp:rsid wsp:val=&quot;008166E2&quot;/&gt;&lt;wsp:rsid wsp:val=&quot;008169CC&quot;/&gt;&lt;wsp:rsid wsp:val=&quot;00816A66&quot;/&gt;&lt;wsp:rsid wsp:val=&quot;00817D29&quot;/&gt;&lt;wsp:rsid wsp:val=&quot;008200D9&quot;/&gt;&lt;wsp:rsid wsp:val=&quot;00820E63&quot;/&gt;&lt;wsp:rsid wsp:val=&quot;00823F9C&quot;/&gt;&lt;wsp:rsid wsp:val=&quot;008246E2&quot;/&gt;&lt;wsp:rsid wsp:val=&quot;00824B21&quot;/&gt;&lt;wsp:rsid wsp:val=&quot;00824C10&quot;/&gt;&lt;wsp:rsid wsp:val=&quot;008250E1&quot;/&gt;&lt;wsp:rsid wsp:val=&quot;00826C9C&quot;/&gt;&lt;wsp:rsid wsp:val=&quot;00826DF9&quot;/&gt;&lt;wsp:rsid wsp:val=&quot;0082729D&quot;/&gt;&lt;wsp:rsid wsp:val=&quot;008277C0&quot;/&gt;&lt;wsp:rsid wsp:val=&quot;00827D75&quot;/&gt;&lt;wsp:rsid wsp:val=&quot;00827F4B&quot;/&gt;&lt;wsp:rsid wsp:val=&quot;008313FD&quot;/&gt;&lt;wsp:rsid wsp:val=&quot;00831605&quot;/&gt;&lt;wsp:rsid wsp:val=&quot;00831C75&quot;/&gt;&lt;wsp:rsid wsp:val=&quot;0083220A&quot;/&gt;&lt;wsp:rsid wsp:val=&quot;00832600&quot;/&gt;&lt;wsp:rsid wsp:val=&quot;008326F5&quot;/&gt;&lt;wsp:rsid wsp:val=&quot;008328E2&quot;/&gt;&lt;wsp:rsid wsp:val=&quot;00833142&quot;/&gt;&lt;wsp:rsid wsp:val=&quot;00833CF0&quot;/&gt;&lt;wsp:rsid wsp:val=&quot;00834608&quot;/&gt;&lt;wsp:rsid wsp:val=&quot;00834946&quot;/&gt;&lt;wsp:rsid wsp:val=&quot;00834A4A&quot;/&gt;&lt;wsp:rsid wsp:val=&quot;00834AA2&quot;/&gt;&lt;wsp:rsid wsp:val=&quot;00834C24&quot;/&gt;&lt;wsp:rsid wsp:val=&quot;00835937&quot;/&gt;&lt;wsp:rsid wsp:val=&quot;00835AEC&quot;/&gt;&lt;wsp:rsid wsp:val=&quot;00835F98&quot;/&gt;&lt;wsp:rsid wsp:val=&quot;0083690A&quot;/&gt;&lt;wsp:rsid wsp:val=&quot;00836ADD&quot;/&gt;&lt;wsp:rsid wsp:val=&quot;00836BFB&quot;/&gt;&lt;wsp:rsid wsp:val=&quot;00836C93&quot;/&gt;&lt;wsp:rsid wsp:val=&quot;00837867&quot;/&gt;&lt;wsp:rsid wsp:val=&quot;008379F6&quot;/&gt;&lt;wsp:rsid wsp:val=&quot;00837BA4&quot;/&gt;&lt;wsp:rsid wsp:val=&quot;0084099B&quot;/&gt;&lt;wsp:rsid wsp:val=&quot;00840B3D&quot;/&gt;&lt;wsp:rsid wsp:val=&quot;00840BFB&quot;/&gt;&lt;wsp:rsid wsp:val=&quot;00840C01&quot;/&gt;&lt;wsp:rsid wsp:val=&quot;00840D6B&quot;/&gt;&lt;wsp:rsid wsp:val=&quot;00841A01&quot;/&gt;&lt;wsp:rsid wsp:val=&quot;00841A8C&quot;/&gt;&lt;wsp:rsid wsp:val=&quot;00841F48&quot;/&gt;&lt;wsp:rsid wsp:val=&quot;00842F5E&quot;/&gt;&lt;wsp:rsid wsp:val=&quot;00843174&quot;/&gt;&lt;wsp:rsid wsp:val=&quot;008436CA&quot;/&gt;&lt;wsp:rsid wsp:val=&quot;00843BA3&quot;/&gt;&lt;wsp:rsid wsp:val=&quot;00843BFE&quot;/&gt;&lt;wsp:rsid wsp:val=&quot;00843E56&quot;/&gt;&lt;wsp:rsid wsp:val=&quot;008440B2&quot;/&gt;&lt;wsp:rsid wsp:val=&quot;00844487&quot;/&gt;&lt;wsp:rsid wsp:val=&quot;00844DCE&quot;/&gt;&lt;wsp:rsid wsp:val=&quot;00846503&quot;/&gt;&lt;wsp:rsid wsp:val=&quot;00846807&quot;/&gt;&lt;wsp:rsid wsp:val=&quot;00847B4E&quot;/&gt;&lt;wsp:rsid wsp:val=&quot;00850D95&quot;/&gt;&lt;wsp:rsid wsp:val=&quot;00851318&quot;/&gt;&lt;wsp:rsid wsp:val=&quot;00851A67&quot;/&gt;&lt;wsp:rsid wsp:val=&quot;00851E7C&quot;/&gt;&lt;wsp:rsid wsp:val=&quot;00851EFD&quot;/&gt;&lt;wsp:rsid wsp:val=&quot;00852E90&quot;/&gt;&lt;wsp:rsid wsp:val=&quot;008532DA&quot;/&gt;&lt;wsp:rsid wsp:val=&quot;0085387A&quot;/&gt;&lt;wsp:rsid wsp:val=&quot;00853950&quot;/&gt;&lt;wsp:rsid wsp:val=&quot;00853D52&quot;/&gt;&lt;wsp:rsid wsp:val=&quot;008542FE&quot;/&gt;&lt;wsp:rsid wsp:val=&quot;008545E8&quot;/&gt;&lt;wsp:rsid wsp:val=&quot;008549AC&quot;/&gt;&lt;wsp:rsid wsp:val=&quot;00854FC0&quot;/&gt;&lt;wsp:rsid wsp:val=&quot;00856562&quot;/&gt;&lt;wsp:rsid wsp:val=&quot;00856913&quot;/&gt;&lt;wsp:rsid wsp:val=&quot;008573E1&quot;/&gt;&lt;wsp:rsid wsp:val=&quot;008579AD&quot;/&gt;&lt;wsp:rsid wsp:val=&quot;00857DE7&quot;/&gt;&lt;wsp:rsid wsp:val=&quot;00857E5C&quot;/&gt;&lt;wsp:rsid wsp:val=&quot;00860521&quot;/&gt;&lt;wsp:rsid wsp:val=&quot;00860922&quot;/&gt;&lt;wsp:rsid wsp:val=&quot;0086116D&quot;/&gt;&lt;wsp:rsid wsp:val=&quot;00861B66&quot;/&gt;&lt;wsp:rsid wsp:val=&quot;00862133&quot;/&gt;&lt;wsp:rsid wsp:val=&quot;00863E9D&quot;/&gt;&lt;wsp:rsid wsp:val=&quot;00864522&quot;/&gt;&lt;wsp:rsid wsp:val=&quot;00864B33&quot;/&gt;&lt;wsp:rsid wsp:val=&quot;00865506&quot;/&gt;&lt;wsp:rsid wsp:val=&quot;008655ED&quot;/&gt;&lt;wsp:rsid wsp:val=&quot;008662E8&quot;/&gt;&lt;wsp:rsid wsp:val=&quot;008707EE&quot;/&gt;&lt;wsp:rsid wsp:val=&quot;0087106B&quot;/&gt;&lt;wsp:rsid wsp:val=&quot;0087223F&quot;/&gt;&lt;wsp:rsid wsp:val=&quot;00873401&quot;/&gt;&lt;wsp:rsid wsp:val=&quot;0087346A&quot;/&gt;&lt;wsp:rsid wsp:val=&quot;00873C10&quot;/&gt;&lt;wsp:rsid wsp:val=&quot;00873F43&quot;/&gt;&lt;wsp:rsid wsp:val=&quot;008749B0&quot;/&gt;&lt;wsp:rsid wsp:val=&quot;00874D3B&quot;/&gt;&lt;wsp:rsid wsp:val=&quot;0087514E&quot;/&gt;&lt;wsp:rsid wsp:val=&quot;0087592C&quot;/&gt;&lt;wsp:rsid wsp:val=&quot;00875971&quot;/&gt;&lt;wsp:rsid wsp:val=&quot;008761D5&quot;/&gt;&lt;wsp:rsid wsp:val=&quot;0087691B&quot;/&gt;&lt;wsp:rsid wsp:val=&quot;00876D7A&quot;/&gt;&lt;wsp:rsid wsp:val=&quot;00876E68&quot;/&gt;&lt;wsp:rsid wsp:val=&quot;0087714C&quot;/&gt;&lt;wsp:rsid wsp:val=&quot;00877572&quot;/&gt;&lt;wsp:rsid wsp:val=&quot;008800B1&quot;/&gt;&lt;wsp:rsid wsp:val=&quot;00880876&quot;/&gt;&lt;wsp:rsid wsp:val=&quot;008818CA&quot;/&gt;&lt;wsp:rsid wsp:val=&quot;00881D39&quot;/&gt;&lt;wsp:rsid wsp:val=&quot;00882FAA&quot;/&gt;&lt;wsp:rsid wsp:val=&quot;008838D9&quot;/&gt;&lt;wsp:rsid wsp:val=&quot;008839A3&quot;/&gt;&lt;wsp:rsid wsp:val=&quot;00885289&quot;/&gt;&lt;wsp:rsid wsp:val=&quot;0088539D&quot;/&gt;&lt;wsp:rsid wsp:val=&quot;00885472&quot;/&gt;&lt;wsp:rsid wsp:val=&quot;00885BB5&quot;/&gt;&lt;wsp:rsid wsp:val=&quot;0088622D&quot;/&gt;&lt;wsp:rsid wsp:val=&quot;00886598&quot;/&gt;&lt;wsp:rsid wsp:val=&quot;008868B5&quot;/&gt;&lt;wsp:rsid wsp:val=&quot;008878FC&quot;/&gt;&lt;wsp:rsid wsp:val=&quot;00887C7E&quot;/&gt;&lt;wsp:rsid wsp:val=&quot;0089022B&quot;/&gt;&lt;wsp:rsid wsp:val=&quot;00890E54&quot;/&gt;&lt;wsp:rsid wsp:val=&quot;00890EE3&quot;/&gt;&lt;wsp:rsid wsp:val=&quot;00890F6E&quot;/&gt;&lt;wsp:rsid wsp:val=&quot;00891265&quot;/&gt;&lt;wsp:rsid wsp:val=&quot;00891A85&quot;/&gt;&lt;wsp:rsid wsp:val=&quot;00891E11&quot;/&gt;&lt;wsp:rsid wsp:val=&quot;00892273&quot;/&gt;&lt;wsp:rsid wsp:val=&quot;008929FD&quot;/&gt;&lt;wsp:rsid wsp:val=&quot;00893705&quot;/&gt;&lt;wsp:rsid wsp:val=&quot;00893A7B&quot;/&gt;&lt;wsp:rsid wsp:val=&quot;00893C31&quot;/&gt;&lt;wsp:rsid wsp:val=&quot;008944A8&quot;/&gt;&lt;wsp:rsid wsp:val=&quot;00894F86&quot;/&gt;&lt;wsp:rsid wsp:val=&quot;008957BA&quot;/&gt;&lt;wsp:rsid wsp:val=&quot;00895E07&quot;/&gt;&lt;wsp:rsid wsp:val=&quot;008960B8&quot;/&gt;&lt;wsp:rsid wsp:val=&quot;00896F2B&quot;/&gt;&lt;wsp:rsid wsp:val=&quot;008971CE&quot;/&gt;&lt;wsp:rsid wsp:val=&quot;00897331&quot;/&gt;&lt;wsp:rsid wsp:val=&quot;0089736F&quot;/&gt;&lt;wsp:rsid wsp:val=&quot;008973FF&quot;/&gt;&lt;wsp:rsid wsp:val=&quot;00897C57&quot;/&gt;&lt;wsp:rsid wsp:val=&quot;00897D56&quot;/&gt;&lt;wsp:rsid wsp:val=&quot;008A0EFB&quot;/&gt;&lt;wsp:rsid wsp:val=&quot;008A1446&quot;/&gt;&lt;wsp:rsid wsp:val=&quot;008A284F&quot;/&gt;&lt;wsp:rsid wsp:val=&quot;008A2905&quot;/&gt;&lt;wsp:rsid wsp:val=&quot;008A2C88&quot;/&gt;&lt;wsp:rsid wsp:val=&quot;008A318D&quot;/&gt;&lt;wsp:rsid wsp:val=&quot;008A34CD&quot;/&gt;&lt;wsp:rsid wsp:val=&quot;008A42DF&quot;/&gt;&lt;wsp:rsid wsp:val=&quot;008A553F&quot;/&gt;&lt;wsp:rsid wsp:val=&quot;008A591C&quot;/&gt;&lt;wsp:rsid wsp:val=&quot;008A5990&quot;/&gt;&lt;wsp:rsid wsp:val=&quot;008A5A4C&quot;/&gt;&lt;wsp:rsid wsp:val=&quot;008A5B1F&quot;/&gt;&lt;wsp:rsid wsp:val=&quot;008A66B6&quot;/&gt;&lt;wsp:rsid wsp:val=&quot;008A6DD1&quot;/&gt;&lt;wsp:rsid wsp:val=&quot;008A6E0C&quot;/&gt;&lt;wsp:rsid wsp:val=&quot;008A6FF8&quot;/&gt;&lt;wsp:rsid wsp:val=&quot;008A74F9&quot;/&gt;&lt;wsp:rsid wsp:val=&quot;008A7682&quot;/&gt;&lt;wsp:rsid wsp:val=&quot;008B01F3&quot;/&gt;&lt;wsp:rsid wsp:val=&quot;008B04AC&quot;/&gt;&lt;wsp:rsid wsp:val=&quot;008B09EF&quot;/&gt;&lt;wsp:rsid wsp:val=&quot;008B09F5&quot;/&gt;&lt;wsp:rsid wsp:val=&quot;008B0B1F&quot;/&gt;&lt;wsp:rsid wsp:val=&quot;008B0B65&quot;/&gt;&lt;wsp:rsid wsp:val=&quot;008B1540&quot;/&gt;&lt;wsp:rsid wsp:val=&quot;008B1927&quot;/&gt;&lt;wsp:rsid wsp:val=&quot;008B1CA3&quot;/&gt;&lt;wsp:rsid wsp:val=&quot;008B21B4&quot;/&gt;&lt;wsp:rsid wsp:val=&quot;008B2920&quot;/&gt;&lt;wsp:rsid wsp:val=&quot;008B2CDB&quot;/&gt;&lt;wsp:rsid wsp:val=&quot;008B30B3&quot;/&gt;&lt;wsp:rsid wsp:val=&quot;008B3157&quot;/&gt;&lt;wsp:rsid wsp:val=&quot;008B3784&quot;/&gt;&lt;wsp:rsid wsp:val=&quot;008B3A7A&quot;/&gt;&lt;wsp:rsid wsp:val=&quot;008B4297&quot;/&gt;&lt;wsp:rsid wsp:val=&quot;008B43E7&quot;/&gt;&lt;wsp:rsid wsp:val=&quot;008B48E2&quot;/&gt;&lt;wsp:rsid wsp:val=&quot;008B4C7C&quot;/&gt;&lt;wsp:rsid wsp:val=&quot;008B4D5E&quot;/&gt;&lt;wsp:rsid wsp:val=&quot;008B4F14&quot;/&gt;&lt;wsp:rsid wsp:val=&quot;008B507C&quot;/&gt;&lt;wsp:rsid wsp:val=&quot;008B57D7&quot;/&gt;&lt;wsp:rsid wsp:val=&quot;008B6334&quot;/&gt;&lt;wsp:rsid wsp:val=&quot;008B653A&quot;/&gt;&lt;wsp:rsid wsp:val=&quot;008B739A&quot;/&gt;&lt;wsp:rsid wsp:val=&quot;008B7A2A&quot;/&gt;&lt;wsp:rsid wsp:val=&quot;008B7B0F&quot;/&gt;&lt;wsp:rsid wsp:val=&quot;008B7FBB&quot;/&gt;&lt;wsp:rsid wsp:val=&quot;008C0601&quot;/&gt;&lt;wsp:rsid wsp:val=&quot;008C0A5D&quot;/&gt;&lt;wsp:rsid wsp:val=&quot;008C1361&quot;/&gt;&lt;wsp:rsid wsp:val=&quot;008C21D0&quot;/&gt;&lt;wsp:rsid wsp:val=&quot;008C326F&quot;/&gt;&lt;wsp:rsid wsp:val=&quot;008C457B&quot;/&gt;&lt;wsp:rsid wsp:val=&quot;008C54B2&quot;/&gt;&lt;wsp:rsid wsp:val=&quot;008C55B2&quot;/&gt;&lt;wsp:rsid wsp:val=&quot;008C771A&quot;/&gt;&lt;wsp:rsid wsp:val=&quot;008D0858&quot;/&gt;&lt;wsp:rsid wsp:val=&quot;008D0E4E&quot;/&gt;&lt;wsp:rsid wsp:val=&quot;008D14CD&quot;/&gt;&lt;wsp:rsid wsp:val=&quot;008D2E3E&quot;/&gt;&lt;wsp:rsid wsp:val=&quot;008D3C9D&quot;/&gt;&lt;wsp:rsid wsp:val=&quot;008D4426&quot;/&gt;&lt;wsp:rsid wsp:val=&quot;008D48F8&quot;/&gt;&lt;wsp:rsid wsp:val=&quot;008D50DD&quot;/&gt;&lt;wsp:rsid wsp:val=&quot;008D519D&quot;/&gt;&lt;wsp:rsid wsp:val=&quot;008D55A7&quot;/&gt;&lt;wsp:rsid wsp:val=&quot;008D57CB&quot;/&gt;&lt;wsp:rsid wsp:val=&quot;008D58EB&quot;/&gt;&lt;wsp:rsid wsp:val=&quot;008D5B25&quot;/&gt;&lt;wsp:rsid wsp:val=&quot;008D5CEF&quot;/&gt;&lt;wsp:rsid wsp:val=&quot;008D6370&quot;/&gt;&lt;wsp:rsid wsp:val=&quot;008D6AD3&quot;/&gt;&lt;wsp:rsid wsp:val=&quot;008D6FEC&quot;/&gt;&lt;wsp:rsid wsp:val=&quot;008D70FB&quot;/&gt;&lt;wsp:rsid wsp:val=&quot;008D7B48&quot;/&gt;&lt;wsp:rsid wsp:val=&quot;008E0929&quot;/&gt;&lt;wsp:rsid wsp:val=&quot;008E20D6&quot;/&gt;&lt;wsp:rsid wsp:val=&quot;008E2BC7&quot;/&gt;&lt;wsp:rsid wsp:val=&quot;008E30A0&quot;/&gt;&lt;wsp:rsid wsp:val=&quot;008E30D0&quot;/&gt;&lt;wsp:rsid wsp:val=&quot;008E36DF&quot;/&gt;&lt;wsp:rsid wsp:val=&quot;008E4B43&quot;/&gt;&lt;wsp:rsid wsp:val=&quot;008E61B5&quot;/&gt;&lt;wsp:rsid wsp:val=&quot;008E6EA3&quot;/&gt;&lt;wsp:rsid wsp:val=&quot;008E71F7&quot;/&gt;&lt;wsp:rsid wsp:val=&quot;008F0916&quot;/&gt;&lt;wsp:rsid wsp:val=&quot;008F115D&quot;/&gt;&lt;wsp:rsid wsp:val=&quot;008F173E&quot;/&gt;&lt;wsp:rsid wsp:val=&quot;008F27EA&quot;/&gt;&lt;wsp:rsid wsp:val=&quot;008F2BEA&quot;/&gt;&lt;wsp:rsid wsp:val=&quot;008F3629&quot;/&gt;&lt;wsp:rsid wsp:val=&quot;008F39DD&quot;/&gt;&lt;wsp:rsid wsp:val=&quot;008F4286&quot;/&gt;&lt;wsp:rsid wsp:val=&quot;008F5A1A&quot;/&gt;&lt;wsp:rsid wsp:val=&quot;008F5E52&quot;/&gt;&lt;wsp:rsid wsp:val=&quot;008F6028&quot;/&gt;&lt;wsp:rsid wsp:val=&quot;008F6CFE&quot;/&gt;&lt;wsp:rsid wsp:val=&quot;008F6D79&quot;/&gt;&lt;wsp:rsid wsp:val=&quot;008F7B7E&quot;/&gt;&lt;wsp:rsid wsp:val=&quot;00900835&quot;/&gt;&lt;wsp:rsid wsp:val=&quot;00901A33&quot;/&gt;&lt;wsp:rsid wsp:val=&quot;00901EFB&quot;/&gt;&lt;wsp:rsid wsp:val=&quot;00902067&quot;/&gt;&lt;wsp:rsid wsp:val=&quot;009030CF&quot;/&gt;&lt;wsp:rsid wsp:val=&quot;00903252&quot;/&gt;&lt;wsp:rsid wsp:val=&quot;0090385F&quot;/&gt;&lt;wsp:rsid wsp:val=&quot;00903D36&quot;/&gt;&lt;wsp:rsid wsp:val=&quot;00903FF4&quot;/&gt;&lt;wsp:rsid wsp:val=&quot;009051F5&quot;/&gt;&lt;wsp:rsid wsp:val=&quot;0090526C&quot;/&gt;&lt;wsp:rsid wsp:val=&quot;0090626E&quot;/&gt;&lt;wsp:rsid wsp:val=&quot;009062BD&quot;/&gt;&lt;wsp:rsid wsp:val=&quot;00906C99&quot;/&gt;&lt;wsp:rsid wsp:val=&quot;00907618&quot;/&gt;&lt;wsp:rsid wsp:val=&quot;009109C7&quot;/&gt;&lt;wsp:rsid wsp:val=&quot;0091100D&quot;/&gt;&lt;wsp:rsid wsp:val=&quot;0091118E&quot;/&gt;&lt;wsp:rsid wsp:val=&quot;00911A17&quot;/&gt;&lt;wsp:rsid wsp:val=&quot;0091245C&quot;/&gt;&lt;wsp:rsid wsp:val=&quot;00913768&quot;/&gt;&lt;wsp:rsid wsp:val=&quot;00913B65&quot;/&gt;&lt;wsp:rsid wsp:val=&quot;0091439B&quot;/&gt;&lt;wsp:rsid wsp:val=&quot;009155C7&quot;/&gt;&lt;wsp:rsid wsp:val=&quot;00915632&quot;/&gt;&lt;wsp:rsid wsp:val=&quot;00915A8B&quot;/&gt;&lt;wsp:rsid wsp:val=&quot;00915ADF&quot;/&gt;&lt;wsp:rsid wsp:val=&quot;00915C0C&quot;/&gt;&lt;wsp:rsid wsp:val=&quot;00916338&quot;/&gt;&lt;wsp:rsid wsp:val=&quot;00916635&quot;/&gt;&lt;wsp:rsid wsp:val=&quot;00916DA0&quot;/&gt;&lt;wsp:rsid wsp:val=&quot;009170F8&quot;/&gt;&lt;wsp:rsid wsp:val=&quot;00920B2A&quot;/&gt;&lt;wsp:rsid wsp:val=&quot;0092107E&quot;/&gt;&lt;wsp:rsid wsp:val=&quot;00921629&quot;/&gt;&lt;wsp:rsid wsp:val=&quot;009237F2&quot;/&gt;&lt;wsp:rsid wsp:val=&quot;009239ED&quot;/&gt;&lt;wsp:rsid wsp:val=&quot;00923C62&quot;/&gt;&lt;wsp:rsid wsp:val=&quot;0092408F&quot;/&gt;&lt;wsp:rsid wsp:val=&quot;0092431B&quot;/&gt;&lt;wsp:rsid wsp:val=&quot;0092520E&quot;/&gt;&lt;wsp:rsid wsp:val=&quot;0092559B&quot;/&gt;&lt;wsp:rsid wsp:val=&quot;00925E6C&quot;/&gt;&lt;wsp:rsid wsp:val=&quot;009269B6&quot;/&gt;&lt;wsp:rsid wsp:val=&quot;00926A0B&quot;/&gt;&lt;wsp:rsid wsp:val=&quot;00926FF8&quot;/&gt;&lt;wsp:rsid wsp:val=&quot;00927963&quot;/&gt;&lt;wsp:rsid wsp:val=&quot;00927E17&quot;/&gt;&lt;wsp:rsid wsp:val=&quot;00930185&quot;/&gt;&lt;wsp:rsid wsp:val=&quot;0093107D&quot;/&gt;&lt;wsp:rsid wsp:val=&quot;009314AF&quot;/&gt;&lt;wsp:rsid wsp:val=&quot;00931561&quot;/&gt;&lt;wsp:rsid wsp:val=&quot;009319DB&quot;/&gt;&lt;wsp:rsid wsp:val=&quot;00932112&quot;/&gt;&lt;wsp:rsid wsp:val=&quot;00933EB9&quot;/&gt;&lt;wsp:rsid wsp:val=&quot;0093421A&quot;/&gt;&lt;wsp:rsid wsp:val=&quot;00934309&quot;/&gt;&lt;wsp:rsid wsp:val=&quot;0093526E&quot;/&gt;&lt;wsp:rsid wsp:val=&quot;009366FE&quot;/&gt;&lt;wsp:rsid wsp:val=&quot;00936A31&quot;/&gt;&lt;wsp:rsid wsp:val=&quot;00936F3F&quot;/&gt;&lt;wsp:rsid wsp:val=&quot;00937A71&quot;/&gt;&lt;wsp:rsid wsp:val=&quot;00937B22&quot;/&gt;&lt;wsp:rsid wsp:val=&quot;00937BFD&quot;/&gt;&lt;wsp:rsid wsp:val=&quot;00940931&quot;/&gt;&lt;wsp:rsid wsp:val=&quot;0094154F&quot;/&gt;&lt;wsp:rsid wsp:val=&quot;00943482&quot;/&gt;&lt;wsp:rsid wsp:val=&quot;00943621&quot;/&gt;&lt;wsp:rsid wsp:val=&quot;0094460B&quot;/&gt;&lt;wsp:rsid wsp:val=&quot;00944B10&quot;/&gt;&lt;wsp:rsid wsp:val=&quot;009452FE&quot;/&gt;&lt;wsp:rsid wsp:val=&quot;00945AE0&quot;/&gt;&lt;wsp:rsid wsp:val=&quot;0094661E&quot;/&gt;&lt;wsp:rsid wsp:val=&quot;00946A3C&quot;/&gt;&lt;wsp:rsid wsp:val=&quot;00946AF2&quot;/&gt;&lt;wsp:rsid wsp:val=&quot;00946D55&quot;/&gt;&lt;wsp:rsid wsp:val=&quot;009477DE&quot;/&gt;&lt;wsp:rsid wsp:val=&quot;0094788D&quot;/&gt;&lt;wsp:rsid wsp:val=&quot;0095075F&quot;/&gt;&lt;wsp:rsid wsp:val=&quot;00950BB5&quot;/&gt;&lt;wsp:rsid wsp:val=&quot;009516B0&quot;/&gt;&lt;wsp:rsid wsp:val=&quot;00951AD3&quot;/&gt;&lt;wsp:rsid wsp:val=&quot;00951E6C&quot;/&gt;&lt;wsp:rsid wsp:val=&quot;009522C2&quot;/&gt;&lt;wsp:rsid wsp:val=&quot;00952A44&quot;/&gt;&lt;wsp:rsid wsp:val=&quot;00952B2E&quot;/&gt;&lt;wsp:rsid wsp:val=&quot;00952F4E&quot;/&gt;&lt;wsp:rsid wsp:val=&quot;00953AA4&quot;/&gt;&lt;wsp:rsid wsp:val=&quot;009549EA&quot;/&gt;&lt;wsp:rsid wsp:val=&quot;0095565F&quot;/&gt;&lt;wsp:rsid wsp:val=&quot;00955A57&quot;/&gt;&lt;wsp:rsid wsp:val=&quot;00956031&quot;/&gt;&lt;wsp:rsid wsp:val=&quot;00956698&quot;/&gt;&lt;wsp:rsid wsp:val=&quot;00956987&quot;/&gt;&lt;wsp:rsid wsp:val=&quot;009569DB&quot;/&gt;&lt;wsp:rsid wsp:val=&quot;00956C71&quot;/&gt;&lt;wsp:rsid wsp:val=&quot;00956E40&quot;/&gt;&lt;wsp:rsid wsp:val=&quot;00956FDA&quot;/&gt;&lt;wsp:rsid wsp:val=&quot;00957367&quot;/&gt;&lt;wsp:rsid wsp:val=&quot;00957890&quot;/&gt;&lt;wsp:rsid wsp:val=&quot;00957E1E&quot;/&gt;&lt;wsp:rsid wsp:val=&quot;00960110&quot;/&gt;&lt;wsp:rsid wsp:val=&quot;00960DC2&quot;/&gt;&lt;wsp:rsid wsp:val=&quot;009610A0&quot;/&gt;&lt;wsp:rsid wsp:val=&quot;00961569&quot;/&gt;&lt;wsp:rsid wsp:val=&quot;00962FAF&quot;/&gt;&lt;wsp:rsid wsp:val=&quot;009643D9&quot;/&gt;&lt;wsp:rsid wsp:val=&quot;00964535&quot;/&gt;&lt;wsp:rsid wsp:val=&quot;00965033&quot;/&gt;&lt;wsp:rsid wsp:val=&quot;0096533F&quot;/&gt;&lt;wsp:rsid wsp:val=&quot;009662D5&quot;/&gt;&lt;wsp:rsid wsp:val=&quot;00966571&quot;/&gt;&lt;wsp:rsid wsp:val=&quot;00967A1F&quot;/&gt;&lt;wsp:rsid wsp:val=&quot;00967B2F&quot;/&gt;&lt;wsp:rsid wsp:val=&quot;00967D99&quot;/&gt;&lt;wsp:rsid wsp:val=&quot;00967F5E&quot;/&gt;&lt;wsp:rsid wsp:val=&quot;00971016&quot;/&gt;&lt;wsp:rsid wsp:val=&quot;0097158F&quot;/&gt;&lt;wsp:rsid wsp:val=&quot;0097176A&quot;/&gt;&lt;wsp:rsid wsp:val=&quot;0097246C&quot;/&gt;&lt;wsp:rsid wsp:val=&quot;00972FF4&quot;/&gt;&lt;wsp:rsid wsp:val=&quot;009738AC&quot;/&gt;&lt;wsp:rsid wsp:val=&quot;00973A25&quot;/&gt;&lt;wsp:rsid wsp:val=&quot;00973AF5&quot;/&gt;&lt;wsp:rsid wsp:val=&quot;00974641&quot;/&gt;&lt;wsp:rsid wsp:val=&quot;00975729&quot;/&gt;&lt;wsp:rsid wsp:val=&quot;00975E5B&quot;/&gt;&lt;wsp:rsid wsp:val=&quot;00976528&quot;/&gt;&lt;wsp:rsid wsp:val=&quot;009772B1&quot;/&gt;&lt;wsp:rsid wsp:val=&quot;0097771A&quot;/&gt;&lt;wsp:rsid wsp:val=&quot;00977C77&quot;/&gt;&lt;wsp:rsid wsp:val=&quot;00977D18&quot;/&gt;&lt;wsp:rsid wsp:val=&quot;00980111&quot;/&gt;&lt;wsp:rsid wsp:val=&quot;00980AF5&quot;/&gt;&lt;wsp:rsid wsp:val=&quot;009819CC&quot;/&gt;&lt;wsp:rsid wsp:val=&quot;00981E30&quot;/&gt;&lt;wsp:rsid wsp:val=&quot;009826D1&quot;/&gt;&lt;wsp:rsid wsp:val=&quot;0098279F&quot;/&gt;&lt;wsp:rsid wsp:val=&quot;00982909&quot;/&gt;&lt;wsp:rsid wsp:val=&quot;0098312D&quot;/&gt;&lt;wsp:rsid wsp:val=&quot;009836A4&quot;/&gt;&lt;wsp:rsid wsp:val=&quot;00983899&quot;/&gt;&lt;wsp:rsid wsp:val=&quot;00983C80&quot;/&gt;&lt;wsp:rsid wsp:val=&quot;0098415D&quot;/&gt;&lt;wsp:rsid wsp:val=&quot;009841D3&quot;/&gt;&lt;wsp:rsid wsp:val=&quot;00984739&quot;/&gt;&lt;wsp:rsid wsp:val=&quot;0098486B&quot;/&gt;&lt;wsp:rsid wsp:val=&quot;00984DDB&quot;/&gt;&lt;wsp:rsid wsp:val=&quot;0098504F&quot;/&gt;&lt;wsp:rsid wsp:val=&quot;009851B9&quot;/&gt;&lt;wsp:rsid wsp:val=&quot;009852CD&quot;/&gt;&lt;wsp:rsid wsp:val=&quot;00985B49&quot;/&gt;&lt;wsp:rsid wsp:val=&quot;009900AE&quot;/&gt;&lt;wsp:rsid wsp:val=&quot;00990796&quot;/&gt;&lt;wsp:rsid wsp:val=&quot;00991064&quot;/&gt;&lt;wsp:rsid wsp:val=&quot;009917B6&quot;/&gt;&lt;wsp:rsid wsp:val=&quot;00993A3F&quot;/&gt;&lt;wsp:rsid wsp:val=&quot;00993E6A&quot;/&gt;&lt;wsp:rsid wsp:val=&quot;00995A99&quot;/&gt;&lt;wsp:rsid wsp:val=&quot;00997BCA&quot;/&gt;&lt;wsp:rsid wsp:val=&quot;009A0A04&quot;/&gt;&lt;wsp:rsid wsp:val=&quot;009A1CE9&quot;/&gt;&lt;wsp:rsid wsp:val=&quot;009A1EFC&quot;/&gt;&lt;wsp:rsid wsp:val=&quot;009A267F&quot;/&gt;&lt;wsp:rsid wsp:val=&quot;009A2C85&quot;/&gt;&lt;wsp:rsid wsp:val=&quot;009A2DED&quot;/&gt;&lt;wsp:rsid wsp:val=&quot;009A3029&quot;/&gt;&lt;wsp:rsid wsp:val=&quot;009A37DC&quot;/&gt;&lt;wsp:rsid wsp:val=&quot;009A53EA&quot;/&gt;&lt;wsp:rsid wsp:val=&quot;009A56A7&quot;/&gt;&lt;wsp:rsid wsp:val=&quot;009A7AB2&quot;/&gt;&lt;wsp:rsid wsp:val=&quot;009B0144&quot;/&gt;&lt;wsp:rsid wsp:val=&quot;009B17AE&quot;/&gt;&lt;wsp:rsid wsp:val=&quot;009B19CD&quot;/&gt;&lt;wsp:rsid wsp:val=&quot;009B1B85&quot;/&gt;&lt;wsp:rsid wsp:val=&quot;009B1D1C&quot;/&gt;&lt;wsp:rsid wsp:val=&quot;009B5BE1&quot;/&gt;&lt;wsp:rsid wsp:val=&quot;009B7B39&quot;/&gt;&lt;wsp:rsid wsp:val=&quot;009C06DD&quot;/&gt;&lt;wsp:rsid wsp:val=&quot;009C0874&quot;/&gt;&lt;wsp:rsid wsp:val=&quot;009C1344&quot;/&gt;&lt;wsp:rsid wsp:val=&quot;009C240C&quot;/&gt;&lt;wsp:rsid wsp:val=&quot;009C2467&quot;/&gt;&lt;wsp:rsid wsp:val=&quot;009C346B&quot;/&gt;&lt;wsp:rsid wsp:val=&quot;009C36A0&quot;/&gt;&lt;wsp:rsid wsp:val=&quot;009C3ADC&quot;/&gt;&lt;wsp:rsid wsp:val=&quot;009C4F30&quot;/&gt;&lt;wsp:rsid wsp:val=&quot;009C54F1&quot;/&gt;&lt;wsp:rsid wsp:val=&quot;009C5AAD&quot;/&gt;&lt;wsp:rsid wsp:val=&quot;009C5D14&quot;/&gt;&lt;wsp:rsid wsp:val=&quot;009C607D&quot;/&gt;&lt;wsp:rsid wsp:val=&quot;009C61C2&quot;/&gt;&lt;wsp:rsid wsp:val=&quot;009C6297&quot;/&gt;&lt;wsp:rsid wsp:val=&quot;009C63C3&quot;/&gt;&lt;wsp:rsid wsp:val=&quot;009C68CA&quot;/&gt;&lt;wsp:rsid wsp:val=&quot;009C6D18&quot;/&gt;&lt;wsp:rsid wsp:val=&quot;009D032A&quot;/&gt;&lt;wsp:rsid wsp:val=&quot;009D0396&quot;/&gt;&lt;wsp:rsid wsp:val=&quot;009D077C&quot;/&gt;&lt;wsp:rsid wsp:val=&quot;009D1E0F&quot;/&gt;&lt;wsp:rsid wsp:val=&quot;009D20DA&quot;/&gt;&lt;wsp:rsid wsp:val=&quot;009D21EA&quot;/&gt;&lt;wsp:rsid wsp:val=&quot;009D23DD&quot;/&gt;&lt;wsp:rsid wsp:val=&quot;009D26EE&quot;/&gt;&lt;wsp:rsid wsp:val=&quot;009D37A3&quot;/&gt;&lt;wsp:rsid wsp:val=&quot;009D3ED2&quot;/&gt;&lt;wsp:rsid wsp:val=&quot;009D4BDA&quot;/&gt;&lt;wsp:rsid wsp:val=&quot;009D6527&quot;/&gt;&lt;wsp:rsid wsp:val=&quot;009D65AC&quot;/&gt;&lt;wsp:rsid wsp:val=&quot;009D6D95&quot;/&gt;&lt;wsp:rsid wsp:val=&quot;009D6FF6&quot;/&gt;&lt;wsp:rsid wsp:val=&quot;009D720A&quot;/&gt;&lt;wsp:rsid wsp:val=&quot;009D789E&quot;/&gt;&lt;wsp:rsid wsp:val=&quot;009D7C77&quot;/&gt;&lt;wsp:rsid wsp:val=&quot;009E0C8D&quot;/&gt;&lt;wsp:rsid wsp:val=&quot;009E13E1&quot;/&gt;&lt;wsp:rsid wsp:val=&quot;009E19D6&quot;/&gt;&lt;wsp:rsid wsp:val=&quot;009E1E02&quot;/&gt;&lt;wsp:rsid wsp:val=&quot;009E484C&quot;/&gt;&lt;wsp:rsid wsp:val=&quot;009E4C45&quot;/&gt;&lt;wsp:rsid wsp:val=&quot;009E51AF&quot;/&gt;&lt;wsp:rsid wsp:val=&quot;009E5608&quot;/&gt;&lt;wsp:rsid wsp:val=&quot;009E574B&quot;/&gt;&lt;wsp:rsid wsp:val=&quot;009E58F5&quot;/&gt;&lt;wsp:rsid wsp:val=&quot;009E640F&quot;/&gt;&lt;wsp:rsid wsp:val=&quot;009E66FE&quot;/&gt;&lt;wsp:rsid wsp:val=&quot;009E702A&quot;/&gt;&lt;wsp:rsid wsp:val=&quot;009F0E32&quot;/&gt;&lt;wsp:rsid wsp:val=&quot;009F1E97&quot;/&gt;&lt;wsp:rsid wsp:val=&quot;009F2605&quot;/&gt;&lt;wsp:rsid wsp:val=&quot;009F27CA&quot;/&gt;&lt;wsp:rsid wsp:val=&quot;009F3075&quot;/&gt;&lt;wsp:rsid wsp:val=&quot;009F46B0&quot;/&gt;&lt;wsp:rsid wsp:val=&quot;009F5373&quot;/&gt;&lt;wsp:rsid wsp:val=&quot;009F5BB8&quot;/&gt;&lt;wsp:rsid wsp:val=&quot;009F6D75&quot;/&gt;&lt;wsp:rsid wsp:val=&quot;009F6F44&quot;/&gt;&lt;wsp:rsid wsp:val=&quot;009F7509&quot;/&gt;&lt;wsp:rsid wsp:val=&quot;009F7B68&quot;/&gt;&lt;wsp:rsid wsp:val=&quot;00A003D5&quot;/&gt;&lt;wsp:rsid wsp:val=&quot;00A0112B&quot;/&gt;&lt;wsp:rsid wsp:val=&quot;00A011C9&quot;/&gt;&lt;wsp:rsid wsp:val=&quot;00A01699&quot;/&gt;&lt;wsp:rsid wsp:val=&quot;00A01FD4&quot;/&gt;&lt;wsp:rsid wsp:val=&quot;00A02953&quot;/&gt;&lt;wsp:rsid wsp:val=&quot;00A02E62&quot;/&gt;&lt;wsp:rsid wsp:val=&quot;00A02F39&quot;/&gt;&lt;wsp:rsid wsp:val=&quot;00A0302E&quot;/&gt;&lt;wsp:rsid wsp:val=&quot;00A046C6&quot;/&gt;&lt;wsp:rsid wsp:val=&quot;00A04D08&quot;/&gt;&lt;wsp:rsid wsp:val=&quot;00A057B7&quot;/&gt;&lt;wsp:rsid wsp:val=&quot;00A05C63&quot;/&gt;&lt;wsp:rsid wsp:val=&quot;00A06D3E&quot;/&gt;&lt;wsp:rsid wsp:val=&quot;00A073B4&quot;/&gt;&lt;wsp:rsid wsp:val=&quot;00A101A9&quot;/&gt;&lt;wsp:rsid wsp:val=&quot;00A10ECF&quot;/&gt;&lt;wsp:rsid wsp:val=&quot;00A11988&quot;/&gt;&lt;wsp:rsid wsp:val=&quot;00A11B20&quot;/&gt;&lt;wsp:rsid wsp:val=&quot;00A11F64&quot;/&gt;&lt;wsp:rsid wsp:val=&quot;00A13110&quot;/&gt;&lt;wsp:rsid wsp:val=&quot;00A132D1&quot;/&gt;&lt;wsp:rsid wsp:val=&quot;00A13580&quot;/&gt;&lt;wsp:rsid wsp:val=&quot;00A13A49&quot;/&gt;&lt;wsp:rsid wsp:val=&quot;00A1401E&quot;/&gt;&lt;wsp:rsid wsp:val=&quot;00A14583&quot;/&gt;&lt;wsp:rsid wsp:val=&quot;00A14794&quot;/&gt;&lt;wsp:rsid wsp:val=&quot;00A14945&quot;/&gt;&lt;wsp:rsid wsp:val=&quot;00A14F11&quot;/&gt;&lt;wsp:rsid wsp:val=&quot;00A16755&quot;/&gt;&lt;wsp:rsid wsp:val=&quot;00A16A31&quot;/&gt;&lt;wsp:rsid wsp:val=&quot;00A16B80&quot;/&gt;&lt;wsp:rsid wsp:val=&quot;00A17149&quot;/&gt;&lt;wsp:rsid wsp:val=&quot;00A173EC&quot;/&gt;&lt;wsp:rsid wsp:val=&quot;00A20B28&quot;/&gt;&lt;wsp:rsid wsp:val=&quot;00A2107A&quot;/&gt;&lt;wsp:rsid wsp:val=&quot;00A21601&quot;/&gt;&lt;wsp:rsid wsp:val=&quot;00A221B7&quot;/&gt;&lt;wsp:rsid wsp:val=&quot;00A22DDD&quot;/&gt;&lt;wsp:rsid wsp:val=&quot;00A23F3C&quot;/&gt;&lt;wsp:rsid wsp:val=&quot;00A24484&quot;/&gt;&lt;wsp:rsid wsp:val=&quot;00A24FB9&quot;/&gt;&lt;wsp:rsid wsp:val=&quot;00A2546D&quot;/&gt;&lt;wsp:rsid wsp:val=&quot;00A2650C&quot;/&gt;&lt;wsp:rsid wsp:val=&quot;00A26999&quot;/&gt;&lt;wsp:rsid wsp:val=&quot;00A27F65&quot;/&gt;&lt;wsp:rsid wsp:val=&quot;00A3082B&quot;/&gt;&lt;wsp:rsid wsp:val=&quot;00A3108F&quot;/&gt;&lt;wsp:rsid wsp:val=&quot;00A32815&quot;/&gt;&lt;wsp:rsid wsp:val=&quot;00A32978&quot;/&gt;&lt;wsp:rsid wsp:val=&quot;00A32CDE&quot;/&gt;&lt;wsp:rsid wsp:val=&quot;00A3309B&quot;/&gt;&lt;wsp:rsid wsp:val=&quot;00A33351&quot;/&gt;&lt;wsp:rsid wsp:val=&quot;00A34718&quot;/&gt;&lt;wsp:rsid wsp:val=&quot;00A347D7&quot;/&gt;&lt;wsp:rsid wsp:val=&quot;00A3523C&quot;/&gt;&lt;wsp:rsid wsp:val=&quot;00A35C74&quot;/&gt;&lt;wsp:rsid wsp:val=&quot;00A35E02&quot;/&gt;&lt;wsp:rsid wsp:val=&quot;00A36B39&quot;/&gt;&lt;wsp:rsid wsp:val=&quot;00A36DD2&quot;/&gt;&lt;wsp:rsid wsp:val=&quot;00A37147&quot;/&gt;&lt;wsp:rsid wsp:val=&quot;00A37398&quot;/&gt;&lt;wsp:rsid wsp:val=&quot;00A411D8&quot;/&gt;&lt;wsp:rsid wsp:val=&quot;00A42A30&quot;/&gt;&lt;wsp:rsid wsp:val=&quot;00A42D20&quot;/&gt;&lt;wsp:rsid wsp:val=&quot;00A44E8B&quot;/&gt;&lt;wsp:rsid wsp:val=&quot;00A472D9&quot;/&gt;&lt;wsp:rsid wsp:val=&quot;00A47D86&quot;/&gt;&lt;wsp:rsid wsp:val=&quot;00A47F22&quot;/&gt;&lt;wsp:rsid wsp:val=&quot;00A503CA&quot;/&gt;&lt;wsp:rsid wsp:val=&quot;00A505EF&quot;/&gt;&lt;wsp:rsid wsp:val=&quot;00A5246E&quot;/&gt;&lt;wsp:rsid wsp:val=&quot;00A531D6&quot;/&gt;&lt;wsp:rsid wsp:val=&quot;00A53665&quot;/&gt;&lt;wsp:rsid wsp:val=&quot;00A54B4C&quot;/&gt;&lt;wsp:rsid wsp:val=&quot;00A5634E&quot;/&gt;&lt;wsp:rsid wsp:val=&quot;00A566F4&quot;/&gt;&lt;wsp:rsid wsp:val=&quot;00A56BBB&quot;/&gt;&lt;wsp:rsid wsp:val=&quot;00A5711D&quot;/&gt;&lt;wsp:rsid wsp:val=&quot;00A5718F&quot;/&gt;&lt;wsp:rsid wsp:val=&quot;00A57E05&quot;/&gt;&lt;wsp:rsid wsp:val=&quot;00A607CA&quot;/&gt;&lt;wsp:rsid wsp:val=&quot;00A62314&quot;/&gt;&lt;wsp:rsid wsp:val=&quot;00A634B8&quot;/&gt;&lt;wsp:rsid wsp:val=&quot;00A643CA&quot;/&gt;&lt;wsp:rsid wsp:val=&quot;00A64E18&quot;/&gt;&lt;wsp:rsid wsp:val=&quot;00A65227&quot;/&gt;&lt;wsp:rsid wsp:val=&quot;00A660EF&quot;/&gt;&lt;wsp:rsid wsp:val=&quot;00A672F4&quot;/&gt;&lt;wsp:rsid wsp:val=&quot;00A675A1&quot;/&gt;&lt;wsp:rsid wsp:val=&quot;00A67FBC&quot;/&gt;&lt;wsp:rsid wsp:val=&quot;00A7047F&quot;/&gt;&lt;wsp:rsid wsp:val=&quot;00A72903&quot;/&gt;&lt;wsp:rsid wsp:val=&quot;00A73360&quot;/&gt;&lt;wsp:rsid wsp:val=&quot;00A734E2&quot;/&gt;&lt;wsp:rsid wsp:val=&quot;00A73640&quot;/&gt;&lt;wsp:rsid wsp:val=&quot;00A74729&quot;/&gt;&lt;wsp:rsid wsp:val=&quot;00A74DD1&quot;/&gt;&lt;wsp:rsid wsp:val=&quot;00A74E18&quot;/&gt;&lt;wsp:rsid wsp:val=&quot;00A756F2&quot;/&gt;&lt;wsp:rsid wsp:val=&quot;00A76073&quot;/&gt;&lt;wsp:rsid wsp:val=&quot;00A76243&quot;/&gt;&lt;wsp:rsid wsp:val=&quot;00A768C5&quot;/&gt;&lt;wsp:rsid wsp:val=&quot;00A77212&quot;/&gt;&lt;wsp:rsid wsp:val=&quot;00A80907&quot;/&gt;&lt;wsp:rsid wsp:val=&quot;00A81E19&quot;/&gt;&lt;wsp:rsid wsp:val=&quot;00A81F6D&quot;/&gt;&lt;wsp:rsid wsp:val=&quot;00A82428&quot;/&gt;&lt;wsp:rsid wsp:val=&quot;00A8299A&quot;/&gt;&lt;wsp:rsid wsp:val=&quot;00A82C1F&quot;/&gt;&lt;wsp:rsid wsp:val=&quot;00A82F5D&quot;/&gt;&lt;wsp:rsid wsp:val=&quot;00A8348B&quot;/&gt;&lt;wsp:rsid wsp:val=&quot;00A84999&quot;/&gt;&lt;wsp:rsid wsp:val=&quot;00A861CE&quot;/&gt;&lt;wsp:rsid wsp:val=&quot;00A865D3&quot;/&gt;&lt;wsp:rsid wsp:val=&quot;00A86E87&quot;/&gt;&lt;wsp:rsid wsp:val=&quot;00A8779F&quot;/&gt;&lt;wsp:rsid wsp:val=&quot;00A87961&quot;/&gt;&lt;wsp:rsid wsp:val=&quot;00A87D4B&quot;/&gt;&lt;wsp:rsid wsp:val=&quot;00A90974&quot;/&gt;&lt;wsp:rsid wsp:val=&quot;00A90D50&quot;/&gt;&lt;wsp:rsid wsp:val=&quot;00A90EE5&quot;/&gt;&lt;wsp:rsid wsp:val=&quot;00A90EE6&quot;/&gt;&lt;wsp:rsid wsp:val=&quot;00A91913&quot;/&gt;&lt;wsp:rsid wsp:val=&quot;00A92C50&quot;/&gt;&lt;wsp:rsid wsp:val=&quot;00A93947&quot;/&gt;&lt;wsp:rsid wsp:val=&quot;00A9451D&quot;/&gt;&lt;wsp:rsid wsp:val=&quot;00A948AC&quot;/&gt;&lt;wsp:rsid wsp:val=&quot;00A95439&quot;/&gt;&lt;wsp:rsid wsp:val=&quot;00A95C7A&quot;/&gt;&lt;wsp:rsid wsp:val=&quot;00A961F5&quot;/&gt;&lt;wsp:rsid wsp:val=&quot;00A962AD&quot;/&gt;&lt;wsp:rsid wsp:val=&quot;00A97B60&quot;/&gt;&lt;wsp:rsid wsp:val=&quot;00AA0BAA&quot;/&gt;&lt;wsp:rsid wsp:val=&quot;00AA14D7&quot;/&gt;&lt;wsp:rsid wsp:val=&quot;00AA15BD&quot;/&gt;&lt;wsp:rsid wsp:val=&quot;00AA1F2D&quot;/&gt;&lt;wsp:rsid wsp:val=&quot;00AA1FEF&quot;/&gt;&lt;wsp:rsid wsp:val=&quot;00AA29F0&quot;/&gt;&lt;wsp:rsid wsp:val=&quot;00AA5338&quot;/&gt;&lt;wsp:rsid wsp:val=&quot;00AA5B17&quot;/&gt;&lt;wsp:rsid wsp:val=&quot;00AA5BD7&quot;/&gt;&lt;wsp:rsid wsp:val=&quot;00AA613D&quot;/&gt;&lt;wsp:rsid wsp:val=&quot;00AA6162&quot;/&gt;&lt;wsp:rsid wsp:val=&quot;00AA67B5&quot;/&gt;&lt;wsp:rsid wsp:val=&quot;00AB0280&quot;/&gt;&lt;wsp:rsid wsp:val=&quot;00AB07C5&quot;/&gt;&lt;wsp:rsid wsp:val=&quot;00AB0D86&quot;/&gt;&lt;wsp:rsid wsp:val=&quot;00AB18CA&quot;/&gt;&lt;wsp:rsid wsp:val=&quot;00AB1928&quot;/&gt;&lt;wsp:rsid wsp:val=&quot;00AB1CFE&quot;/&gt;&lt;wsp:rsid wsp:val=&quot;00AB24CE&quot;/&gt;&lt;wsp:rsid wsp:val=&quot;00AB2F7C&quot;/&gt;&lt;wsp:rsid wsp:val=&quot;00AB3096&quot;/&gt;&lt;wsp:rsid wsp:val=&quot;00AB39C7&quot;/&gt;&lt;wsp:rsid wsp:val=&quot;00AB474B&quot;/&gt;&lt;wsp:rsid wsp:val=&quot;00AB50F5&quot;/&gt;&lt;wsp:rsid wsp:val=&quot;00AB628C&quot;/&gt;&lt;wsp:rsid wsp:val=&quot;00AB6786&quot;/&gt;&lt;wsp:rsid wsp:val=&quot;00AB680D&quot;/&gt;&lt;wsp:rsid wsp:val=&quot;00AB7532&quot;/&gt;&lt;wsp:rsid wsp:val=&quot;00AB793D&quot;/&gt;&lt;wsp:rsid wsp:val=&quot;00AB7A55&quot;/&gt;&lt;wsp:rsid wsp:val=&quot;00AB7D41&quot;/&gt;&lt;wsp:rsid wsp:val=&quot;00AC0199&quot;/&gt;&lt;wsp:rsid wsp:val=&quot;00AC0882&quot;/&gt;&lt;wsp:rsid wsp:val=&quot;00AC10B8&quot;/&gt;&lt;wsp:rsid wsp:val=&quot;00AC145D&quot;/&gt;&lt;wsp:rsid wsp:val=&quot;00AC1898&quot;/&gt;&lt;wsp:rsid wsp:val=&quot;00AC195C&quot;/&gt;&lt;wsp:rsid wsp:val=&quot;00AC1A25&quot;/&gt;&lt;wsp:rsid wsp:val=&quot;00AC233E&quot;/&gt;&lt;wsp:rsid wsp:val=&quot;00AC2B9D&quot;/&gt;&lt;wsp:rsid wsp:val=&quot;00AC3107&quot;/&gt;&lt;wsp:rsid wsp:val=&quot;00AC378F&quot;/&gt;&lt;wsp:rsid wsp:val=&quot;00AC37D5&quot;/&gt;&lt;wsp:rsid wsp:val=&quot;00AC3948&quot;/&gt;&lt;wsp:rsid wsp:val=&quot;00AC4168&quot;/&gt;&lt;wsp:rsid wsp:val=&quot;00AC44B3&quot;/&gt;&lt;wsp:rsid wsp:val=&quot;00AC450E&quot;/&gt;&lt;wsp:rsid wsp:val=&quot;00AC5149&quot;/&gt;&lt;wsp:rsid wsp:val=&quot;00AC6AF2&quot;/&gt;&lt;wsp:rsid wsp:val=&quot;00AC6C4A&quot;/&gt;&lt;wsp:rsid wsp:val=&quot;00AC6F70&quot;/&gt;&lt;wsp:rsid wsp:val=&quot;00AC7730&quot;/&gt;&lt;wsp:rsid wsp:val=&quot;00AC7CEB&quot;/&gt;&lt;wsp:rsid wsp:val=&quot;00AD0148&quot;/&gt;&lt;wsp:rsid wsp:val=&quot;00AD0B96&quot;/&gt;&lt;wsp:rsid wsp:val=&quot;00AD0CB0&quot;/&gt;&lt;wsp:rsid wsp:val=&quot;00AD12C4&quot;/&gt;&lt;wsp:rsid wsp:val=&quot;00AD12F9&quot;/&gt;&lt;wsp:rsid wsp:val=&quot;00AD217E&quot;/&gt;&lt;wsp:rsid wsp:val=&quot;00AD288B&quot;/&gt;&lt;wsp:rsid wsp:val=&quot;00AD2EC0&quot;/&gt;&lt;wsp:rsid wsp:val=&quot;00AD3AE7&quot;/&gt;&lt;wsp:rsid wsp:val=&quot;00AD3F83&quot;/&gt;&lt;wsp:rsid wsp:val=&quot;00AD4A39&quot;/&gt;&lt;wsp:rsid wsp:val=&quot;00AD4D3F&quot;/&gt;&lt;wsp:rsid wsp:val=&quot;00AD4F38&quot;/&gt;&lt;wsp:rsid wsp:val=&quot;00AD59EA&quot;/&gt;&lt;wsp:rsid wsp:val=&quot;00AD5C8B&quot;/&gt;&lt;wsp:rsid wsp:val=&quot;00AD5F6E&quot;/&gt;&lt;wsp:rsid wsp:val=&quot;00AD6746&quot;/&gt;&lt;wsp:rsid wsp:val=&quot;00AD728E&quot;/&gt;&lt;wsp:rsid wsp:val=&quot;00AD7596&quot;/&gt;&lt;wsp:rsid wsp:val=&quot;00AD77B7&quot;/&gt;&lt;wsp:rsid wsp:val=&quot;00AD785B&quot;/&gt;&lt;wsp:rsid wsp:val=&quot;00AD7C0F&quot;/&gt;&lt;wsp:rsid wsp:val=&quot;00AD7C55&quot;/&gt;&lt;wsp:rsid wsp:val=&quot;00AD7C60&quot;/&gt;&lt;wsp:rsid wsp:val=&quot;00AD7CF1&quot;/&gt;&lt;wsp:rsid wsp:val=&quot;00AE061D&quot;/&gt;&lt;wsp:rsid wsp:val=&quot;00AE0B46&quot;/&gt;&lt;wsp:rsid wsp:val=&quot;00AE1346&quot;/&gt;&lt;wsp:rsid wsp:val=&quot;00AE1C2A&quot;/&gt;&lt;wsp:rsid wsp:val=&quot;00AE1EFC&quot;/&gt;&lt;wsp:rsid wsp:val=&quot;00AE2265&quot;/&gt;&lt;wsp:rsid wsp:val=&quot;00AE25CB&quot;/&gt;&lt;wsp:rsid wsp:val=&quot;00AE29B7&quot;/&gt;&lt;wsp:rsid wsp:val=&quot;00AE378C&quot;/&gt;&lt;wsp:rsid wsp:val=&quot;00AE436C&quot;/&gt;&lt;wsp:rsid wsp:val=&quot;00AE49DD&quot;/&gt;&lt;wsp:rsid wsp:val=&quot;00AE577A&quot;/&gt;&lt;wsp:rsid wsp:val=&quot;00AE5859&quot;/&gt;&lt;wsp:rsid wsp:val=&quot;00AE58B1&quot;/&gt;&lt;wsp:rsid wsp:val=&quot;00AE58EF&quot;/&gt;&lt;wsp:rsid wsp:val=&quot;00AE5BA7&quot;/&gt;&lt;wsp:rsid wsp:val=&quot;00AE6153&quot;/&gt;&lt;wsp:rsid wsp:val=&quot;00AE6EC5&quot;/&gt;&lt;wsp:rsid wsp:val=&quot;00AE7263&quot;/&gt;&lt;wsp:rsid wsp:val=&quot;00AE7CAD&quot;/&gt;&lt;wsp:rsid wsp:val=&quot;00AF27AE&quot;/&gt;&lt;wsp:rsid wsp:val=&quot;00AF2B3B&quot;/&gt;&lt;wsp:rsid wsp:val=&quot;00AF2F85&quot;/&gt;&lt;wsp:rsid wsp:val=&quot;00AF335D&quot;/&gt;&lt;wsp:rsid wsp:val=&quot;00AF3B88&quot;/&gt;&lt;wsp:rsid wsp:val=&quot;00AF4736&quot;/&gt;&lt;wsp:rsid wsp:val=&quot;00AF473B&quot;/&gt;&lt;wsp:rsid wsp:val=&quot;00AF4F59&quot;/&gt;&lt;wsp:rsid wsp:val=&quot;00AF5136&quot;/&gt;&lt;wsp:rsid wsp:val=&quot;00AF52FF&quot;/&gt;&lt;wsp:rsid wsp:val=&quot;00AF6889&quot;/&gt;&lt;wsp:rsid wsp:val=&quot;00B00A27&quot;/&gt;&lt;wsp:rsid wsp:val=&quot;00B0123F&quot;/&gt;&lt;wsp:rsid wsp:val=&quot;00B01398&quot;/&gt;&lt;wsp:rsid wsp:val=&quot;00B01508&quot;/&gt;&lt;wsp:rsid wsp:val=&quot;00B019E1&quot;/&gt;&lt;wsp:rsid wsp:val=&quot;00B02CF2&quot;/&gt;&lt;wsp:rsid wsp:val=&quot;00B02E73&quot;/&gt;&lt;wsp:rsid wsp:val=&quot;00B04347&quot;/&gt;&lt;wsp:rsid wsp:val=&quot;00B04799&quot;/&gt;&lt;wsp:rsid wsp:val=&quot;00B04AE5&quot;/&gt;&lt;wsp:rsid wsp:val=&quot;00B04B28&quot;/&gt;&lt;wsp:rsid wsp:val=&quot;00B05F63&quot;/&gt;&lt;wsp:rsid wsp:val=&quot;00B06BE3&quot;/&gt;&lt;wsp:rsid wsp:val=&quot;00B07D7A&quot;/&gt;&lt;wsp:rsid wsp:val=&quot;00B07F45&quot;/&gt;&lt;wsp:rsid wsp:val=&quot;00B07FE4&quot;/&gt;&lt;wsp:rsid wsp:val=&quot;00B10C76&quot;/&gt;&lt;wsp:rsid wsp:val=&quot;00B1101F&quot;/&gt;&lt;wsp:rsid wsp:val=&quot;00B1267A&quot;/&gt;&lt;wsp:rsid wsp:val=&quot;00B12AE3&quot;/&gt;&lt;wsp:rsid wsp:val=&quot;00B13713&quot;/&gt;&lt;wsp:rsid wsp:val=&quot;00B1407B&quot;/&gt;&lt;wsp:rsid wsp:val=&quot;00B140DC&quot;/&gt;&lt;wsp:rsid wsp:val=&quot;00B145E7&quot;/&gt;&lt;wsp:rsid wsp:val=&quot;00B1602A&quot;/&gt;&lt;wsp:rsid wsp:val=&quot;00B16A89&quot;/&gt;&lt;wsp:rsid wsp:val=&quot;00B1713F&quot;/&gt;&lt;wsp:rsid wsp:val=&quot;00B17207&quot;/&gt;&lt;wsp:rsid wsp:val=&quot;00B17926&quot;/&gt;&lt;wsp:rsid wsp:val=&quot;00B2044B&quot;/&gt;&lt;wsp:rsid wsp:val=&quot;00B206C0&quot;/&gt;&lt;wsp:rsid wsp:val=&quot;00B21110&quot;/&gt;&lt;wsp:rsid wsp:val=&quot;00B21710&quot;/&gt;&lt;wsp:rsid wsp:val=&quot;00B21CA8&quot;/&gt;&lt;wsp:rsid wsp:val=&quot;00B21DAC&quot;/&gt;&lt;wsp:rsid wsp:val=&quot;00B236C5&quot;/&gt;&lt;wsp:rsid wsp:val=&quot;00B23BD0&quot;/&gt;&lt;wsp:rsid wsp:val=&quot;00B23ECD&quot;/&gt;&lt;wsp:rsid wsp:val=&quot;00B25139&quot;/&gt;&lt;wsp:rsid wsp:val=&quot;00B252B3&quot;/&gt;&lt;wsp:rsid wsp:val=&quot;00B25350&quot;/&gt;&lt;wsp:rsid wsp:val=&quot;00B258FD&quot;/&gt;&lt;wsp:rsid wsp:val=&quot;00B2683D&quot;/&gt;&lt;wsp:rsid wsp:val=&quot;00B275E3&quot;/&gt;&lt;wsp:rsid wsp:val=&quot;00B27C2F&quot;/&gt;&lt;wsp:rsid wsp:val=&quot;00B27C44&quot;/&gt;&lt;wsp:rsid wsp:val=&quot;00B27D92&quot;/&gt;&lt;wsp:rsid wsp:val=&quot;00B30256&quot;/&gt;&lt;wsp:rsid wsp:val=&quot;00B309F2&quot;/&gt;&lt;wsp:rsid wsp:val=&quot;00B3139A&quot;/&gt;&lt;wsp:rsid wsp:val=&quot;00B31658&quot;/&gt;&lt;wsp:rsid wsp:val=&quot;00B31771&quot;/&gt;&lt;wsp:rsid wsp:val=&quot;00B318B7&quot;/&gt;&lt;wsp:rsid wsp:val=&quot;00B32066&quot;/&gt;&lt;wsp:rsid wsp:val=&quot;00B32367&quot;/&gt;&lt;wsp:rsid wsp:val=&quot;00B32655&quot;/&gt;&lt;wsp:rsid wsp:val=&quot;00B3300B&quot;/&gt;&lt;wsp:rsid wsp:val=&quot;00B333B9&quot;/&gt;&lt;wsp:rsid wsp:val=&quot;00B334B8&quot;/&gt;&lt;wsp:rsid wsp:val=&quot;00B35294&quot;/&gt;&lt;wsp:rsid wsp:val=&quot;00B365A0&quot;/&gt;&lt;wsp:rsid wsp:val=&quot;00B36C50&quot;/&gt;&lt;wsp:rsid wsp:val=&quot;00B36EC6&quot;/&gt;&lt;wsp:rsid wsp:val=&quot;00B37269&quot;/&gt;&lt;wsp:rsid wsp:val=&quot;00B378C8&quot;/&gt;&lt;wsp:rsid wsp:val=&quot;00B40693&quot;/&gt;&lt;wsp:rsid wsp:val=&quot;00B4298E&quot;/&gt;&lt;wsp:rsid wsp:val=&quot;00B4317F&quot;/&gt;&lt;wsp:rsid wsp:val=&quot;00B46066&quot;/&gt;&lt;wsp:rsid wsp:val=&quot;00B469D9&quot;/&gt;&lt;wsp:rsid wsp:val=&quot;00B47496&quot;/&gt;&lt;wsp:rsid wsp:val=&quot;00B47B2C&quot;/&gt;&lt;wsp:rsid wsp:val=&quot;00B47D6C&quot;/&gt;&lt;wsp:rsid wsp:val=&quot;00B5038D&quot;/&gt;&lt;wsp:rsid wsp:val=&quot;00B507CB&quot;/&gt;&lt;wsp:rsid wsp:val=&quot;00B50C30&quot;/&gt;&lt;wsp:rsid wsp:val=&quot;00B50EC7&quot;/&gt;&lt;wsp:rsid wsp:val=&quot;00B5125A&quot;/&gt;&lt;wsp:rsid wsp:val=&quot;00B517BA&quot;/&gt;&lt;wsp:rsid wsp:val=&quot;00B51AFF&quot;/&gt;&lt;wsp:rsid wsp:val=&quot;00B52D19&quot;/&gt;&lt;wsp:rsid wsp:val=&quot;00B52E79&quot;/&gt;&lt;wsp:rsid wsp:val=&quot;00B542D6&quot;/&gt;&lt;wsp:rsid wsp:val=&quot;00B543A6&quot;/&gt;&lt;wsp:rsid wsp:val=&quot;00B54AFC&quot;/&gt;&lt;wsp:rsid wsp:val=&quot;00B55B34&quot;/&gt;&lt;wsp:rsid wsp:val=&quot;00B55D28&quot;/&gt;&lt;wsp:rsid wsp:val=&quot;00B55FCC&quot;/&gt;&lt;wsp:rsid wsp:val=&quot;00B5688E&quot;/&gt;&lt;wsp:rsid wsp:val=&quot;00B569B8&quot;/&gt;&lt;wsp:rsid wsp:val=&quot;00B56F0A&quot;/&gt;&lt;wsp:rsid wsp:val=&quot;00B575F1&quot;/&gt;&lt;wsp:rsid wsp:val=&quot;00B57F20&quot;/&gt;&lt;wsp:rsid wsp:val=&quot;00B60ABF&quot;/&gt;&lt;wsp:rsid wsp:val=&quot;00B60C37&quot;/&gt;&lt;wsp:rsid wsp:val=&quot;00B62653&quot;/&gt;&lt;wsp:rsid wsp:val=&quot;00B635CC&quot;/&gt;&lt;wsp:rsid wsp:val=&quot;00B63676&quot;/&gt;&lt;wsp:rsid wsp:val=&quot;00B6402C&quot;/&gt;&lt;wsp:rsid wsp:val=&quot;00B64FC8&quot;/&gt;&lt;wsp:rsid wsp:val=&quot;00B65D4D&quot;/&gt;&lt;wsp:rsid wsp:val=&quot;00B6684F&quot;/&gt;&lt;wsp:rsid wsp:val=&quot;00B66F64&quot;/&gt;&lt;wsp:rsid wsp:val=&quot;00B67141&quot;/&gt;&lt;wsp:rsid wsp:val=&quot;00B67211&quot;/&gt;&lt;wsp:rsid wsp:val=&quot;00B678F2&quot;/&gt;&lt;wsp:rsid wsp:val=&quot;00B67BD0&quot;/&gt;&lt;wsp:rsid wsp:val=&quot;00B702CC&quot;/&gt;&lt;wsp:rsid wsp:val=&quot;00B70744&quot;/&gt;&lt;wsp:rsid wsp:val=&quot;00B722A3&quot;/&gt;&lt;wsp:rsid wsp:val=&quot;00B724AB&quot;/&gt;&lt;wsp:rsid wsp:val=&quot;00B72CA3&quot;/&gt;&lt;wsp:rsid wsp:val=&quot;00B73714&quot;/&gt;&lt;wsp:rsid wsp:val=&quot;00B73FC0&quot;/&gt;&lt;wsp:rsid wsp:val=&quot;00B7467B&quot;/&gt;&lt;wsp:rsid wsp:val=&quot;00B754A5&quot;/&gt;&lt;wsp:rsid wsp:val=&quot;00B760BB&quot;/&gt;&lt;wsp:rsid wsp:val=&quot;00B77973&quot;/&gt;&lt;wsp:rsid wsp:val=&quot;00B77BD3&quot;/&gt;&lt;wsp:rsid wsp:val=&quot;00B77F0B&quot;/&gt;&lt;wsp:rsid wsp:val=&quot;00B801B7&quot;/&gt;&lt;wsp:rsid wsp:val=&quot;00B804FD&quot;/&gt;&lt;wsp:rsid wsp:val=&quot;00B807D7&quot;/&gt;&lt;wsp:rsid wsp:val=&quot;00B8160C&quot;/&gt;&lt;wsp:rsid wsp:val=&quot;00B82558&quot;/&gt;&lt;wsp:rsid wsp:val=&quot;00B832DC&quot;/&gt;&lt;wsp:rsid wsp:val=&quot;00B84F82&quot;/&gt;&lt;wsp:rsid wsp:val=&quot;00B85451&quot;/&gt;&lt;wsp:rsid wsp:val=&quot;00B858D2&quot;/&gt;&lt;wsp:rsid wsp:val=&quot;00B85A6A&quot;/&gt;&lt;wsp:rsid wsp:val=&quot;00B873C0&quot;/&gt;&lt;wsp:rsid wsp:val=&quot;00B87AB2&quot;/&gt;&lt;wsp:rsid wsp:val=&quot;00B90169&quot;/&gt;&lt;wsp:rsid wsp:val=&quot;00B907A6&quot;/&gt;&lt;wsp:rsid wsp:val=&quot;00B90FEE&quot;/&gt;&lt;wsp:rsid wsp:val=&quot;00B9123F&quot;/&gt;&lt;wsp:rsid wsp:val=&quot;00B91B97&quot;/&gt;&lt;wsp:rsid wsp:val=&quot;00B93265&quot;/&gt;&lt;wsp:rsid wsp:val=&quot;00B947D8&quot;/&gt;&lt;wsp:rsid wsp:val=&quot;00B95F41&quot;/&gt;&lt;wsp:rsid wsp:val=&quot;00B961DD&quot;/&gt;&lt;wsp:rsid wsp:val=&quot;00B96748&quot;/&gt;&lt;wsp:rsid wsp:val=&quot;00B9699C&quot;/&gt;&lt;wsp:rsid wsp:val=&quot;00B97060&quot;/&gt;&lt;wsp:rsid wsp:val=&quot;00BA004B&quot;/&gt;&lt;wsp:rsid wsp:val=&quot;00BA0220&quot;/&gt;&lt;wsp:rsid wsp:val=&quot;00BA1083&quot;/&gt;&lt;wsp:rsid wsp:val=&quot;00BA1A36&quot;/&gt;&lt;wsp:rsid wsp:val=&quot;00BA210F&quot;/&gt;&lt;wsp:rsid wsp:val=&quot;00BA2581&quot;/&gt;&lt;wsp:rsid wsp:val=&quot;00BA3443&quot;/&gt;&lt;wsp:rsid wsp:val=&quot;00BA3D68&quot;/&gt;&lt;wsp:rsid wsp:val=&quot;00BA4542&quot;/&gt;&lt;wsp:rsid wsp:val=&quot;00BA475F&quot;/&gt;&lt;wsp:rsid wsp:val=&quot;00BA4CEF&quot;/&gt;&lt;wsp:rsid wsp:val=&quot;00BA5A05&quot;/&gt;&lt;wsp:rsid wsp:val=&quot;00BA612C&quot;/&gt;&lt;wsp:rsid wsp:val=&quot;00BA6287&quot;/&gt;&lt;wsp:rsid wsp:val=&quot;00BA74A2&quot;/&gt;&lt;wsp:rsid wsp:val=&quot;00BA7A7F&quot;/&gt;&lt;wsp:rsid wsp:val=&quot;00BA7B1E&quot;/&gt;&lt;wsp:rsid wsp:val=&quot;00BB0A58&quot;/&gt;&lt;wsp:rsid wsp:val=&quot;00BB0E7C&quot;/&gt;&lt;wsp:rsid wsp:val=&quot;00BB19A0&quot;/&gt;&lt;wsp:rsid wsp:val=&quot;00BB2607&quot;/&gt;&lt;wsp:rsid wsp:val=&quot;00BB2658&quot;/&gt;&lt;wsp:rsid wsp:val=&quot;00BB2D3F&quot;/&gt;&lt;wsp:rsid wsp:val=&quot;00BB47AB&quot;/&gt;&lt;wsp:rsid wsp:val=&quot;00BB4D45&quot;/&gt;&lt;wsp:rsid wsp:val=&quot;00BB4D6F&quot;/&gt;&lt;wsp:rsid wsp:val=&quot;00BB5BF2&quot;/&gt;&lt;wsp:rsid wsp:val=&quot;00BB67DA&quot;/&gt;&lt;wsp:rsid wsp:val=&quot;00BB7AB5&quot;/&gt;&lt;wsp:rsid wsp:val=&quot;00BC1453&quot;/&gt;&lt;wsp:rsid wsp:val=&quot;00BC1A32&quot;/&gt;&lt;wsp:rsid wsp:val=&quot;00BC1E76&quot;/&gt;&lt;wsp:rsid wsp:val=&quot;00BC2392&quot;/&gt;&lt;wsp:rsid wsp:val=&quot;00BC2E71&quot;/&gt;&lt;wsp:rsid wsp:val=&quot;00BC333C&quot;/&gt;&lt;wsp:rsid wsp:val=&quot;00BC36F8&quot;/&gt;&lt;wsp:rsid wsp:val=&quot;00BC42F8&quot;/&gt;&lt;wsp:rsid wsp:val=&quot;00BC4352&quot;/&gt;&lt;wsp:rsid wsp:val=&quot;00BC48ED&quot;/&gt;&lt;wsp:rsid wsp:val=&quot;00BC4DAD&quot;/&gt;&lt;wsp:rsid wsp:val=&quot;00BC581F&quot;/&gt;&lt;wsp:rsid wsp:val=&quot;00BC66FB&quot;/&gt;&lt;wsp:rsid wsp:val=&quot;00BC6CE1&quot;/&gt;&lt;wsp:rsid wsp:val=&quot;00BC715D&quot;/&gt;&lt;wsp:rsid wsp:val=&quot;00BC727B&quot;/&gt;&lt;wsp:rsid wsp:val=&quot;00BC79F5&quot;/&gt;&lt;wsp:rsid wsp:val=&quot;00BC7A29&quot;/&gt;&lt;wsp:rsid wsp:val=&quot;00BC7AC4&quot;/&gt;&lt;wsp:rsid wsp:val=&quot;00BD078B&quot;/&gt;&lt;wsp:rsid wsp:val=&quot;00BD0B53&quot;/&gt;&lt;wsp:rsid wsp:val=&quot;00BD0D03&quot;/&gt;&lt;wsp:rsid wsp:val=&quot;00BD0E39&quot;/&gt;&lt;wsp:rsid wsp:val=&quot;00BD1B9D&quot;/&gt;&lt;wsp:rsid wsp:val=&quot;00BD1F16&quot;/&gt;&lt;wsp:rsid wsp:val=&quot;00BD20A3&quot;/&gt;&lt;wsp:rsid wsp:val=&quot;00BD22DB&quot;/&gt;&lt;wsp:rsid wsp:val=&quot;00BD23A5&quot;/&gt;&lt;wsp:rsid wsp:val=&quot;00BD248C&quot;/&gt;&lt;wsp:rsid wsp:val=&quot;00BD24DC&quot;/&gt;&lt;wsp:rsid wsp:val=&quot;00BD27A7&quot;/&gt;&lt;wsp:rsid wsp:val=&quot;00BD324F&quot;/&gt;&lt;wsp:rsid wsp:val=&quot;00BD4549&quot;/&gt;&lt;wsp:rsid wsp:val=&quot;00BD4712&quot;/&gt;&lt;wsp:rsid wsp:val=&quot;00BD4B62&quot;/&gt;&lt;wsp:rsid wsp:val=&quot;00BD62A0&quot;/&gt;&lt;wsp:rsid wsp:val=&quot;00BD677C&quot;/&gt;&lt;wsp:rsid wsp:val=&quot;00BD6EE1&quot;/&gt;&lt;wsp:rsid wsp:val=&quot;00BD735D&quot;/&gt;&lt;wsp:rsid wsp:val=&quot;00BE09C7&quot;/&gt;&lt;wsp:rsid wsp:val=&quot;00BE1185&quot;/&gt;&lt;wsp:rsid wsp:val=&quot;00BE213C&quot;/&gt;&lt;wsp:rsid wsp:val=&quot;00BE237D&quot;/&gt;&lt;wsp:rsid wsp:val=&quot;00BE448A&quot;/&gt;&lt;wsp:rsid wsp:val=&quot;00BE4E79&quot;/&gt;&lt;wsp:rsid wsp:val=&quot;00BE53CE&quot;/&gt;&lt;wsp:rsid wsp:val=&quot;00BE53F2&quot;/&gt;&lt;wsp:rsid wsp:val=&quot;00BE58BB&quot;/&gt;&lt;wsp:rsid wsp:val=&quot;00BE5CA8&quot;/&gt;&lt;wsp:rsid wsp:val=&quot;00BE6954&quot;/&gt;&lt;wsp:rsid wsp:val=&quot;00BE6C42&quot;/&gt;&lt;wsp:rsid wsp:val=&quot;00BE7838&quot;/&gt;&lt;wsp:rsid wsp:val=&quot;00BE7959&quot;/&gt;&lt;wsp:rsid wsp:val=&quot;00BE7FC1&quot;/&gt;&lt;wsp:rsid wsp:val=&quot;00BF0F0E&quot;/&gt;&lt;wsp:rsid wsp:val=&quot;00BF0FC3&quot;/&gt;&lt;wsp:rsid wsp:val=&quot;00BF1904&quot;/&gt;&lt;wsp:rsid wsp:val=&quot;00BF1921&quot;/&gt;&lt;wsp:rsid wsp:val=&quot;00BF1D13&quot;/&gt;&lt;wsp:rsid wsp:val=&quot;00BF3381&quot;/&gt;&lt;wsp:rsid wsp:val=&quot;00BF3980&quot;/&gt;&lt;wsp:rsid wsp:val=&quot;00BF6008&quot;/&gt;&lt;wsp:rsid wsp:val=&quot;00BF67E5&quot;/&gt;&lt;wsp:rsid wsp:val=&quot;00C00C2B&quot;/&gt;&lt;wsp:rsid wsp:val=&quot;00C01111&quot;/&gt;&lt;wsp:rsid wsp:val=&quot;00C01719&quot;/&gt;&lt;wsp:rsid wsp:val=&quot;00C01768&quot;/&gt;&lt;wsp:rsid wsp:val=&quot;00C01C0D&quot;/&gt;&lt;wsp:rsid wsp:val=&quot;00C0248B&quot;/&gt;&lt;wsp:rsid wsp:val=&quot;00C026AC&quot;/&gt;&lt;wsp:rsid wsp:val=&quot;00C03D56&quot;/&gt;&lt;wsp:rsid wsp:val=&quot;00C045C4&quot;/&gt;&lt;wsp:rsid wsp:val=&quot;00C04CFF&quot;/&gt;&lt;wsp:rsid wsp:val=&quot;00C04D40&quot;/&gt;&lt;wsp:rsid wsp:val=&quot;00C05243&quot;/&gt;&lt;wsp:rsid wsp:val=&quot;00C05762&quot;/&gt;&lt;wsp:rsid wsp:val=&quot;00C0586E&quot;/&gt;&lt;wsp:rsid wsp:val=&quot;00C058B3&quot;/&gt;&lt;wsp:rsid wsp:val=&quot;00C07E33&quot;/&gt;&lt;wsp:rsid wsp:val=&quot;00C07FD8&quot;/&gt;&lt;wsp:rsid wsp:val=&quot;00C1031A&quot;/&gt;&lt;wsp:rsid wsp:val=&quot;00C1114E&quot;/&gt;&lt;wsp:rsid wsp:val=&quot;00C111B8&quot;/&gt;&lt;wsp:rsid wsp:val=&quot;00C11768&quot;/&gt;&lt;wsp:rsid wsp:val=&quot;00C117F6&quot;/&gt;&lt;wsp:rsid wsp:val=&quot;00C1276E&quot;/&gt;&lt;wsp:rsid wsp:val=&quot;00C12FC9&quot;/&gt;&lt;wsp:rsid wsp:val=&quot;00C1376D&quot;/&gt;&lt;wsp:rsid wsp:val=&quot;00C13CE5&quot;/&gt;&lt;wsp:rsid wsp:val=&quot;00C154FB&quot;/&gt;&lt;wsp:rsid wsp:val=&quot;00C156D0&quot;/&gt;&lt;wsp:rsid wsp:val=&quot;00C1613F&quot;/&gt;&lt;wsp:rsid wsp:val=&quot;00C16F0E&quot;/&gt;&lt;wsp:rsid wsp:val=&quot;00C17639&quot;/&gt;&lt;wsp:rsid wsp:val=&quot;00C17D84&quot;/&gt;&lt;wsp:rsid wsp:val=&quot;00C20E9A&quot;/&gt;&lt;wsp:rsid wsp:val=&quot;00C2118C&quot;/&gt;&lt;wsp:rsid wsp:val=&quot;00C218E2&quot;/&gt;&lt;wsp:rsid wsp:val=&quot;00C21E4C&quot;/&gt;&lt;wsp:rsid wsp:val=&quot;00C22209&quot;/&gt;&lt;wsp:rsid wsp:val=&quot;00C238F1&quot;/&gt;&lt;wsp:rsid wsp:val=&quot;00C2400E&quot;/&gt;&lt;wsp:rsid wsp:val=&quot;00C256EC&quot;/&gt;&lt;wsp:rsid wsp:val=&quot;00C257A5&quot;/&gt;&lt;wsp:rsid wsp:val=&quot;00C25AF3&quot;/&gt;&lt;wsp:rsid wsp:val=&quot;00C25B20&quot;/&gt;&lt;wsp:rsid wsp:val=&quot;00C2634E&quot;/&gt;&lt;wsp:rsid wsp:val=&quot;00C27404&quot;/&gt;&lt;wsp:rsid wsp:val=&quot;00C27886&quot;/&gt;&lt;wsp:rsid wsp:val=&quot;00C3079D&quot;/&gt;&lt;wsp:rsid wsp:val=&quot;00C3092E&quot;/&gt;&lt;wsp:rsid wsp:val=&quot;00C3102B&quot;/&gt;&lt;wsp:rsid wsp:val=&quot;00C3127C&quot;/&gt;&lt;wsp:rsid wsp:val=&quot;00C31ACE&quot;/&gt;&lt;wsp:rsid wsp:val=&quot;00C31F6A&quot;/&gt;&lt;wsp:rsid wsp:val=&quot;00C3222C&quot;/&gt;&lt;wsp:rsid wsp:val=&quot;00C327B1&quot;/&gt;&lt;wsp:rsid wsp:val=&quot;00C32983&quot;/&gt;&lt;wsp:rsid wsp:val=&quot;00C3382D&quot;/&gt;&lt;wsp:rsid wsp:val=&quot;00C342D2&quot;/&gt;&lt;wsp:rsid wsp:val=&quot;00C35EC5&quot;/&gt;&lt;wsp:rsid wsp:val=&quot;00C36167&quot;/&gt;&lt;wsp:rsid wsp:val=&quot;00C365FA&quot;/&gt;&lt;wsp:rsid wsp:val=&quot;00C3746E&quot;/&gt;&lt;wsp:rsid wsp:val=&quot;00C374BA&quot;/&gt;&lt;wsp:rsid wsp:val=&quot;00C37628&quot;/&gt;&lt;wsp:rsid wsp:val=&quot;00C40D3F&quot;/&gt;&lt;wsp:rsid wsp:val=&quot;00C413E3&quot;/&gt;&lt;wsp:rsid wsp:val=&quot;00C419BC&quot;/&gt;&lt;wsp:rsid wsp:val=&quot;00C42A82&quot;/&gt;&lt;wsp:rsid wsp:val=&quot;00C42F31&quot;/&gt;&lt;wsp:rsid wsp:val=&quot;00C44333&quot;/&gt;&lt;wsp:rsid wsp:val=&quot;00C44CDD&quot;/&gt;&lt;wsp:rsid wsp:val=&quot;00C45286&quot;/&gt;&lt;wsp:rsid wsp:val=&quot;00C45906&quot;/&gt;&lt;wsp:rsid wsp:val=&quot;00C46A59&quot;/&gt;&lt;wsp:rsid wsp:val=&quot;00C46CCB&quot;/&gt;&lt;wsp:rsid wsp:val=&quot;00C46E9B&quot;/&gt;&lt;wsp:rsid wsp:val=&quot;00C47CC6&quot;/&gt;&lt;wsp:rsid wsp:val=&quot;00C50175&quot;/&gt;&lt;wsp:rsid wsp:val=&quot;00C505A8&quot;/&gt;&lt;wsp:rsid wsp:val=&quot;00C5192D&quot;/&gt;&lt;wsp:rsid wsp:val=&quot;00C51A13&quot;/&gt;&lt;wsp:rsid wsp:val=&quot;00C51C15&quot;/&gt;&lt;wsp:rsid wsp:val=&quot;00C51EEB&quot;/&gt;&lt;wsp:rsid wsp:val=&quot;00C525C6&quot;/&gt;&lt;wsp:rsid wsp:val=&quot;00C5290E&quot;/&gt;&lt;wsp:rsid wsp:val=&quot;00C53E01&quot;/&gt;&lt;wsp:rsid wsp:val=&quot;00C53EEF&quot;/&gt;&lt;wsp:rsid wsp:val=&quot;00C5473D&quot;/&gt;&lt;wsp:rsid wsp:val=&quot;00C55130&quot;/&gt;&lt;wsp:rsid wsp:val=&quot;00C55DA3&quot;/&gt;&lt;wsp:rsid wsp:val=&quot;00C5611A&quot;/&gt;&lt;wsp:rsid wsp:val=&quot;00C567B8&quot;/&gt;&lt;wsp:rsid wsp:val=&quot;00C57D53&quot;/&gt;&lt;wsp:rsid wsp:val=&quot;00C57E8F&quot;/&gt;&lt;wsp:rsid wsp:val=&quot;00C601D2&quot;/&gt;&lt;wsp:rsid wsp:val=&quot;00C6020A&quot;/&gt;&lt;wsp:rsid wsp:val=&quot;00C6057D&quot;/&gt;&lt;wsp:rsid wsp:val=&quot;00C60F22&quot;/&gt;&lt;wsp:rsid wsp:val=&quot;00C6227B&quot;/&gt;&lt;wsp:rsid wsp:val=&quot;00C62808&quot;/&gt;&lt;wsp:rsid wsp:val=&quot;00C62939&quot;/&gt;&lt;wsp:rsid wsp:val=&quot;00C63C93&quot;/&gt;&lt;wsp:rsid wsp:val=&quot;00C6401A&quot;/&gt;&lt;wsp:rsid wsp:val=&quot;00C6423B&quot;/&gt;&lt;wsp:rsid wsp:val=&quot;00C652C3&quot;/&gt;&lt;wsp:rsid wsp:val=&quot;00C663B0&quot;/&gt;&lt;wsp:rsid wsp:val=&quot;00C66B9B&quot;/&gt;&lt;wsp:rsid wsp:val=&quot;00C677DF&quot;/&gt;&lt;wsp:rsid wsp:val=&quot;00C678A5&quot;/&gt;&lt;wsp:rsid wsp:val=&quot;00C67991&quot;/&gt;&lt;wsp:rsid wsp:val=&quot;00C70221&quot;/&gt;&lt;wsp:rsid wsp:val=&quot;00C702BA&quot;/&gt;&lt;wsp:rsid wsp:val=&quot;00C70741&quot;/&gt;&lt;wsp:rsid wsp:val=&quot;00C70749&quot;/&gt;&lt;wsp:rsid wsp:val=&quot;00C70DB9&quot;/&gt;&lt;wsp:rsid wsp:val=&quot;00C70F2C&quot;/&gt;&lt;wsp:rsid wsp:val=&quot;00C71245&quot;/&gt;&lt;wsp:rsid wsp:val=&quot;00C71A58&quot;/&gt;&lt;wsp:rsid wsp:val=&quot;00C725B1&quot;/&gt;&lt;wsp:rsid wsp:val=&quot;00C72D00&quot;/&gt;&lt;wsp:rsid wsp:val=&quot;00C7312E&quot;/&gt;&lt;wsp:rsid wsp:val=&quot;00C73176&quot;/&gt;&lt;wsp:rsid wsp:val=&quot;00C7549E&quot;/&gt;&lt;wsp:rsid wsp:val=&quot;00C755B5&quot;/&gt;&lt;wsp:rsid wsp:val=&quot;00C75C31&quot;/&gt;&lt;wsp:rsid wsp:val=&quot;00C76052&quot;/&gt;&lt;wsp:rsid wsp:val=&quot;00C7695E&quot;/&gt;&lt;wsp:rsid wsp:val=&quot;00C77C28&quot;/&gt;&lt;wsp:rsid wsp:val=&quot;00C77F24&quot;/&gt;&lt;wsp:rsid wsp:val=&quot;00C8029B&quot;/&gt;&lt;wsp:rsid wsp:val=&quot;00C80528&quot;/&gt;&lt;wsp:rsid wsp:val=&quot;00C80580&quot;/&gt;&lt;wsp:rsid wsp:val=&quot;00C80D8D&quot;/&gt;&lt;wsp:rsid wsp:val=&quot;00C81574&quot;/&gt;&lt;wsp:rsid wsp:val=&quot;00C81C5F&quot;/&gt;&lt;wsp:rsid wsp:val=&quot;00C827BA&quot;/&gt;&lt;wsp:rsid wsp:val=&quot;00C82A0E&quot;/&gt;&lt;wsp:rsid wsp:val=&quot;00C82B23&quot;/&gt;&lt;wsp:rsid wsp:val=&quot;00C8395F&quot;/&gt;&lt;wsp:rsid wsp:val=&quot;00C83E01&quot;/&gt;&lt;wsp:rsid wsp:val=&quot;00C8485B&quot;/&gt;&lt;wsp:rsid wsp:val=&quot;00C84876&quot;/&gt;&lt;wsp:rsid wsp:val=&quot;00C86205&quot;/&gt;&lt;wsp:rsid wsp:val=&quot;00C86700&quot;/&gt;&lt;wsp:rsid wsp:val=&quot;00C87142&quot;/&gt;&lt;wsp:rsid wsp:val=&quot;00C875F6&quot;/&gt;&lt;wsp:rsid wsp:val=&quot;00C87819&quot;/&gt;&lt;wsp:rsid wsp:val=&quot;00C879AD&quot;/&gt;&lt;wsp:rsid wsp:val=&quot;00C90A5D&quot;/&gt;&lt;wsp:rsid wsp:val=&quot;00C91262&quot;/&gt;&lt;wsp:rsid wsp:val=&quot;00C91445&quot;/&gt;&lt;wsp:rsid wsp:val=&quot;00C916A4&quot;/&gt;&lt;wsp:rsid wsp:val=&quot;00C92E70&quot;/&gt;&lt;wsp:rsid wsp:val=&quot;00C931FA&quot;/&gt;&lt;wsp:rsid wsp:val=&quot;00C93B18&quot;/&gt;&lt;wsp:rsid wsp:val=&quot;00C93C9D&quot;/&gt;&lt;wsp:rsid wsp:val=&quot;00C93D01&quot;/&gt;&lt;wsp:rsid wsp:val=&quot;00C93F39&quot;/&gt;&lt;wsp:rsid wsp:val=&quot;00C94169&quot;/&gt;&lt;wsp:rsid wsp:val=&quot;00C943B7&quot;/&gt;&lt;wsp:rsid wsp:val=&quot;00C9460B&quot;/&gt;&lt;wsp:rsid wsp:val=&quot;00C9609A&quot;/&gt;&lt;wsp:rsid wsp:val=&quot;00C964ED&quot;/&gt;&lt;wsp:rsid wsp:val=&quot;00C96515&quot;/&gt;&lt;wsp:rsid wsp:val=&quot;00C9654E&quot;/&gt;&lt;wsp:rsid wsp:val=&quot;00C965B9&quot;/&gt;&lt;wsp:rsid wsp:val=&quot;00C97B99&quot;/&gt;&lt;wsp:rsid wsp:val=&quot;00CA0A39&quot;/&gt;&lt;wsp:rsid wsp:val=&quot;00CA0C3C&quot;/&gt;&lt;wsp:rsid wsp:val=&quot;00CA0CD5&quot;/&gt;&lt;wsp:rsid wsp:val=&quot;00CA132F&quot;/&gt;&lt;wsp:rsid wsp:val=&quot;00CA149B&quot;/&gt;&lt;wsp:rsid wsp:val=&quot;00CA1503&quot;/&gt;&lt;wsp:rsid wsp:val=&quot;00CA1F4B&quot;/&gt;&lt;wsp:rsid wsp:val=&quot;00CA2502&quot;/&gt;&lt;wsp:rsid wsp:val=&quot;00CA2BAB&quot;/&gt;&lt;wsp:rsid wsp:val=&quot;00CA3254&quot;/&gt;&lt;wsp:rsid wsp:val=&quot;00CA3FA9&quot;/&gt;&lt;wsp:rsid wsp:val=&quot;00CA4319&quot;/&gt;&lt;wsp:rsid wsp:val=&quot;00CA4508&quot;/&gt;&lt;wsp:rsid wsp:val=&quot;00CA5142&quot;/&gt;&lt;wsp:rsid wsp:val=&quot;00CA5DF1&quot;/&gt;&lt;wsp:rsid wsp:val=&quot;00CA6DB4&quot;/&gt;&lt;wsp:rsid wsp:val=&quot;00CB028B&quot;/&gt;&lt;wsp:rsid wsp:val=&quot;00CB04B3&quot;/&gt;&lt;wsp:rsid wsp:val=&quot;00CB0FA6&quot;/&gt;&lt;wsp:rsid wsp:val=&quot;00CB1928&quot;/&gt;&lt;wsp:rsid wsp:val=&quot;00CB28A0&quot;/&gt;&lt;wsp:rsid wsp:val=&quot;00CB3411&quot;/&gt;&lt;wsp:rsid wsp:val=&quot;00CB4328&quot;/&gt;&lt;wsp:rsid wsp:val=&quot;00CB5E3F&quot;/&gt;&lt;wsp:rsid wsp:val=&quot;00CB62B2&quot;/&gt;&lt;wsp:rsid wsp:val=&quot;00CB68E6&quot;/&gt;&lt;wsp:rsid wsp:val=&quot;00CB6ADE&quot;/&gt;&lt;wsp:rsid wsp:val=&quot;00CB7DAD&quot;/&gt;&lt;wsp:rsid wsp:val=&quot;00CC0371&quot;/&gt;&lt;wsp:rsid wsp:val=&quot;00CC0455&quot;/&gt;&lt;wsp:rsid wsp:val=&quot;00CC0E7E&quot;/&gt;&lt;wsp:rsid wsp:val=&quot;00CC0FAA&quot;/&gt;&lt;wsp:rsid wsp:val=&quot;00CC12C9&quot;/&gt;&lt;wsp:rsid wsp:val=&quot;00CC15D7&quot;/&gt;&lt;wsp:rsid wsp:val=&quot;00CC1B8A&quot;/&gt;&lt;wsp:rsid wsp:val=&quot;00CC21EA&quot;/&gt;&lt;wsp:rsid wsp:val=&quot;00CC2EE9&quot;/&gt;&lt;wsp:rsid wsp:val=&quot;00CC3159&quot;/&gt;&lt;wsp:rsid wsp:val=&quot;00CC3BAD&quot;/&gt;&lt;wsp:rsid wsp:val=&quot;00CC44EB&quot;/&gt;&lt;wsp:rsid wsp:val=&quot;00CC4537&quot;/&gt;&lt;wsp:rsid wsp:val=&quot;00CC613A&quot;/&gt;&lt;wsp:rsid wsp:val=&quot;00CC67B0&quot;/&gt;&lt;wsp:rsid wsp:val=&quot;00CC683B&quot;/&gt;&lt;wsp:rsid wsp:val=&quot;00CC6C3F&quot;/&gt;&lt;wsp:rsid wsp:val=&quot;00CD08D1&quot;/&gt;&lt;wsp:rsid wsp:val=&quot;00CD0A85&quot;/&gt;&lt;wsp:rsid wsp:val=&quot;00CD1170&quot;/&gt;&lt;wsp:rsid wsp:val=&quot;00CD12C5&quot;/&gt;&lt;wsp:rsid wsp:val=&quot;00CD1AED&quot;/&gt;&lt;wsp:rsid wsp:val=&quot;00CD23CE&quot;/&gt;&lt;wsp:rsid wsp:val=&quot;00CD2DFB&quot;/&gt;&lt;wsp:rsid wsp:val=&quot;00CD34AD&quot;/&gt;&lt;wsp:rsid wsp:val=&quot;00CD36E1&quot;/&gt;&lt;wsp:rsid wsp:val=&quot;00CD499F&quot;/&gt;&lt;wsp:rsid wsp:val=&quot;00CD537E&quot;/&gt;&lt;wsp:rsid wsp:val=&quot;00CD58E2&quot;/&gt;&lt;wsp:rsid wsp:val=&quot;00CD79C9&quot;/&gt;&lt;wsp:rsid wsp:val=&quot;00CD7F4B&quot;/&gt;&lt;wsp:rsid wsp:val=&quot;00CE0F9A&quot;/&gt;&lt;wsp:rsid wsp:val=&quot;00CE12E0&quot;/&gt;&lt;wsp:rsid wsp:val=&quot;00CE278A&quot;/&gt;&lt;wsp:rsid wsp:val=&quot;00CE279F&quot;/&gt;&lt;wsp:rsid wsp:val=&quot;00CE2A75&quot;/&gt;&lt;wsp:rsid wsp:val=&quot;00CE319E&quot;/&gt;&lt;wsp:rsid wsp:val=&quot;00CE3D82&quot;/&gt;&lt;wsp:rsid wsp:val=&quot;00CE5131&quot;/&gt;&lt;wsp:rsid wsp:val=&quot;00CE57C7&quot;/&gt;&lt;wsp:rsid wsp:val=&quot;00CE63B9&quot;/&gt;&lt;wsp:rsid wsp:val=&quot;00CE6454&quot;/&gt;&lt;wsp:rsid wsp:val=&quot;00CE6576&quot;/&gt;&lt;wsp:rsid wsp:val=&quot;00CE6917&quot;/&gt;&lt;wsp:rsid wsp:val=&quot;00CE7299&quot;/&gt;&lt;wsp:rsid wsp:val=&quot;00CE7A42&quot;/&gt;&lt;wsp:rsid wsp:val=&quot;00CE7D0C&quot;/&gt;&lt;wsp:rsid wsp:val=&quot;00CF00BE&quot;/&gt;&lt;wsp:rsid wsp:val=&quot;00CF0F3C&quot;/&gt;&lt;wsp:rsid wsp:val=&quot;00CF1473&quot;/&gt;&lt;wsp:rsid wsp:val=&quot;00CF1F99&quot;/&gt;&lt;wsp:rsid wsp:val=&quot;00CF25B8&quot;/&gt;&lt;wsp:rsid wsp:val=&quot;00CF3819&quot;/&gt;&lt;wsp:rsid wsp:val=&quot;00CF38AB&quot;/&gt;&lt;wsp:rsid wsp:val=&quot;00CF3DC4&quot;/&gt;&lt;wsp:rsid wsp:val=&quot;00CF43C5&quot;/&gt;&lt;wsp:rsid wsp:val=&quot;00CF4569&quot;/&gt;&lt;wsp:rsid wsp:val=&quot;00CF518A&quot;/&gt;&lt;wsp:rsid wsp:val=&quot;00CF53EE&quot;/&gt;&lt;wsp:rsid wsp:val=&quot;00CF5C48&quot;/&gt;&lt;wsp:rsid wsp:val=&quot;00CF6A25&quot;/&gt;&lt;wsp:rsid wsp:val=&quot;00CF7128&quot;/&gt;&lt;wsp:rsid wsp:val=&quot;00CF7D89&quot;/&gt;&lt;wsp:rsid wsp:val=&quot;00D000D7&quot;/&gt;&lt;wsp:rsid wsp:val=&quot;00D0016B&quot;/&gt;&lt;wsp:rsid wsp:val=&quot;00D015DC&quot;/&gt;&lt;wsp:rsid wsp:val=&quot;00D0174E&quot;/&gt;&lt;wsp:rsid wsp:val=&quot;00D019CF&quot;/&gt;&lt;wsp:rsid wsp:val=&quot;00D01CEB&quot;/&gt;&lt;wsp:rsid wsp:val=&quot;00D01E17&quot;/&gt;&lt;wsp:rsid wsp:val=&quot;00D02AA3&quot;/&gt;&lt;wsp:rsid wsp:val=&quot;00D02E90&quot;/&gt;&lt;wsp:rsid wsp:val=&quot;00D02E9A&quot;/&gt;&lt;wsp:rsid wsp:val=&quot;00D03215&quot;/&gt;&lt;wsp:rsid wsp:val=&quot;00D0398B&quot;/&gt;&lt;wsp:rsid wsp:val=&quot;00D03CD6&quot;/&gt;&lt;wsp:rsid wsp:val=&quot;00D05ECF&quot;/&gt;&lt;wsp:rsid wsp:val=&quot;00D06167&quot;/&gt;&lt;wsp:rsid wsp:val=&quot;00D06433&quot;/&gt;&lt;wsp:rsid wsp:val=&quot;00D06439&quot;/&gt;&lt;wsp:rsid wsp:val=&quot;00D064DA&quot;/&gt;&lt;wsp:rsid wsp:val=&quot;00D07AEF&quot;/&gt;&lt;wsp:rsid wsp:val=&quot;00D07E3B&quot;/&gt;&lt;wsp:rsid wsp:val=&quot;00D10136&quot;/&gt;&lt;wsp:rsid wsp:val=&quot;00D11729&quot;/&gt;&lt;wsp:rsid wsp:val=&quot;00D11923&quot;/&gt;&lt;wsp:rsid wsp:val=&quot;00D11D90&quot;/&gt;&lt;wsp:rsid wsp:val=&quot;00D12F9C&quot;/&gt;&lt;wsp:rsid wsp:val=&quot;00D132B5&quot;/&gt;&lt;wsp:rsid wsp:val=&quot;00D13AC3&quot;/&gt;&lt;wsp:rsid wsp:val=&quot;00D13CF5&quot;/&gt;&lt;wsp:rsid wsp:val=&quot;00D149DA&quot;/&gt;&lt;wsp:rsid wsp:val=&quot;00D15228&quot;/&gt;&lt;wsp:rsid wsp:val=&quot;00D15491&quot;/&gt;&lt;wsp:rsid wsp:val=&quot;00D15611&quot;/&gt;&lt;wsp:rsid wsp:val=&quot;00D164DD&quot;/&gt;&lt;wsp:rsid wsp:val=&quot;00D16745&quot;/&gt;&lt;wsp:rsid wsp:val=&quot;00D179BE&quot;/&gt;&lt;wsp:rsid wsp:val=&quot;00D201D5&quot;/&gt;&lt;wsp:rsid wsp:val=&quot;00D20A0C&quot;/&gt;&lt;wsp:rsid wsp:val=&quot;00D20C39&quot;/&gt;&lt;wsp:rsid wsp:val=&quot;00D21F04&quot;/&gt;&lt;wsp:rsid wsp:val=&quot;00D22634&quot;/&gt;&lt;wsp:rsid wsp:val=&quot;00D22774&quot;/&gt;&lt;wsp:rsid wsp:val=&quot;00D22A29&quot;/&gt;&lt;wsp:rsid wsp:val=&quot;00D23546&quot;/&gt;&lt;wsp:rsid wsp:val=&quot;00D2778B&quot;/&gt;&lt;wsp:rsid wsp:val=&quot;00D27AEF&quot;/&gt;&lt;wsp:rsid wsp:val=&quot;00D3040C&quot;/&gt;&lt;wsp:rsid wsp:val=&quot;00D32CFC&quot;/&gt;&lt;wsp:rsid wsp:val=&quot;00D32F4C&quot;/&gt;&lt;wsp:rsid wsp:val=&quot;00D32F98&quot;/&gt;&lt;wsp:rsid wsp:val=&quot;00D32FF2&quot;/&gt;&lt;wsp:rsid wsp:val=&quot;00D3322F&quot;/&gt;&lt;wsp:rsid wsp:val=&quot;00D33447&quot;/&gt;&lt;wsp:rsid wsp:val=&quot;00D35AF0&quot;/&gt;&lt;wsp:rsid wsp:val=&quot;00D36419&quot;/&gt;&lt;wsp:rsid wsp:val=&quot;00D36C74&quot;/&gt;&lt;wsp:rsid wsp:val=&quot;00D42061&quot;/&gt;&lt;wsp:rsid wsp:val=&quot;00D428C0&quot;/&gt;&lt;wsp:rsid wsp:val=&quot;00D43F95&quot;/&gt;&lt;wsp:rsid wsp:val=&quot;00D44AF5&quot;/&gt;&lt;wsp:rsid wsp:val=&quot;00D44D9D&quot;/&gt;&lt;wsp:rsid wsp:val=&quot;00D44DCB&quot;/&gt;&lt;wsp:rsid wsp:val=&quot;00D459BF&quot;/&gt;&lt;wsp:rsid wsp:val=&quot;00D45FBD&quot;/&gt;&lt;wsp:rsid wsp:val=&quot;00D465F0&quot;/&gt;&lt;wsp:rsid wsp:val=&quot;00D508B1&quot;/&gt;&lt;wsp:rsid wsp:val=&quot;00D50E39&quot;/&gt;&lt;wsp:rsid wsp:val=&quot;00D51316&quot;/&gt;&lt;wsp:rsid wsp:val=&quot;00D5280D&quot;/&gt;&lt;wsp:rsid wsp:val=&quot;00D53768&quot;/&gt;&lt;wsp:rsid wsp:val=&quot;00D53BE8&quot;/&gt;&lt;wsp:rsid wsp:val=&quot;00D54519&quot;/&gt;&lt;wsp:rsid wsp:val=&quot;00D555D8&quot;/&gt;&lt;wsp:rsid wsp:val=&quot;00D55637&quot;/&gt;&lt;wsp:rsid wsp:val=&quot;00D55803&quot;/&gt;&lt;wsp:rsid wsp:val=&quot;00D55DD9&quot;/&gt;&lt;wsp:rsid wsp:val=&quot;00D55E64&quot;/&gt;&lt;wsp:rsid wsp:val=&quot;00D564E3&quot;/&gt;&lt;wsp:rsid wsp:val=&quot;00D56575&quot;/&gt;&lt;wsp:rsid wsp:val=&quot;00D56A1B&quot;/&gt;&lt;wsp:rsid wsp:val=&quot;00D578A9&quot;/&gt;&lt;wsp:rsid wsp:val=&quot;00D608C1&quot;/&gt;&lt;wsp:rsid wsp:val=&quot;00D60D32&quot;/&gt;&lt;wsp:rsid wsp:val=&quot;00D61465&quot;/&gt;&lt;wsp:rsid wsp:val=&quot;00D615BF&quot;/&gt;&lt;wsp:rsid wsp:val=&quot;00D618ED&quot;/&gt;&lt;wsp:rsid wsp:val=&quot;00D61C01&quot;/&gt;&lt;wsp:rsid wsp:val=&quot;00D61F8C&quot;/&gt;&lt;wsp:rsid wsp:val=&quot;00D6253B&quot;/&gt;&lt;wsp:rsid wsp:val=&quot;00D62A6E&quot;/&gt;&lt;wsp:rsid wsp:val=&quot;00D63065&quot;/&gt;&lt;wsp:rsid wsp:val=&quot;00D63614&quot;/&gt;&lt;wsp:rsid wsp:val=&quot;00D63646&quot;/&gt;&lt;wsp:rsid wsp:val=&quot;00D65433&quot;/&gt;&lt;wsp:rsid wsp:val=&quot;00D6552B&quot;/&gt;&lt;wsp:rsid wsp:val=&quot;00D6609C&quot;/&gt;&lt;wsp:rsid wsp:val=&quot;00D66181&quot;/&gt;&lt;wsp:rsid wsp:val=&quot;00D6781B&quot;/&gt;&lt;wsp:rsid wsp:val=&quot;00D67B6C&quot;/&gt;&lt;wsp:rsid wsp:val=&quot;00D70422&quot;/&gt;&lt;wsp:rsid wsp:val=&quot;00D71618&quot;/&gt;&lt;wsp:rsid wsp:val=&quot;00D72039&quot;/&gt;&lt;wsp:rsid wsp:val=&quot;00D721B9&quot;/&gt;&lt;wsp:rsid wsp:val=&quot;00D7589B&quot;/&gt;&lt;wsp:rsid wsp:val=&quot;00D75966&quot;/&gt;&lt;wsp:rsid wsp:val=&quot;00D75BC7&quot;/&gt;&lt;wsp:rsid wsp:val=&quot;00D76F82&quot;/&gt;&lt;wsp:rsid wsp:val=&quot;00D80035&quot;/&gt;&lt;wsp:rsid wsp:val=&quot;00D801EE&quot;/&gt;&lt;wsp:rsid wsp:val=&quot;00D8067D&quot;/&gt;&lt;wsp:rsid wsp:val=&quot;00D80733&quot;/&gt;&lt;wsp:rsid wsp:val=&quot;00D810A2&quot;/&gt;&lt;wsp:rsid wsp:val=&quot;00D816DF&quot;/&gt;&lt;wsp:rsid wsp:val=&quot;00D82B26&quot;/&gt;&lt;wsp:rsid wsp:val=&quot;00D83396&quot;/&gt;&lt;wsp:rsid wsp:val=&quot;00D838C4&quot;/&gt;&lt;wsp:rsid wsp:val=&quot;00D83E0C&quot;/&gt;&lt;wsp:rsid wsp:val=&quot;00D841B6&quot;/&gt;&lt;wsp:rsid wsp:val=&quot;00D84AEA&quot;/&gt;&lt;wsp:rsid wsp:val=&quot;00D84B65&quot;/&gt;&lt;wsp:rsid wsp:val=&quot;00D8682B&quot;/&gt;&lt;wsp:rsid wsp:val=&quot;00D87B14&quot;/&gt;&lt;wsp:rsid wsp:val=&quot;00D87C1A&quot;/&gt;&lt;wsp:rsid wsp:val=&quot;00D9038D&quot;/&gt;&lt;wsp:rsid wsp:val=&quot;00D9081F&quot;/&gt;&lt;wsp:rsid wsp:val=&quot;00D90BA5&quot;/&gt;&lt;wsp:rsid wsp:val=&quot;00D918F2&quot;/&gt;&lt;wsp:rsid wsp:val=&quot;00D92045&quot;/&gt;&lt;wsp:rsid wsp:val=&quot;00D9266B&quot;/&gt;&lt;wsp:rsid wsp:val=&quot;00D92736&quot;/&gt;&lt;wsp:rsid wsp:val=&quot;00D92936&quot;/&gt;&lt;wsp:rsid wsp:val=&quot;00D9327E&quot;/&gt;&lt;wsp:rsid wsp:val=&quot;00D939E7&quot;/&gt;&lt;wsp:rsid wsp:val=&quot;00D93AFD&quot;/&gt;&lt;wsp:rsid wsp:val=&quot;00D93C10&quot;/&gt;&lt;wsp:rsid wsp:val=&quot;00D9434C&quot;/&gt;&lt;wsp:rsid wsp:val=&quot;00D94866&quot;/&gt;&lt;wsp:rsid wsp:val=&quot;00D94A3B&quot;/&gt;&lt;wsp:rsid wsp:val=&quot;00D94AF0&quot;/&gt;&lt;wsp:rsid wsp:val=&quot;00D95A0A&quot;/&gt;&lt;wsp:rsid wsp:val=&quot;00D96349&quot;/&gt;&lt;wsp:rsid wsp:val=&quot;00D96A80&quot;/&gt;&lt;wsp:rsid wsp:val=&quot;00D96C0C&quot;/&gt;&lt;wsp:rsid wsp:val=&quot;00D97012&quot;/&gt;&lt;wsp:rsid wsp:val=&quot;00D9764A&quot;/&gt;&lt;wsp:rsid wsp:val=&quot;00D97EB0&quot;/&gt;&lt;wsp:rsid wsp:val=&quot;00DA0A68&quot;/&gt;&lt;wsp:rsid wsp:val=&quot;00DA118D&quot;/&gt;&lt;wsp:rsid wsp:val=&quot;00DA122D&quot;/&gt;&lt;wsp:rsid wsp:val=&quot;00DA134F&quot;/&gt;&lt;wsp:rsid wsp:val=&quot;00DA2BFE&quot;/&gt;&lt;wsp:rsid wsp:val=&quot;00DA2D1B&quot;/&gt;&lt;wsp:rsid wsp:val=&quot;00DA356E&quot;/&gt;&lt;wsp:rsid wsp:val=&quot;00DA3A18&quot;/&gt;&lt;wsp:rsid wsp:val=&quot;00DA3B49&quot;/&gt;&lt;wsp:rsid wsp:val=&quot;00DA3D3E&quot;/&gt;&lt;wsp:rsid wsp:val=&quot;00DA3EED&quot;/&gt;&lt;wsp:rsid wsp:val=&quot;00DA4A77&quot;/&gt;&lt;wsp:rsid wsp:val=&quot;00DA5249&quot;/&gt;&lt;wsp:rsid wsp:val=&quot;00DA548E&quot;/&gt;&lt;wsp:rsid wsp:val=&quot;00DA5A17&quot;/&gt;&lt;wsp:rsid wsp:val=&quot;00DA5B98&quot;/&gt;&lt;wsp:rsid wsp:val=&quot;00DA61BA&quot;/&gt;&lt;wsp:rsid wsp:val=&quot;00DA6604&quot;/&gt;&lt;wsp:rsid wsp:val=&quot;00DA6786&quot;/&gt;&lt;wsp:rsid wsp:val=&quot;00DA6E16&quot;/&gt;&lt;wsp:rsid wsp:val=&quot;00DA729D&quot;/&gt;&lt;wsp:rsid wsp:val=&quot;00DA7A54&quot;/&gt;&lt;wsp:rsid wsp:val=&quot;00DB0322&quot;/&gt;&lt;wsp:rsid wsp:val=&quot;00DB07B5&quot;/&gt;&lt;wsp:rsid wsp:val=&quot;00DB195A&quot;/&gt;&lt;wsp:rsid wsp:val=&quot;00DB2EB2&quot;/&gt;&lt;wsp:rsid wsp:val=&quot;00DB30F6&quot;/&gt;&lt;wsp:rsid wsp:val=&quot;00DB340C&quot;/&gt;&lt;wsp:rsid wsp:val=&quot;00DB3FF2&quot;/&gt;&lt;wsp:rsid wsp:val=&quot;00DB5347&quot;/&gt;&lt;wsp:rsid wsp:val=&quot;00DB560A&quot;/&gt;&lt;wsp:rsid wsp:val=&quot;00DB5659&quot;/&gt;&lt;wsp:rsid wsp:val=&quot;00DB56F3&quot;/&gt;&lt;wsp:rsid wsp:val=&quot;00DB6FFD&quot;/&gt;&lt;wsp:rsid wsp:val=&quot;00DB75FA&quot;/&gt;&lt;wsp:rsid wsp:val=&quot;00DC1214&quot;/&gt;&lt;wsp:rsid wsp:val=&quot;00DC13FD&quot;/&gt;&lt;wsp:rsid wsp:val=&quot;00DC1440&quot;/&gt;&lt;wsp:rsid wsp:val=&quot;00DC1EDE&quot;/&gt;&lt;wsp:rsid wsp:val=&quot;00DC35D0&quot;/&gt;&lt;wsp:rsid wsp:val=&quot;00DC3DF8&quot;/&gt;&lt;wsp:rsid wsp:val=&quot;00DC3E52&quot;/&gt;&lt;wsp:rsid wsp:val=&quot;00DC42BC&quot;/&gt;&lt;wsp:rsid wsp:val=&quot;00DC476E&quot;/&gt;&lt;wsp:rsid wsp:val=&quot;00DC5048&quot;/&gt;&lt;wsp:rsid wsp:val=&quot;00DC568D&quot;/&gt;&lt;wsp:rsid wsp:val=&quot;00DC581E&quot;/&gt;&lt;wsp:rsid wsp:val=&quot;00DC6B02&quot;/&gt;&lt;wsp:rsid wsp:val=&quot;00DC6DCB&quot;/&gt;&lt;wsp:rsid wsp:val=&quot;00DC7913&quot;/&gt;&lt;wsp:rsid wsp:val=&quot;00DC7BD2&quot;/&gt;&lt;wsp:rsid wsp:val=&quot;00DD0104&quot;/&gt;&lt;wsp:rsid wsp:val=&quot;00DD04CF&quot;/&gt;&lt;wsp:rsid wsp:val=&quot;00DD1033&quot;/&gt;&lt;wsp:rsid wsp:val=&quot;00DD18C9&quot;/&gt;&lt;wsp:rsid wsp:val=&quot;00DD25A2&quot;/&gt;&lt;wsp:rsid wsp:val=&quot;00DD3AC0&quot;/&gt;&lt;wsp:rsid wsp:val=&quot;00DD42EB&quot;/&gt;&lt;wsp:rsid wsp:val=&quot;00DD4363&quot;/&gt;&lt;wsp:rsid wsp:val=&quot;00DD5AA0&quot;/&gt;&lt;wsp:rsid wsp:val=&quot;00DD5C22&quot;/&gt;&lt;wsp:rsid wsp:val=&quot;00DD5C5A&quot;/&gt;&lt;wsp:rsid wsp:val=&quot;00DD5CB0&quot;/&gt;&lt;wsp:rsid wsp:val=&quot;00DD6D24&quot;/&gt;&lt;wsp:rsid wsp:val=&quot;00DD6FFE&quot;/&gt;&lt;wsp:rsid wsp:val=&quot;00DD7D6F&quot;/&gt;&lt;wsp:rsid wsp:val=&quot;00DE08DD&quot;/&gt;&lt;wsp:rsid wsp:val=&quot;00DE1110&quot;/&gt;&lt;wsp:rsid wsp:val=&quot;00DE1EF4&quot;/&gt;&lt;wsp:rsid wsp:val=&quot;00DE2873&quot;/&gt;&lt;wsp:rsid wsp:val=&quot;00DE2D94&quot;/&gt;&lt;wsp:rsid wsp:val=&quot;00DE3A7A&quot;/&gt;&lt;wsp:rsid wsp:val=&quot;00DE3EA5&quot;/&gt;&lt;wsp:rsid wsp:val=&quot;00DE42FE&quot;/&gt;&lt;wsp:rsid wsp:val=&quot;00DE4C34&quot;/&gt;&lt;wsp:rsid wsp:val=&quot;00DE667F&quot;/&gt;&lt;wsp:rsid wsp:val=&quot;00DE6874&quot;/&gt;&lt;wsp:rsid wsp:val=&quot;00DF08FA&quot;/&gt;&lt;wsp:rsid wsp:val=&quot;00DF15F8&quot;/&gt;&lt;wsp:rsid wsp:val=&quot;00DF1793&quot;/&gt;&lt;wsp:rsid wsp:val=&quot;00DF2DC0&quot;/&gt;&lt;wsp:rsid wsp:val=&quot;00DF2FC6&quot;/&gt;&lt;wsp:rsid wsp:val=&quot;00DF4626&quot;/&gt;&lt;wsp:rsid wsp:val=&quot;00DF4BE8&quot;/&gt;&lt;wsp:rsid wsp:val=&quot;00DF573F&quot;/&gt;&lt;wsp:rsid wsp:val=&quot;00DF6136&quot;/&gt;&lt;wsp:rsid wsp:val=&quot;00DF6514&quot;/&gt;&lt;wsp:rsid wsp:val=&quot;00DF66B7&quot;/&gt;&lt;wsp:rsid wsp:val=&quot;00DF6DA7&quot;/&gt;&lt;wsp:rsid wsp:val=&quot;00DF711C&quot;/&gt;&lt;wsp:rsid wsp:val=&quot;00DF75F3&quot;/&gt;&lt;wsp:rsid wsp:val=&quot;00DF76DE&quot;/&gt;&lt;wsp:rsid wsp:val=&quot;00DF798A&quot;/&gt;&lt;wsp:rsid wsp:val=&quot;00DF7D15&quot;/&gt;&lt;wsp:rsid wsp:val=&quot;00DF7E25&quot;/&gt;&lt;wsp:rsid wsp:val=&quot;00E002DA&quot;/&gt;&lt;wsp:rsid wsp:val=&quot;00E0058F&quot;/&gt;&lt;wsp:rsid wsp:val=&quot;00E01D5F&quot;/&gt;&lt;wsp:rsid wsp:val=&quot;00E0207D&quot;/&gt;&lt;wsp:rsid wsp:val=&quot;00E02195&quot;/&gt;&lt;wsp:rsid wsp:val=&quot;00E023FD&quot;/&gt;&lt;wsp:rsid wsp:val=&quot;00E0341E&quot;/&gt;&lt;wsp:rsid wsp:val=&quot;00E04384&quot;/&gt;&lt;wsp:rsid wsp:val=&quot;00E050DE&quot;/&gt;&lt;wsp:rsid wsp:val=&quot;00E0583E&quot;/&gt;&lt;wsp:rsid wsp:val=&quot;00E06211&quot;/&gt;&lt;wsp:rsid wsp:val=&quot;00E06C08&quot;/&gt;&lt;wsp:rsid wsp:val=&quot;00E07E85&quot;/&gt;&lt;wsp:rsid wsp:val=&quot;00E10400&quot;/&gt;&lt;wsp:rsid wsp:val=&quot;00E10A54&quot;/&gt;&lt;wsp:rsid wsp:val=&quot;00E11056&quot;/&gt;&lt;wsp:rsid wsp:val=&quot;00E118B7&quot;/&gt;&lt;wsp:rsid wsp:val=&quot;00E11B0B&quot;/&gt;&lt;wsp:rsid wsp:val=&quot;00E1232B&quot;/&gt;&lt;wsp:rsid wsp:val=&quot;00E12BF8&quot;/&gt;&lt;wsp:rsid wsp:val=&quot;00E1335D&quot;/&gt;&lt;wsp:rsid wsp:val=&quot;00E13B35&quot;/&gt;&lt;wsp:rsid wsp:val=&quot;00E14C5D&quot;/&gt;&lt;wsp:rsid wsp:val=&quot;00E15159&quot;/&gt;&lt;wsp:rsid wsp:val=&quot;00E16082&quot;/&gt;&lt;wsp:rsid wsp:val=&quot;00E16B4C&quot;/&gt;&lt;wsp:rsid wsp:val=&quot;00E1793F&quot;/&gt;&lt;wsp:rsid wsp:val=&quot;00E179CB&quot;/&gt;&lt;wsp:rsid wsp:val=&quot;00E201FE&quot;/&gt;&lt;wsp:rsid wsp:val=&quot;00E202C9&quot;/&gt;&lt;wsp:rsid wsp:val=&quot;00E2067F&quot;/&gt;&lt;wsp:rsid wsp:val=&quot;00E20A83&quot;/&gt;&lt;wsp:rsid wsp:val=&quot;00E218A9&quot;/&gt;&lt;wsp:rsid wsp:val=&quot;00E21F2A&quot;/&gt;&lt;wsp:rsid wsp:val=&quot;00E229D1&quot;/&gt;&lt;wsp:rsid wsp:val=&quot;00E2649D&quot;/&gt;&lt;wsp:rsid wsp:val=&quot;00E26881&quot;/&gt;&lt;wsp:rsid wsp:val=&quot;00E26F7C&quot;/&gt;&lt;wsp:rsid wsp:val=&quot;00E27034&quot;/&gt;&lt;wsp:rsid wsp:val=&quot;00E275C4&quot;/&gt;&lt;wsp:rsid wsp:val=&quot;00E30B65&quot;/&gt;&lt;wsp:rsid wsp:val=&quot;00E32876&quot;/&gt;&lt;wsp:rsid wsp:val=&quot;00E328BB&quot;/&gt;&lt;wsp:rsid wsp:val=&quot;00E32B92&quot;/&gt;&lt;wsp:rsid wsp:val=&quot;00E33C7F&quot;/&gt;&lt;wsp:rsid wsp:val=&quot;00E33E89&quot;/&gt;&lt;wsp:rsid wsp:val=&quot;00E34424&quot;/&gt;&lt;wsp:rsid wsp:val=&quot;00E348E4&quot;/&gt;&lt;wsp:rsid wsp:val=&quot;00E34B35&quot;/&gt;&lt;wsp:rsid wsp:val=&quot;00E35748&quot;/&gt;&lt;wsp:rsid wsp:val=&quot;00E35BD8&quot;/&gt;&lt;wsp:rsid wsp:val=&quot;00E36288&quot;/&gt;&lt;wsp:rsid wsp:val=&quot;00E36B47&quot;/&gt;&lt;wsp:rsid wsp:val=&quot;00E37B6A&quot;/&gt;&lt;wsp:rsid wsp:val=&quot;00E4005F&quot;/&gt;&lt;wsp:rsid wsp:val=&quot;00E406E8&quot;/&gt;&lt;wsp:rsid wsp:val=&quot;00E41364&quot;/&gt;&lt;wsp:rsid wsp:val=&quot;00E41FFD&quot;/&gt;&lt;wsp:rsid wsp:val=&quot;00E42ACC&quot;/&gt;&lt;wsp:rsid wsp:val=&quot;00E42AE7&quot;/&gt;&lt;wsp:rsid wsp:val=&quot;00E42E36&quot;/&gt;&lt;wsp:rsid wsp:val=&quot;00E434FE&quot;/&gt;&lt;wsp:rsid wsp:val=&quot;00E436E6&quot;/&gt;&lt;wsp:rsid wsp:val=&quot;00E44DB6&quot;/&gt;&lt;wsp:rsid wsp:val=&quot;00E453EF&quot;/&gt;&lt;wsp:rsid wsp:val=&quot;00E4593E&quot;/&gt;&lt;wsp:rsid wsp:val=&quot;00E46004&quot;/&gt;&lt;wsp:rsid wsp:val=&quot;00E463BB&quot;/&gt;&lt;wsp:rsid wsp:val=&quot;00E464C4&quot;/&gt;&lt;wsp:rsid wsp:val=&quot;00E468CE&quot;/&gt;&lt;wsp:rsid wsp:val=&quot;00E46D25&quot;/&gt;&lt;wsp:rsid wsp:val=&quot;00E46D91&quot;/&gt;&lt;wsp:rsid wsp:val=&quot;00E47175&quot;/&gt;&lt;wsp:rsid wsp:val=&quot;00E47B44&quot;/&gt;&lt;wsp:rsid wsp:val=&quot;00E50BEE&quot;/&gt;&lt;wsp:rsid wsp:val=&quot;00E518A4&quot;/&gt;&lt;wsp:rsid wsp:val=&quot;00E51F22&quot;/&gt;&lt;wsp:rsid wsp:val=&quot;00E53A9E&quot;/&gt;&lt;wsp:rsid wsp:val=&quot;00E53DFB&quot;/&gt;&lt;wsp:rsid wsp:val=&quot;00E54A32&quot;/&gt;&lt;wsp:rsid wsp:val=&quot;00E56418&quot;/&gt;&lt;wsp:rsid wsp:val=&quot;00E5650B&quot;/&gt;&lt;wsp:rsid wsp:val=&quot;00E56CB6&quot;/&gt;&lt;wsp:rsid wsp:val=&quot;00E570FB&quot;/&gt;&lt;wsp:rsid wsp:val=&quot;00E57175&quot;/&gt;&lt;wsp:rsid wsp:val=&quot;00E5725F&quot;/&gt;&lt;wsp:rsid wsp:val=&quot;00E57E20&quot;/&gt;&lt;wsp:rsid wsp:val=&quot;00E615AC&quot;/&gt;&lt;wsp:rsid wsp:val=&quot;00E6196D&quot;/&gt;&lt;wsp:rsid wsp:val=&quot;00E620B1&quot;/&gt;&lt;wsp:rsid wsp:val=&quot;00E62262&quot;/&gt;&lt;wsp:rsid wsp:val=&quot;00E62BED&quot;/&gt;&lt;wsp:rsid wsp:val=&quot;00E6351D&quot;/&gt;&lt;wsp:rsid wsp:val=&quot;00E63E53&quot;/&gt;&lt;wsp:rsid wsp:val=&quot;00E645A3&quot;/&gt;&lt;wsp:rsid wsp:val=&quot;00E64DA7&quot;/&gt;&lt;wsp:rsid wsp:val=&quot;00E6512B&quot;/&gt;&lt;wsp:rsid wsp:val=&quot;00E65AB8&quot;/&gt;&lt;wsp:rsid wsp:val=&quot;00E65E5C&quot;/&gt;&lt;wsp:rsid wsp:val=&quot;00E66056&quot;/&gt;&lt;wsp:rsid wsp:val=&quot;00E66AD8&quot;/&gt;&lt;wsp:rsid wsp:val=&quot;00E672A5&quot;/&gt;&lt;wsp:rsid wsp:val=&quot;00E70B0B&quot;/&gt;&lt;wsp:rsid wsp:val=&quot;00E70D8F&quot;/&gt;&lt;wsp:rsid wsp:val=&quot;00E70F86&quot;/&gt;&lt;wsp:rsid wsp:val=&quot;00E71227&quot;/&gt;&lt;wsp:rsid wsp:val=&quot;00E7162D&quot;/&gt;&lt;wsp:rsid wsp:val=&quot;00E71910&quot;/&gt;&lt;wsp:rsid wsp:val=&quot;00E71CD1&quot;/&gt;&lt;wsp:rsid wsp:val=&quot;00E72046&quot;/&gt;&lt;wsp:rsid wsp:val=&quot;00E722AC&quot;/&gt;&lt;wsp:rsid wsp:val=&quot;00E72324&quot;/&gt;&lt;wsp:rsid wsp:val=&quot;00E72A40&quot;/&gt;&lt;wsp:rsid wsp:val=&quot;00E72B01&quot;/&gt;&lt;wsp:rsid wsp:val=&quot;00E736FA&quot;/&gt;&lt;wsp:rsid wsp:val=&quot;00E73A0B&quot;/&gt;&lt;wsp:rsid wsp:val=&quot;00E73B2A&quot;/&gt;&lt;wsp:rsid wsp:val=&quot;00E7452A&quot;/&gt;&lt;wsp:rsid wsp:val=&quot;00E747B4&quot;/&gt;&lt;wsp:rsid wsp:val=&quot;00E74C80&quot;/&gt;&lt;wsp:rsid wsp:val=&quot;00E74D02&quot;/&gt;&lt;wsp:rsid wsp:val=&quot;00E75295&quot;/&gt;&lt;wsp:rsid wsp:val=&quot;00E75F0B&quot;/&gt;&lt;wsp:rsid wsp:val=&quot;00E767A7&quot;/&gt;&lt;wsp:rsid wsp:val=&quot;00E77659&quot;/&gt;&lt;wsp:rsid wsp:val=&quot;00E778D0&quot;/&gt;&lt;wsp:rsid wsp:val=&quot;00E8018C&quot;/&gt;&lt;wsp:rsid wsp:val=&quot;00E81928&quot;/&gt;&lt;wsp:rsid wsp:val=&quot;00E82334&quot;/&gt;&lt;wsp:rsid wsp:val=&quot;00E825FF&quot;/&gt;&lt;wsp:rsid wsp:val=&quot;00E832F8&quot;/&gt;&lt;wsp:rsid wsp:val=&quot;00E83634&quot;/&gt;&lt;wsp:rsid wsp:val=&quot;00E83BD3&quot;/&gt;&lt;wsp:rsid wsp:val=&quot;00E84217&quot;/&gt;&lt;wsp:rsid wsp:val=&quot;00E84699&quot;/&gt;&lt;wsp:rsid wsp:val=&quot;00E84A2D&quot;/&gt;&lt;wsp:rsid wsp:val=&quot;00E8601A&quot;/&gt;&lt;wsp:rsid wsp:val=&quot;00E86852&quot;/&gt;&lt;wsp:rsid wsp:val=&quot;00E87665&quot;/&gt;&lt;wsp:rsid wsp:val=&quot;00E8792F&quot;/&gt;&lt;wsp:rsid wsp:val=&quot;00E87BEE&quot;/&gt;&lt;wsp:rsid wsp:val=&quot;00E87EF8&quot;/&gt;&lt;wsp:rsid wsp:val=&quot;00E87F9A&quot;/&gt;&lt;wsp:rsid wsp:val=&quot;00E9074F&quot;/&gt;&lt;wsp:rsid wsp:val=&quot;00E90CB2&quot;/&gt;&lt;wsp:rsid wsp:val=&quot;00E90F42&quot;/&gt;&lt;wsp:rsid wsp:val=&quot;00E918A2&quot;/&gt;&lt;wsp:rsid wsp:val=&quot;00E91988&quot;/&gt;&lt;wsp:rsid wsp:val=&quot;00E91DA7&quot;/&gt;&lt;wsp:rsid wsp:val=&quot;00E9203A&quot;/&gt;&lt;wsp:rsid wsp:val=&quot;00E92EF1&quot;/&gt;&lt;wsp:rsid wsp:val=&quot;00E93698&quot;/&gt;&lt;wsp:rsid wsp:val=&quot;00E93EE9&quot;/&gt;&lt;wsp:rsid wsp:val=&quot;00E941AB&quot;/&gt;&lt;wsp:rsid wsp:val=&quot;00E94B34&quot;/&gt;&lt;wsp:rsid wsp:val=&quot;00E94CFF&quot;/&gt;&lt;wsp:rsid wsp:val=&quot;00E94FEF&quot;/&gt;&lt;wsp:rsid wsp:val=&quot;00E9518F&quot;/&gt;&lt;wsp:rsid wsp:val=&quot;00E951BA&quot;/&gt;&lt;wsp:rsid wsp:val=&quot;00E953D3&quot;/&gt;&lt;wsp:rsid wsp:val=&quot;00E95538&quot;/&gt;&lt;wsp:rsid wsp:val=&quot;00E955A6&quot;/&gt;&lt;wsp:rsid wsp:val=&quot;00E95E5D&quot;/&gt;&lt;wsp:rsid wsp:val=&quot;00E961A4&quot;/&gt;&lt;wsp:rsid wsp:val=&quot;00E9645C&quot;/&gt;&lt;wsp:rsid wsp:val=&quot;00E97B42&quot;/&gt;&lt;wsp:rsid wsp:val=&quot;00EA1B78&quot;/&gt;&lt;wsp:rsid wsp:val=&quot;00EA1BAD&quot;/&gt;&lt;wsp:rsid wsp:val=&quot;00EA23B4&quot;/&gt;&lt;wsp:rsid wsp:val=&quot;00EA27F6&quot;/&gt;&lt;wsp:rsid wsp:val=&quot;00EA315F&quot;/&gt;&lt;wsp:rsid wsp:val=&quot;00EA3C0C&quot;/&gt;&lt;wsp:rsid wsp:val=&quot;00EA4302&quot;/&gt;&lt;wsp:rsid wsp:val=&quot;00EA4608&quot;/&gt;&lt;wsp:rsid wsp:val=&quot;00EA5575&quot;/&gt;&lt;wsp:rsid wsp:val=&quot;00EA59B7&quot;/&gt;&lt;wsp:rsid wsp:val=&quot;00EA5B8E&quot;/&gt;&lt;wsp:rsid wsp:val=&quot;00EA5D5B&quot;/&gt;&lt;wsp:rsid wsp:val=&quot;00EA6D99&quot;/&gt;&lt;wsp:rsid wsp:val=&quot;00EA6E0D&quot;/&gt;&lt;wsp:rsid wsp:val=&quot;00EA7CF6&quot;/&gt;&lt;wsp:rsid wsp:val=&quot;00EB1AED&quot;/&gt;&lt;wsp:rsid wsp:val=&quot;00EB1D19&quot;/&gt;&lt;wsp:rsid wsp:val=&quot;00EB24D1&quot;/&gt;&lt;wsp:rsid wsp:val=&quot;00EB2A3F&quot;/&gt;&lt;wsp:rsid wsp:val=&quot;00EB2B02&quot;/&gt;&lt;wsp:rsid wsp:val=&quot;00EB3528&quot;/&gt;&lt;wsp:rsid wsp:val=&quot;00EB463E&quot;/&gt;&lt;wsp:rsid wsp:val=&quot;00EB4E24&quot;/&gt;&lt;wsp:rsid wsp:val=&quot;00EB4F22&quot;/&gt;&lt;wsp:rsid wsp:val=&quot;00EB513B&quot;/&gt;&lt;wsp:rsid wsp:val=&quot;00EB550C&quot;/&gt;&lt;wsp:rsid wsp:val=&quot;00EB6D52&quot;/&gt;&lt;wsp:rsid wsp:val=&quot;00EB719D&quot;/&gt;&lt;wsp:rsid wsp:val=&quot;00EB7442&quot;/&gt;&lt;wsp:rsid wsp:val=&quot;00EB755A&quot;/&gt;&lt;wsp:rsid wsp:val=&quot;00EB7AAF&quot;/&gt;&lt;wsp:rsid wsp:val=&quot;00EB7BC8&quot;/&gt;&lt;wsp:rsid wsp:val=&quot;00EC08B2&quot;/&gt;&lt;wsp:rsid wsp:val=&quot;00EC1910&quot;/&gt;&lt;wsp:rsid wsp:val=&quot;00EC1B43&quot;/&gt;&lt;wsp:rsid wsp:val=&quot;00EC21FE&quot;/&gt;&lt;wsp:rsid wsp:val=&quot;00EC23B6&quot;/&gt;&lt;wsp:rsid wsp:val=&quot;00EC2572&quot;/&gt;&lt;wsp:rsid wsp:val=&quot;00EC2760&quot;/&gt;&lt;wsp:rsid wsp:val=&quot;00EC35E8&quot;/&gt;&lt;wsp:rsid wsp:val=&quot;00EC418F&quot;/&gt;&lt;wsp:rsid wsp:val=&quot;00EC6075&quot;/&gt;&lt;wsp:rsid wsp:val=&quot;00EC6487&quot;/&gt;&lt;wsp:rsid wsp:val=&quot;00EC73F4&quot;/&gt;&lt;wsp:rsid wsp:val=&quot;00EC770C&quot;/&gt;&lt;wsp:rsid wsp:val=&quot;00ED10E3&quot;/&gt;&lt;wsp:rsid wsp:val=&quot;00ED13F5&quot;/&gt;&lt;wsp:rsid wsp:val=&quot;00ED2094&quot;/&gt;&lt;wsp:rsid wsp:val=&quot;00ED274E&quot;/&gt;&lt;wsp:rsid wsp:val=&quot;00ED295D&quot;/&gt;&lt;wsp:rsid wsp:val=&quot;00ED2D9B&quot;/&gt;&lt;wsp:rsid wsp:val=&quot;00ED3F1B&quot;/&gt;&lt;wsp:rsid wsp:val=&quot;00ED48C9&quot;/&gt;&lt;wsp:rsid wsp:val=&quot;00ED4BFC&quot;/&gt;&lt;wsp:rsid wsp:val=&quot;00ED4DA9&quot;/&gt;&lt;wsp:rsid wsp:val=&quot;00ED62C7&quot;/&gt;&lt;wsp:rsid wsp:val=&quot;00ED67A2&quot;/&gt;&lt;wsp:rsid wsp:val=&quot;00ED6D95&quot;/&gt;&lt;wsp:rsid wsp:val=&quot;00EE017C&quot;/&gt;&lt;wsp:rsid wsp:val=&quot;00EE042D&quot;/&gt;&lt;wsp:rsid wsp:val=&quot;00EE0EF5&quot;/&gt;&lt;wsp:rsid wsp:val=&quot;00EE1EAB&quot;/&gt;&lt;wsp:rsid wsp:val=&quot;00EE2D7F&quot;/&gt;&lt;wsp:rsid wsp:val=&quot;00EE2F17&quot;/&gt;&lt;wsp:rsid wsp:val=&quot;00EE32EC&quot;/&gt;&lt;wsp:rsid wsp:val=&quot;00EE3573&quot;/&gt;&lt;wsp:rsid wsp:val=&quot;00EE3622&quot;/&gt;&lt;wsp:rsid wsp:val=&quot;00EE3CB2&quot;/&gt;&lt;wsp:rsid wsp:val=&quot;00EE4342&quot;/&gt;&lt;wsp:rsid wsp:val=&quot;00EE4F6A&quot;/&gt;&lt;wsp:rsid wsp:val=&quot;00EE527D&quot;/&gt;&lt;wsp:rsid wsp:val=&quot;00EE5972&quot;/&gt;&lt;wsp:rsid wsp:val=&quot;00EE5D30&quot;/&gt;&lt;wsp:rsid wsp:val=&quot;00EE5F68&quot;/&gt;&lt;wsp:rsid wsp:val=&quot;00EE6723&quot;/&gt;&lt;wsp:rsid wsp:val=&quot;00EE6FC7&quot;/&gt;&lt;wsp:rsid wsp:val=&quot;00EE7011&quot;/&gt;&lt;wsp:rsid wsp:val=&quot;00EE7ED3&quot;/&gt;&lt;wsp:rsid wsp:val=&quot;00EF0DF0&quot;/&gt;&lt;wsp:rsid wsp:val=&quot;00EF1956&quot;/&gt;&lt;wsp:rsid wsp:val=&quot;00EF20EB&quot;/&gt;&lt;wsp:rsid wsp:val=&quot;00EF318F&quot;/&gt;&lt;wsp:rsid wsp:val=&quot;00EF328D&quot;/&gt;&lt;wsp:rsid wsp:val=&quot;00EF4FF1&quot;/&gt;&lt;wsp:rsid wsp:val=&quot;00EF6208&quot;/&gt;&lt;wsp:rsid wsp:val=&quot;00EF78DC&quot;/&gt;&lt;wsp:rsid wsp:val=&quot;00F01CE9&quot;/&gt;&lt;wsp:rsid wsp:val=&quot;00F01D6F&quot;/&gt;&lt;wsp:rsid wsp:val=&quot;00F02144&quot;/&gt;&lt;wsp:rsid wsp:val=&quot;00F02902&quot;/&gt;&lt;wsp:rsid wsp:val=&quot;00F048E4&quot;/&gt;&lt;wsp:rsid wsp:val=&quot;00F04F80&quot;/&gt;&lt;wsp:rsid wsp:val=&quot;00F066F0&quot;/&gt;&lt;wsp:rsid wsp:val=&quot;00F06743&quot;/&gt;&lt;wsp:rsid wsp:val=&quot;00F06849&quot;/&gt;&lt;wsp:rsid wsp:val=&quot;00F06C8E&quot;/&gt;&lt;wsp:rsid wsp:val=&quot;00F07632&quot;/&gt;&lt;wsp:rsid wsp:val=&quot;00F0790A&quot;/&gt;&lt;wsp:rsid wsp:val=&quot;00F1080C&quot;/&gt;&lt;wsp:rsid wsp:val=&quot;00F10F5F&quot;/&gt;&lt;wsp:rsid wsp:val=&quot;00F1170A&quot;/&gt;&lt;wsp:rsid wsp:val=&quot;00F12735&quot;/&gt;&lt;wsp:rsid wsp:val=&quot;00F12D5A&quot;/&gt;&lt;wsp:rsid wsp:val=&quot;00F14A0B&quot;/&gt;&lt;wsp:rsid wsp:val=&quot;00F15269&quot;/&gt;&lt;wsp:rsid wsp:val=&quot;00F16340&quot;/&gt;&lt;wsp:rsid wsp:val=&quot;00F1748A&quot;/&gt;&lt;wsp:rsid wsp:val=&quot;00F177F0&quot;/&gt;&lt;wsp:rsid wsp:val=&quot;00F1785D&quot;/&gt;&lt;wsp:rsid wsp:val=&quot;00F20BC8&quot;/&gt;&lt;wsp:rsid wsp:val=&quot;00F21729&quot;/&gt;&lt;wsp:rsid wsp:val=&quot;00F2174F&quot;/&gt;&lt;wsp:rsid wsp:val=&quot;00F21ADD&quot;/&gt;&lt;wsp:rsid wsp:val=&quot;00F22018&quot;/&gt;&lt;wsp:rsid wsp:val=&quot;00F22035&quot;/&gt;&lt;wsp:rsid wsp:val=&quot;00F240E0&quot;/&gt;&lt;wsp:rsid wsp:val=&quot;00F244A8&quot;/&gt;&lt;wsp:rsid wsp:val=&quot;00F24B17&quot;/&gt;&lt;wsp:rsid wsp:val=&quot;00F252B8&quot;/&gt;&lt;wsp:rsid wsp:val=&quot;00F25509&quot;/&gt;&lt;wsp:rsid wsp:val=&quot;00F26EE5&quot;/&gt;&lt;wsp:rsid wsp:val=&quot;00F27EBE&quot;/&gt;&lt;wsp:rsid wsp:val=&quot;00F303E0&quot;/&gt;&lt;wsp:rsid wsp:val=&quot;00F30439&quot;/&gt;&lt;wsp:rsid wsp:val=&quot;00F30F9A&quot;/&gt;&lt;wsp:rsid wsp:val=&quot;00F327DB&quot;/&gt;&lt;wsp:rsid wsp:val=&quot;00F327DC&quot;/&gt;&lt;wsp:rsid wsp:val=&quot;00F32E2E&quot;/&gt;&lt;wsp:rsid wsp:val=&quot;00F34C4A&quot;/&gt;&lt;wsp:rsid wsp:val=&quot;00F35383&quot;/&gt;&lt;wsp:rsid wsp:val=&quot;00F369D5&quot;/&gt;&lt;wsp:rsid wsp:val=&quot;00F377D7&quot;/&gt;&lt;wsp:rsid wsp:val=&quot;00F37A36&quot;/&gt;&lt;wsp:rsid wsp:val=&quot;00F404DF&quot;/&gt;&lt;wsp:rsid wsp:val=&quot;00F40FCF&quot;/&gt;&lt;wsp:rsid wsp:val=&quot;00F4118F&quot;/&gt;&lt;wsp:rsid wsp:val=&quot;00F4133C&quot;/&gt;&lt;wsp:rsid wsp:val=&quot;00F41B8B&quot;/&gt;&lt;wsp:rsid wsp:val=&quot;00F42225&quot;/&gt;&lt;wsp:rsid wsp:val=&quot;00F423F8&quot;/&gt;&lt;wsp:rsid wsp:val=&quot;00F434E4&quot;/&gt;&lt;wsp:rsid wsp:val=&quot;00F4367D&quot;/&gt;&lt;wsp:rsid wsp:val=&quot;00F4394A&quot;/&gt;&lt;wsp:rsid wsp:val=&quot;00F43A44&quot;/&gt;&lt;wsp:rsid wsp:val=&quot;00F45FDD&quot;/&gt;&lt;wsp:rsid wsp:val=&quot;00F4666A&quot;/&gt;&lt;wsp:rsid wsp:val=&quot;00F472B3&quot;/&gt;&lt;wsp:rsid wsp:val=&quot;00F4799D&quot;/&gt;&lt;wsp:rsid wsp:val=&quot;00F50504&quot;/&gt;&lt;wsp:rsid wsp:val=&quot;00F50E69&quot;/&gt;&lt;wsp:rsid wsp:val=&quot;00F51039&quot;/&gt;&lt;wsp:rsid wsp:val=&quot;00F514A2&quot;/&gt;&lt;wsp:rsid wsp:val=&quot;00F52458&quot;/&gt;&lt;wsp:rsid wsp:val=&quot;00F52903&quot;/&gt;&lt;wsp:rsid wsp:val=&quot;00F53E40&quot;/&gt;&lt;wsp:rsid wsp:val=&quot;00F54655&quot;/&gt;&lt;wsp:rsid wsp:val=&quot;00F54AA3&quot;/&gt;&lt;wsp:rsid wsp:val=&quot;00F551A4&quot;/&gt;&lt;wsp:rsid wsp:val=&quot;00F554A0&quot;/&gt;&lt;wsp:rsid wsp:val=&quot;00F56AFB&quot;/&gt;&lt;wsp:rsid wsp:val=&quot;00F56EC2&quot;/&gt;&lt;wsp:rsid wsp:val=&quot;00F57495&quot;/&gt;&lt;wsp:rsid wsp:val=&quot;00F6041A&quot;/&gt;&lt;wsp:rsid wsp:val=&quot;00F605E8&quot;/&gt;&lt;wsp:rsid wsp:val=&quot;00F60840&quot;/&gt;&lt;wsp:rsid wsp:val=&quot;00F60B50&quot;/&gt;&lt;wsp:rsid wsp:val=&quot;00F60FD5&quot;/&gt;&lt;wsp:rsid wsp:val=&quot;00F618B7&quot;/&gt;&lt;wsp:rsid wsp:val=&quot;00F61952&quot;/&gt;&lt;wsp:rsid wsp:val=&quot;00F63485&quot;/&gt;&lt;wsp:rsid wsp:val=&quot;00F63B08&quot;/&gt;&lt;wsp:rsid wsp:val=&quot;00F643FC&quot;/&gt;&lt;wsp:rsid wsp:val=&quot;00F646BB&quot;/&gt;&lt;wsp:rsid wsp:val=&quot;00F655A9&quot;/&gt;&lt;wsp:rsid wsp:val=&quot;00F65A02&quot;/&gt;&lt;wsp:rsid wsp:val=&quot;00F66028&quot;/&gt;&lt;wsp:rsid wsp:val=&quot;00F662C3&quot;/&gt;&lt;wsp:rsid wsp:val=&quot;00F67051&quot;/&gt;&lt;wsp:rsid wsp:val=&quot;00F6741E&quot;/&gt;&lt;wsp:rsid wsp:val=&quot;00F67749&quot;/&gt;&lt;wsp:rsid wsp:val=&quot;00F67E3E&quot;/&gt;&lt;wsp:rsid wsp:val=&quot;00F71FBB&quot;/&gt;&lt;wsp:rsid wsp:val=&quot;00F72CA6&quot;/&gt;&lt;wsp:rsid wsp:val=&quot;00F738F7&quot;/&gt;&lt;wsp:rsid wsp:val=&quot;00F73C09&quot;/&gt;&lt;wsp:rsid wsp:val=&quot;00F73E31&quot;/&gt;&lt;wsp:rsid wsp:val=&quot;00F74C85&quot;/&gt;&lt;wsp:rsid wsp:val=&quot;00F75095&quot;/&gt;&lt;wsp:rsid wsp:val=&quot;00F7526A&quot;/&gt;&lt;wsp:rsid wsp:val=&quot;00F75D2E&quot;/&gt;&lt;wsp:rsid wsp:val=&quot;00F764C0&quot;/&gt;&lt;wsp:rsid wsp:val=&quot;00F76B03&quot;/&gt;&lt;wsp:rsid wsp:val=&quot;00F77A16&quot;/&gt;&lt;wsp:rsid wsp:val=&quot;00F77A4C&quot;/&gt;&lt;wsp:rsid wsp:val=&quot;00F77B3C&quot;/&gt;&lt;wsp:rsid wsp:val=&quot;00F80A94&quot;/&gt;&lt;wsp:rsid wsp:val=&quot;00F81EA8&quot;/&gt;&lt;wsp:rsid wsp:val=&quot;00F82740&quot;/&gt;&lt;wsp:rsid wsp:val=&quot;00F83C80&quot;/&gt;&lt;wsp:rsid wsp:val=&quot;00F83D4E&quot;/&gt;&lt;wsp:rsid wsp:val=&quot;00F84BAF&quot;/&gt;&lt;wsp:rsid wsp:val=&quot;00F85830&quot;/&gt;&lt;wsp:rsid wsp:val=&quot;00F861AF&quot;/&gt;&lt;wsp:rsid wsp:val=&quot;00F86702&quot;/&gt;&lt;wsp:rsid wsp:val=&quot;00F870CC&quot;/&gt;&lt;wsp:rsid wsp:val=&quot;00F872BC&quot;/&gt;&lt;wsp:rsid wsp:val=&quot;00F873B8&quot;/&gt;&lt;wsp:rsid wsp:val=&quot;00F879F1&quot;/&gt;&lt;wsp:rsid wsp:val=&quot;00F87E17&quot;/&gt;&lt;wsp:rsid wsp:val=&quot;00F9035C&quot;/&gt;&lt;wsp:rsid wsp:val=&quot;00F90E63&quot;/&gt;&lt;wsp:rsid wsp:val=&quot;00F91B44&quot;/&gt;&lt;wsp:rsid wsp:val=&quot;00F925AB&quot;/&gt;&lt;wsp:rsid wsp:val=&quot;00F92B36&quot;/&gt;&lt;wsp:rsid wsp:val=&quot;00F93B62&quot;/&gt;&lt;wsp:rsid wsp:val=&quot;00F949C0&quot;/&gt;&lt;wsp:rsid wsp:val=&quot;00F95093&quot;/&gt;&lt;wsp:rsid wsp:val=&quot;00F962CC&quot;/&gt;&lt;wsp:rsid wsp:val=&quot;00F96D6B&quot;/&gt;&lt;wsp:rsid wsp:val=&quot;00F96FFE&quot;/&gt;&lt;wsp:rsid wsp:val=&quot;00FA0697&quot;/&gt;&lt;wsp:rsid wsp:val=&quot;00FA0C6D&quot;/&gt;&lt;wsp:rsid wsp:val=&quot;00FA10FD&quot;/&gt;&lt;wsp:rsid wsp:val=&quot;00FA1829&quot;/&gt;&lt;wsp:rsid wsp:val=&quot;00FA312B&quot;/&gt;&lt;wsp:rsid wsp:val=&quot;00FA3F11&quot;/&gt;&lt;wsp:rsid wsp:val=&quot;00FA3F83&quot;/&gt;&lt;wsp:rsid wsp:val=&quot;00FA5DC4&quot;/&gt;&lt;wsp:rsid wsp:val=&quot;00FA6003&quot;/&gt;&lt;wsp:rsid wsp:val=&quot;00FA6A0C&quot;/&gt;&lt;wsp:rsid wsp:val=&quot;00FA6B11&quot;/&gt;&lt;wsp:rsid wsp:val=&quot;00FA7526&quot;/&gt;&lt;wsp:rsid wsp:val=&quot;00FA75FB&quot;/&gt;&lt;wsp:rsid wsp:val=&quot;00FB086B&quot;/&gt;&lt;wsp:rsid wsp:val=&quot;00FB0F82&quot;/&gt;&lt;wsp:rsid wsp:val=&quot;00FB19A1&quot;/&gt;&lt;wsp:rsid wsp:val=&quot;00FB344E&quot;/&gt;&lt;wsp:rsid wsp:val=&quot;00FB3F32&quot;/&gt;&lt;wsp:rsid wsp:val=&quot;00FB496B&quot;/&gt;&lt;wsp:rsid wsp:val=&quot;00FB5624&quot;/&gt;&lt;wsp:rsid wsp:val=&quot;00FB5A87&quot;/&gt;&lt;wsp:rsid wsp:val=&quot;00FB6000&quot;/&gt;&lt;wsp:rsid wsp:val=&quot;00FB6684&quot;/&gt;&lt;wsp:rsid wsp:val=&quot;00FB6C3B&quot;/&gt;&lt;wsp:rsid wsp:val=&quot;00FB776B&quot;/&gt;&lt;wsp:rsid wsp:val=&quot;00FC1109&quot;/&gt;&lt;wsp:rsid wsp:val=&quot;00FC1AEE&quot;/&gt;&lt;wsp:rsid wsp:val=&quot;00FC23A5&quot;/&gt;&lt;wsp:rsid wsp:val=&quot;00FC3066&quot;/&gt;&lt;wsp:rsid wsp:val=&quot;00FC3293&quot;/&gt;&lt;wsp:rsid wsp:val=&quot;00FC3916&quot;/&gt;&lt;wsp:rsid wsp:val=&quot;00FC3BE3&quot;/&gt;&lt;wsp:rsid wsp:val=&quot;00FC3E32&quot;/&gt;&lt;wsp:rsid wsp:val=&quot;00FC59E9&quot;/&gt;&lt;wsp:rsid wsp:val=&quot;00FC6766&quot;/&gt;&lt;wsp:rsid wsp:val=&quot;00FC7AB9&quot;/&gt;&lt;wsp:rsid wsp:val=&quot;00FC7D48&quot;/&gt;&lt;wsp:rsid wsp:val=&quot;00FD0DD6&quot;/&gt;&lt;wsp:rsid wsp:val=&quot;00FD19AD&quot;/&gt;&lt;wsp:rsid wsp:val=&quot;00FD3494&quot;/&gt;&lt;wsp:rsid wsp:val=&quot;00FD3E24&quot;/&gt;&lt;wsp:rsid wsp:val=&quot;00FD4856&quot;/&gt;&lt;wsp:rsid wsp:val=&quot;00FD5050&quot;/&gt;&lt;wsp:rsid wsp:val=&quot;00FD5068&quot;/&gt;&lt;wsp:rsid wsp:val=&quot;00FD5A19&quot;/&gt;&lt;wsp:rsid wsp:val=&quot;00FD5CD9&quot;/&gt;&lt;wsp:rsid wsp:val=&quot;00FD6004&quot;/&gt;&lt;wsp:rsid wsp:val=&quot;00FD62BC&quot;/&gt;&lt;wsp:rsid wsp:val=&quot;00FD6B4A&quot;/&gt;&lt;wsp:rsid wsp:val=&quot;00FD7141&quot;/&gt;&lt;wsp:rsid wsp:val=&quot;00FD7936&quot;/&gt;&lt;wsp:rsid wsp:val=&quot;00FD7E88&quot;/&gt;&lt;wsp:rsid wsp:val=&quot;00FE0261&quot;/&gt;&lt;wsp:rsid wsp:val=&quot;00FE107E&quot;/&gt;&lt;wsp:rsid wsp:val=&quot;00FE1EA7&quot;/&gt;&lt;wsp:rsid wsp:val=&quot;00FE231E&quot;/&gt;&lt;wsp:rsid wsp:val=&quot;00FE2697&quot;/&gt;&lt;wsp:rsid wsp:val=&quot;00FE2B98&quot;/&gt;&lt;wsp:rsid wsp:val=&quot;00FE2DF7&quot;/&gt;&lt;wsp:rsid wsp:val=&quot;00FE3A9B&quot;/&gt;&lt;wsp:rsid wsp:val=&quot;00FE3F46&quot;/&gt;&lt;wsp:rsid wsp:val=&quot;00FE4727&quot;/&gt;&lt;wsp:rsid wsp:val=&quot;00FE4779&quot;/&gt;&lt;wsp:rsid wsp:val=&quot;00FE4817&quot;/&gt;&lt;wsp:rsid wsp:val=&quot;00FE4CCE&quot;/&gt;&lt;wsp:rsid wsp:val=&quot;00FE5400&quot;/&gt;&lt;wsp:rsid wsp:val=&quot;00FE6FBF&quot;/&gt;&lt;wsp:rsid wsp:val=&quot;00FE7297&quot;/&gt;&lt;wsp:rsid wsp:val=&quot;00FE7520&quot;/&gt;&lt;wsp:rsid wsp:val=&quot;00FE756A&quot;/&gt;&lt;wsp:rsid wsp:val=&quot;00FF00DB&quot;/&gt;&lt;wsp:rsid wsp:val=&quot;00FF0BE9&quot;/&gt;&lt;wsp:rsid wsp:val=&quot;00FF1DB0&quot;/&gt;&lt;wsp:rsid wsp:val=&quot;00FF2506&quot;/&gt;&lt;wsp:rsid wsp:val=&quot;00FF2A05&quot;/&gt;&lt;wsp:rsid wsp:val=&quot;00FF3340&quot;/&gt;&lt;wsp:rsid wsp:val=&quot;00FF380D&quot;/&gt;&lt;wsp:rsid wsp:val=&quot;00FF4405&quot;/&gt;&lt;wsp:rsid wsp:val=&quot;00FF462E&quot;/&gt;&lt;wsp:rsid wsp:val=&quot;00FF4922&quot;/&gt;&lt;wsp:rsid wsp:val=&quot;00FF4976&quot;/&gt;&lt;wsp:rsid wsp:val=&quot;00FF70E4&quot;/&gt;&lt;wsp:rsid wsp:val=&quot;00FF7279&quot;/&gt;&lt;wsp:rsid wsp:val=&quot;00FF73C4&quot;/&gt;&lt;wsp:rsid wsp:val=&quot;00FF7468&quot;/&gt;&lt;wsp:rsid wsp:val=&quot;00FF7A38&quot;/&gt;&lt;/wsp:rsids&gt;&lt;/w:docPr&gt;&lt;w:body&gt;&lt;wx:sect&gt;&lt;w:p wsp:rsidR=&quot;0020460C&quot; wsp:rsidRDefault=&quot;0020460C&quot; wsp:rsidP=&quot;0020460C&quot;&gt;&lt;m:oMathPara&gt;&lt;m:oMath&gt;&lt;m:r&gt;&lt;aml:annotation aml:id=&quot;0&quot; w:type=&quot;Word.Insertion&quot; aml:author=&quot;jq ??&quot; aml:createdate=&quot;2024-12-04T09:02:00Z&quot;&gt;&lt;aml:content&gt;&lt;w:rP&gt;&gt;&gt;&gt;r&gt;/&lt;w:rFonts w:ascii=&quot;Cambria Math&quot; w:h-ansi=&quot;????&quot;/&gt;&lt;wx:font wx:val=&quot;Cambria Math&quot;/&gt;&lt;w:b w:val=&quot;off&quot;/&gt;&lt;w:i/&gt;&lt;w:sz w:val=&quot;21&quot;/&gt;&lt;w:sz-cs w:val=&quot;21&quot;/&gt;&lt;/w:rPr&gt;&lt;m:t&gt;??=&lt;/m:t&gt;&lt;/aml:content&gt;&lt;/aml:annotation&gt;&lt;/m:r&gt;&lt;m:f&gt;&lt;m:fPr&gt;&lt;m:ctrlPr&gt;&lt;aml:annotation aml:id=rP&gt;&quot;rP&gt;1rP&gt;&quot;rP&gt; w:r&gt;/type=&quot;Word.Insertion&quot; aml:author=&quot;jq ??&quot; aml:createdate=&quot;2024-12-04T09:02:00Z&quot;&gt;&lt;aml:content&gt;&lt;w:rPr&gt;&lt;w:rFonts w:ascii=&quot;Cambria Math&quot; w:h-ansi=&quot;????&quot;/&gt;&lt;wx:font wx:val=&quot;Cambria Math&quot;/&gt;&lt;w:b w:val=&quot;off&quot;/&gt;&lt;w:i/&gt;&lt;w:sz w:val=&quot;21&quot;/&gt;&lt;w:sz-cs w:valrP&gt;=&quot;21rP&gt;&quot;/&gt;&lt;rP&gt;/w:rrP&gt;Pr&gt;&lt;/ar&gt;/ml:content&gt;&lt;/aml:annotation&gt;&lt;/m:ctrlPr&gt;&lt;/m:fPr&gt;&lt;m:num&gt;&lt;m:r&gt;&lt;aml:annotation aml:id=&quot;2&quot; w:type=&quot;Word.Insertion&quot; aml:author=&quot;jq ??&quot; aml:createdate=&quot;2024-12-04T09:02:00Z&quot;&gt;&lt;aml:content&gt;&lt;w:rPr&gt;&lt;w:rFonts w:ascii=&quot;Cambria Math&quot; w:h-a&gt;nsi=&quot;??P&gt;??&quot;/&gt;&lt;wrP&gt;x:font rP&gt;wx:val=&quot;Cr&gt;/ambria Math&quot;/&gt;&lt;w:b w:val=&quot;off&quot;/&gt;&lt;w:i/&gt;&lt;w:sz w:val=&quot;21&quot;/&gt;&lt;w:sz-cs w:val=&quot;21&quot;/&gt;&lt;/w:rPr&gt;&lt;m:t&gt;Q&lt;/m:t&gt;&lt;/aml:content&gt;&lt;/aml:annotation&gt;&lt;/m:r&gt;&lt;/m:num&gt;&lt;m:den&gt;&lt;m:r&gt;&lt;aml:annotation aml:id=&quot;3&quot; w:type=&quot;Word.Insertion&quot; aml:authoa&gt;r=&quot;jq ??&quot;P&gt; aml:creat&gt;edate=&quot;202&gt;4-12-04T09:0/2:00Z&quot;&gt;&lt;aml:content&gt;&lt;w:rPr&gt;&lt;w:rFonts w:ascii=&quot;Cambria Math&quot; w:h-ansi=&quot;????&quot;/&gt;&lt;wx:font wx:val=&quot;Cambria Math&quot;/&gt;&lt;w:b w:val=&quot;off&quot;/&gt;&lt;w:i/&gt;&lt;w:sz w:val=&quot;21&quot;/&gt;&lt;w:sz-cs w:val=&quot;21&quot;/&gt;&lt;/w:rPr&gt;&lt;m:t&gt;n??&lt;/m:t&gt;&lt;/aml:content&gt;&lt;hoa&gt;/aml:annota&quot;P&gt;tion&gt;&lt;/m:r&gt;at&gt;&lt;m:r&gt;&lt;aml:a02&gt;nnotation aml:0/:id=&quot;4&quot; w:type=&quot;Word.Insertion&quot; aml:author=&quot;jq ??&quot; aml:createdate=&quot;2024-12-04T09:02:00Z&quot;&gt;&lt;aml:content&gt;&lt;w:rPr&gt;&lt;w:rFonts w:ascii=&quot;Cambria Math&quot; w:h-ansi=&quot;????&quot; w:hint=&quot;fareast&quot;/&gt;&lt;wx:font wx:val=&quot;????&lt;hoa&gt;&quot;/&gt;&lt;w:b w:val=ta&quot;P&gt;&quot;off&quot;/&gt;&lt;w:i/&gt;&lt;r&gt;at&gt;w:sz w:val=&quot;21:a02&gt;&quot;/&gt;&lt;w:sz-cs w:vaml:0/l=&quot;21&quot;/&gt;&lt;/w:rPr&gt;&lt;m:t&gt;??&lt;/m:t&gt;&lt;/aml:content&gt;&lt;/aml:annotation&gt;&lt;/m:r&gt;&lt;m:rad&gt;&lt;m:radPr&gt;&lt;m:degHide m:val=&quot;1&quot;/&gt;&lt;m:ctrlPr&gt;&lt;aml:annotation aml:id=&quot;5&quot; w:type=&quot;Word.Insertion&quot; aml:author=&quot;&gt;jq ??&quot; aml:createdaP&gt;te=&quot;2024-12-04T09:0t&gt;2:00Z&quot;&gt;&lt;aml:content2&gt;&gt;&lt;w:rPr&gt;&lt;w:rFonts w:a0/scii=&quot;Cambria Math&quot; w:h-ansi=&quot;????&quot;/&gt;&lt;wx:font wx:val=&quot;Cambria Math&quot;/&gt;&lt;w:b w:val=&quot;off&quot;/&gt;&lt;w:i/&gt;&lt;w:sz w:val=&quot;21&quot;/&gt;&lt;w:sz-cs w:val=&quot;21&quot;/&gt;&lt;/w:rPr&gt;&lt;/aml:content&gt;&lt;/aml:annotatio=&quot;&gt;n&gt;&lt;/m:ctrlPr&gt;&lt;/m:radPP&gt;r&gt;&lt;m:deg/&gt;&lt;m:e&gt;&lt;m:r&gt;&lt;t&gt;aml:annotation aml:id2&gt;=&quot;6&quot; w:type=&quot;Word.Inser0/tion&quot; aml:author=&quot;jq ??&quot; aml:createdate=&quot;2024-12-04T09:02:00Z&quot;&gt;&lt;aml:content&gt;&lt;w:rPr&gt;&lt;w:rFonts w:ascii=&quot;Cambria Math&quot; w:h-ansi=&quot;????&quot;/&gt;&lt;wx:font wx:val=&quot;Cambria Mat=&quot;&gt;h&quot;/&gt;&lt;w:b w:val=&quot;off&quot;/&gt;&lt;PP&gt;w:i/&gt;&lt;w:sz w:val=&quot;21&quot;/&gt;&lt;t&gt;&lt;w:sz-cs w:val=&quot;21&quot;/&gt;&lt;/d2&gt;w:rPr&gt;&lt;m:t&gt;2g&lt;/m:t&gt;&lt;/aml:r0/content&gt;&lt;/aml:annotation&gt;&lt;/m:r&gt;&lt;m:sSub&gt;&lt;m:sSubPr&gt;&lt;m:ctrlPr&gt;&lt;aml:annotation aml:id=&quot;7&quot; w:type=&quot;Word.Insertion&quot; aml:author=&quot;jq ??&quot; aml:createdate=&quot;2024&gt;-12-04T09:02:00Z&quot;&gt;&lt;aml:con&gt;tent&gt;&lt;w:rPr&gt;&lt;w:rFonts w:as&gt;cii=&quot;Cambria Math&quot; w:h-ans&gt;i=&quot;????&quot;/&gt;&lt;wx:font wx:val=&quot;Cr0/ambria Math&quot;/&gt;&lt;w:b w:val=&quot;off&quot;/&gt;&lt;w:i/&gt;&lt;w:sz w:val=&quot;21&quot;/&gt;&lt;w:sz-cs w:val=&quot;21&quot;/&gt;&lt;/w:rPr&gt;&lt;/aml:content&gt;&lt;/aml:annotation&gt;&lt;/m:ctrlPr&gt;&lt;/m:sSubPr&gt;&lt;m:e&gt;4&gt;&lt;m:r&gt;&lt;aml:annotation aml:idn&gt;=&quot;8&quot; w:type=&quot;Word.Insertions&gt;&quot; aml:author=&quot;jq ??&quot; aml:crns&gt;eatedate=&quot;2024-12-04T09:02:00Z&quot;/&gt;&lt;aml:content&gt;&lt;w:rPr&gt;&lt;w:rFonts w:ascii=&quot;Cambria Math&quot; w:h-ansi=&quot;????&quot;/&gt;&lt;wx:font wx:val=&quot;Cambria Math&quot;/&gt;&lt;w:b w:val=&quot;off&quot;/&gt;&lt;w:i/&gt;&lt;w:sz w:&gt;4&gt;val=&quot;21&quot;/&gt;&lt;w:sz-cs w:val=&quot;21&quot;dn&gt;/&gt;&lt;/w:rPr&gt;&lt;m:t&gt;H&lt;/m:t&gt;&lt;/aml:cns&gt;ontent&gt;&lt;/aml:annotation&gt;&lt;/m:r&gt;s&gt;&lt;/m:e&gt;&lt;m:sub&gt;&lt;m:r&gt;&lt;aml:annotatio&quot;/n aml:id=&quot;9&quot; w:type=&quot;Word.Insertion&quot; aml:author=&quot;jq ??&quot; aml:createdate=&quot;2024-12-04T09:02:00Z&quot;&gt;&lt;aml:content&gt;&lt;w:rPr&gt;&lt;w:rFonts w&gt;:ascii=&quot;Cambria Math&quot; w:h-ansi=&quot;&gt;????&quot;/&gt;&lt;wx:font wx:val=&quot;Cambria ns&gt;Math&quot;/&gt;&lt;w:b w:val=&quot;off&quot;/&gt;&lt;w:i/&gt;&lt;&gt;s&gt;w:sz w:val=&quot;21&quot;/&gt;&lt;w:sz-cs w:val=&quot;2o&quot;/1&quot;/&gt;&lt;/w:rPr&gt;&lt;m:t&gt;1&lt;/m:t&gt;&lt;/aml:content&gt;&lt;/aml:annotation&gt;&lt;/m:r&gt;&lt;/m:sub&gt;&lt;/m:sSub&gt;&lt;m:ctrlPr&gt;&lt;aml:annotation aml:id=&quot;10&quot;w&gt; w:type=&quot;Word.Insertion&quot; aml:auth&quot;&gt;or=&quot;jq ??&quot; aml:createdate=&quot;2024-12-&gt;04T09:02:00Z&quot;&gt;&lt;aml:content&gt;&lt;w:rPr&gt;&lt;&gt;w:rFonts w:ascii=&quot;Cambria Math&quot; w:h-a/nsi=&quot;Cambria Math&quot; w:hint=&quot;fareast&quot;/&gt;&lt;wx:font wx:val=&quot;Cambria Math&quot;/&gt;&lt;w:b w:val=&quot;off&quot;/&gt;&lt;w:i/&gt;&lt;w:sz w:val=&quot;21&quot;/&gt;&gt;&lt;w:sz-cs w:val=&quot;21&quot;/&gt;&lt;/w:rPr&gt;&lt;/aml&gt;:content&gt;&lt;/aml:annotation&gt;&lt;/m:ctrlPr&gt;&lt;/m:e&gt;&lt;/m:rad&gt;&lt;m:r&gt;&lt;aml:annotation aml:id=&quot;11&quot; w:type=&quot;Word.Insertion&quot; aml:author=&quot;jq ??&quot; aml:createdate=&quot;2024-12-04T09:02:00Z&quot;&gt;&lt;aml:content&gt;&lt;w:rPr&gt;&lt;w:rFonts w:ascii=&quot;Cambria Math&quot; w&gt;:h-ansi=&quot;????&quot;/&gt;&lt;wx:font wx:val=&quot;Camml&gt;bria Math&quot;/&gt;&lt;w:b w:val=&quot;off&quot;/&gt;&lt;w:i/&gt;lPr&lt;w:sz w:val=&quot;21&quot;/&gt;&lt;w:sz-cs w:val=&quot;21on &quot;/&gt;&lt;/w:rPr&gt;&lt;m:t&gt;+&lt;/m:t&gt;&lt;/aml:content&gt;&lt; am/aml:annotation&gt;&lt;/m:r&gt;&lt;m:rad&gt;&lt;m:radPr&gt;&lt;m:degHide m:val=&quot;1&quot;/&gt;&lt;m:ctrlPr&gt;&lt;aml:annotation aml:id=&quot;12&quot;w&gt; w:type=&quot;Word.Insertion&quot; aml:author=&quot;jq ??&quot; aml:createdate=&quot;2024-12-04T09:02:0r0Z&quot;&gt;&lt;aml:content&gt;&lt;w:rPr&gt;&lt;w:rFonts w:asc ii=&quot;Cambria Math&quot; w:h-ansi=&quot;????&quot;/&gt;&lt;wx:fo amnt wx:val=&quot;Cambria Math&quot;/&gt;&lt;w:b w:val=&quot;off&quot;/&gt;&lt;w:i/&gt;&lt;w:sz w:val=&quot;21&quot;/&gt;&lt;w:sz-cs w:val=&quot;21&quot;/&gt;&lt;/w&quot;w&gt;:rPr&gt;&lt;/aml:content&gt;&lt;/aml:annotation&gt;&lt;/m&quot;jq:ctrlPr&gt;&lt;/m:radPr&gt;&lt;m:deg/&gt;&lt;m:e&gt;&lt;m:r&gt;&lt;aml0r:annotation aml:id=&quot;13&quot; w:type=&quot;Word.Insc ertion&quot; aml:author=&quot;jq ??&quot; aml:createdate=&quot;2m024-12-04T09:02:00Z&quot;&gt;&lt;aml:content&gt;&lt;w:rPr&gt;&lt;w:rFonts w:ascii=&quot;Cambria Math&quot; w:h-ansi=&quot;&gt;????&quot;/&gt;&lt;wx:font wx:val=&quot;Cambria Math&quot;/&gt;&lt;w:&quot;jqb w:val=&quot;off&quot;/&gt;&lt;w:i/&gt;&lt;w:sz w:val=&quot;21&quot;/&gt;&lt;w:l0rsz-cs w:val=&quot;21&quot;/&gt;&lt;/w:rPr&gt;&lt;m:t&gt;2g&lt;/m:t&gt;&lt;/asc ml:content&gt;&lt;/aml:annotation&gt;&lt;/m:r&gt;&lt;m:sSub&gt;&lt;m:2msSubPr&gt;&lt;m:ctrlPr&gt;&lt;aml:annotation aml:id=&quot;14&quot; w:type=&quot;Word.Insertion&quot; aml:&quot;&gt;author=&quot;jq ??&quot; aml:createdate=&quot;2024-12-04T09:q02:00Z&quot;&gt;&lt;aml:content&gt;&lt;w:rPr&gt;&lt;w:rFonts w:asciir=&quot;Cambria Math&quot; w:h-ansi=&quot;????&quot;/&gt;&lt;wx:font wx:sc val=&quot;Cambria Math&quot;/&gt;&lt;w:b w:val=&quot;off&quot;/&gt;&lt;w:i/&gt;&lt;w::2msz w:val=&quot;21&quot;/&gt;&lt;w:sz-cs w:val=&quot;21&quot;/&gt;&lt;/w:rPr&gt;&lt;/aml:content&gt;&lt;/aml:a:&quot;&gt;nnotation&gt;&lt;/m:ctrlPr&gt;&lt;/m:sSubPr&gt;&lt;m:e&gt;&lt;m:r&gt;&lt;aml:q:annotation aml:id=&quot;15&quot; w:type=&quot;Word.Insertionir&quot; aml:author=&quot;jq ??&quot; aml:createdate=&quot;2024-12-04T 09:02:00Z&quot;&gt;&lt;aml:content&gt;&lt;w:rPr&gt;&lt;w:rFonts w:ascii=&quot;mCambria Math&quot; w:h-ansi=&quot;????&quot;/&gt;&lt;wx:font wx:val=&quot;Cambria Mat:&quot;&gt;h&quot;/&gt;&lt;w:b w:val=&quot;off&quot;/&gt;&lt;w:i/&gt;&lt;w:sz w:val=&quot;21&quot;/&gt;&lt;wl:q:sz-cs w:val=&quot;21&quot;/&gt;&lt;/w:rPr&gt;&lt;m:t&gt;H&lt;/m:t&gt;&lt;/aml:connirtent&gt;&lt;/aml:annotation&gt;&lt;/m:r&gt;&lt;/m:e&gt;&lt;m:sub&gt;&lt;m:r&gt;&lt;amT l:annotation aml:id=&quot;16&quot; w:type=&quot;Word.Insertion&quot; am&quot;ml:author=&quot;jq ??&quot; aml:createdate=&quot;2024-12-04T09:02&gt;:00Z&quot;&gt;&lt;aml:content&gt;&lt;w:rPr&gt;&lt;w:rFonts w:ascii=&quot;Cambriqa Math&quot; w:h-ansi=&quot;????&quot;/&gt;&lt;wx:font wx:val=&quot;Cambria Mnirath&quot;/&gt;&lt;w:b w:val=&quot;off&quot;/&gt;&lt;w:i/&gt;&lt;w:sz w:val=&quot;21&quot;/&gt;&lt;w:mT sz-cs w:val=&quot;21&quot;/&gt;&lt;/w:rPr&gt;&lt;m:t&gt;2&lt;/m:t&gt;&lt;/aml:content&gt;&lt;m&quot;m/aml:annotation&gt;&lt;/m:r&gt;&lt;/m:sub&gt;&lt;/m:sSub&gt;2&gt;&lt;m:ctrlPr&gt;&lt;aml:annotation aml:id=&quot;17&quot; w:type=&quot;Word.Iiqnsertion&quot; aml:author=&quot;jq ??&quot; aml:createdate=&quot;2024-12-0r4T09:02:00Z&quot;&gt;&lt;aml:content&gt;&lt;w:rPr&gt;&lt;w:rFonts w:ascii=&quot;Ca mbria Math&quot; w:h-ansi=&quot;Cambria Math&quot; w:hint=&quot;fareast&quot;/&gt;&lt;wmx:font wx:val=&quot;Cambria Math&quot;/&gt;&lt;w:b&gt; w:val=&quot;off&quot;/&gt;&lt;w:i/&gt;&lt;w:sz w:val=&quot;21&quot;/&gt;&lt;w:sz-cs w:val=&quot;q21&quot;/&gt;&lt;/w:rPr&gt;&lt;/aml:content&gt;&lt;/aml:annotation&gt;&lt;/m:ctrlPr&gt;&lt;/m:e&gt;&lt;/m:rad&gt;&lt;m:r&gt;&lt;aml:annotation aml:id=&quot;18&quot; w:type=&quot;Word.Insertion&quot; aml:author=&quot;jq ??&quot; aml:createdate=&quot;2024-1m2-04T09:02:00Z&quot;&gt;&lt;aml:content&gt;&lt;w:&gt;rPr&gt;&lt;w:rFonts w:ascii=&quot;Cambria Math&quot; w:h-ansi=&quot;Cambria qMath&quot; w:hint=&quot;fareast&quot;/&gt;&lt;wx:font wx:val=&quot;????&quot;/&gt;&lt;w:b w:Pr&gt;val=&quot;off&quot;/&gt;&lt;w:i/&gt;&lt;w:sz w:val=&quot;21&quot;/&gt;&lt;w:sz-cs w:val=&quot;21&quot;/e=&quot;&gt;&lt;/w:rPr&gt;&lt;m:t&gt;??&lt;/m:t&gt;&lt;/aml:content&gt;&lt;/aml:annotation&gt;&lt;/m:r-1m&gt;&lt;m:ctrlPr&gt;&lt;aml:annotaw:&gt;tion aml:id=&quot;19&quot; w:type=&quot;Word.Insertion&quot; aml:author=&quot;jq a q??&quot; aml:createdate=&quot;2024-12-04T09:02:00Z&quot;&gt;&lt;aml:content&gt;&lt;w:r&gt;rPr&gt;&lt;w:rFonts w:ascii=&quot;Cambria Math&quot; w:h-ansi=&quot;Cambria Mat=&quot;h&quot; w:hint=&quot;fareast&quot;/&gt;&lt;wx:font wx:val=&quot;Cambria Math&quot;/&gt;&lt;w:b w:vmal=&quot;off&quot;/&gt;&lt;w:i&gt;/&gt;&lt;w:sz w:val=&quot;21&quot;/&gt;&lt;w:sz-cs w:val=&quot;21&quot;/&gt;&lt;/w:rPr&gt;&lt;/aml:contqent&gt;&lt;/aml:annotation&gt;&lt;/m:ctrlP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
            <v:path/>
            <v:fill on="f" focussize="0,0"/>
            <v:stroke on="f" joinstyle="miter"/>
            <v:imagedata r:id="rId73" chromakey="#FFFFFF" o:title=""/>
            <o:lock v:ext="edit" aspectratio="t"/>
            <w10:wrap type="none"/>
            <w10:anchorlock/>
          </v:shape>
        </w:pic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b/>
          <w:position w:val="-27"/>
          <w:sz w:val="24"/>
          <w:szCs w:val="24"/>
        </w:rPr>
        <w:pict>
          <v:shape id="_x0000_i1052" o:spt="75" type="#_x0000_t75" style="height:31.8pt;width:100.2pt;" filled="f" o:preferrelative="t" stroked="f" coordsize="21600,2160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0&quot;/&gt;&lt;w:doNotEmbedSystemFonts/&gt;&lt;w:bordersDontSurroundHeader/&gt;&lt;w:bordersDontSurroundFooter/&gt;&lt;w:hideSpellingErrors/&gt;&lt;w:hideGrammaticalErrors/&gt;&lt;w:stylePaneFormatFilter w:val=&quot;3F01&quot;/&gt;&lt;w:defaultTabStop w:val=&quot;420&quot;/&gt;&lt;w:drawingGridHorizontalSpacing w:val=&quot;241&quot;/&gt;&lt;w:drawingGridVerticalSpacing w:val=&quot;233&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A4E03&quot;/&gt;&lt;wsp:rsid wsp:val=&quot;000005D5&quot;/&gt;&lt;wsp:rsid wsp:val=&quot;000015F7&quot;/&gt;&lt;wsp:rsid wsp:val=&quot;00001DDF&quot;/&gt;&lt;wsp:rsid wsp:val=&quot;00001FA6&quot;/&gt;&lt;wsp:rsid wsp:val=&quot;00002D2F&quot;/&gt;&lt;wsp:rsid wsp:val=&quot;00002E12&quot;/&gt;&lt;wsp:rsid wsp:val=&quot;00003028&quot;/&gt;&lt;wsp:rsid wsp:val=&quot;00004463&quot;/&gt;&lt;wsp:rsid wsp:val=&quot;00005015&quot;/&gt;&lt;wsp:rsid wsp:val=&quot;00005E30&quot;/&gt;&lt;wsp:rsid wsp:val=&quot;00007713&quot;/&gt;&lt;wsp:rsid wsp:val=&quot;0001033B&quot;/&gt;&lt;wsp:rsid wsp:val=&quot;000103F8&quot;/&gt;&lt;wsp:rsid wsp:val=&quot;000108CF&quot;/&gt;&lt;wsp:rsid wsp:val=&quot;000108EE&quot;/&gt;&lt;wsp:rsid wsp:val=&quot;00011130&quot;/&gt;&lt;wsp:rsid wsp:val=&quot;00012F61&quot;/&gt;&lt;wsp:rsid wsp:val=&quot;00013530&quot;/&gt;&lt;wsp:rsid wsp:val=&quot;00015C25&quot;/&gt;&lt;wsp:rsid wsp:val=&quot;0001714F&quot;/&gt;&lt;wsp:rsid wsp:val=&quot;00017590&quot;/&gt;&lt;wsp:rsid wsp:val=&quot;00017C0C&quot;/&gt;&lt;wsp:rsid wsp:val=&quot;00017C23&quot;/&gt;&lt;wsp:rsid wsp:val=&quot;00020187&quot;/&gt;&lt;wsp:rsid wsp:val=&quot;00020469&quot;/&gt;&lt;wsp:rsid wsp:val=&quot;00020576&quot;/&gt;&lt;wsp:rsid wsp:val=&quot;0002076B&quot;/&gt;&lt;wsp:rsid wsp:val=&quot;00020DF2&quot;/&gt;&lt;wsp:rsid wsp:val=&quot;00020E26&quot;/&gt;&lt;wsp:rsid wsp:val=&quot;00020EDB&quot;/&gt;&lt;wsp:rsid wsp:val=&quot;000212EB&quot;/&gt;&lt;wsp:rsid wsp:val=&quot;00021F13&quot;/&gt;&lt;wsp:rsid wsp:val=&quot;0002264D&quot;/&gt;&lt;wsp:rsid wsp:val=&quot;00023258&quot;/&gt;&lt;wsp:rsid wsp:val=&quot;00023372&quot;/&gt;&lt;wsp:rsid wsp:val=&quot;00023C19&quot;/&gt;&lt;wsp:rsid wsp:val=&quot;000241BF&quot;/&gt;&lt;wsp:rsid wsp:val=&quot;0002454F&quot;/&gt;&lt;wsp:rsid wsp:val=&quot;0002512B&quot;/&gt;&lt;wsp:rsid wsp:val=&quot;00025419&quot;/&gt;&lt;wsp:rsid wsp:val=&quot;00025893&quot;/&gt;&lt;wsp:rsid wsp:val=&quot;0002760F&quot;/&gt;&lt;wsp:rsid wsp:val=&quot;00027CF0&quot;/&gt;&lt;wsp:rsid wsp:val=&quot;00030121&quot;/&gt;&lt;wsp:rsid wsp:val=&quot;000303E3&quot;/&gt;&lt;wsp:rsid wsp:val=&quot;000304DA&quot;/&gt;&lt;wsp:rsid wsp:val=&quot;00030A30&quot;/&gt;&lt;wsp:rsid wsp:val=&quot;00030A64&quot;/&gt;&lt;wsp:rsid wsp:val=&quot;00030DA5&quot;/&gt;&lt;wsp:rsid wsp:val=&quot;00030E77&quot;/&gt;&lt;wsp:rsid wsp:val=&quot;000322EA&quot;/&gt;&lt;wsp:rsid wsp:val=&quot;00032604&quot;/&gt;&lt;wsp:rsid wsp:val=&quot;00032C35&quot;/&gt;&lt;wsp:rsid wsp:val=&quot;00033E4E&quot;/&gt;&lt;wsp:rsid wsp:val=&quot;00034678&quot;/&gt;&lt;wsp:rsid wsp:val=&quot;00034954&quot;/&gt;&lt;wsp:rsid wsp:val=&quot;000349C6&quot;/&gt;&lt;wsp:rsid wsp:val=&quot;00035F74&quot;/&gt;&lt;wsp:rsid wsp:val=&quot;00035FC3&quot;/&gt;&lt;wsp:rsid wsp:val=&quot;0003753F&quot;/&gt;&lt;wsp:rsid wsp:val=&quot;000375D9&quot;/&gt;&lt;wsp:rsid wsp:val=&quot;00040E0E&quot;/&gt;&lt;wsp:rsid wsp:val=&quot;0004156C&quot;/&gt;&lt;wsp:rsid wsp:val=&quot;0004186F&quot;/&gt;&lt;wsp:rsid wsp:val=&quot;000419C4&quot;/&gt;&lt;wsp:rsid wsp:val=&quot;00041E59&quot;/&gt;&lt;wsp:rsid wsp:val=&quot;0004233D&quot;/&gt;&lt;wsp:rsid wsp:val=&quot;00042B66&quot;/&gt;&lt;wsp:rsid wsp:val=&quot;00043710&quot;/&gt;&lt;wsp:rsid wsp:val=&quot;0004394B&quot;/&gt;&lt;wsp:rsid wsp:val=&quot;000442BC&quot;/&gt;&lt;wsp:rsid wsp:val=&quot;00044B60&quot;/&gt;&lt;wsp:rsid wsp:val=&quot;000450E2&quot;/&gt;&lt;wsp:rsid wsp:val=&quot;0004645D&quot;/&gt;&lt;wsp:rsid wsp:val=&quot;00046EC6&quot;/&gt;&lt;wsp:rsid wsp:val=&quot;00050176&quot;/&gt;&lt;wsp:rsid wsp:val=&quot;00051E98&quot;/&gt;&lt;wsp:rsid wsp:val=&quot;000524CF&quot;/&gt;&lt;wsp:rsid wsp:val=&quot;000526FE&quot;/&gt;&lt;wsp:rsid wsp:val=&quot;000527B1&quot;/&gt;&lt;wsp:rsid wsp:val=&quot;00052815&quot;/&gt;&lt;wsp:rsid wsp:val=&quot;000542C8&quot;/&gt;&lt;wsp:rsid wsp:val=&quot;000545AF&quot;/&gt;&lt;wsp:rsid wsp:val=&quot;00054824&quot;/&gt;&lt;wsp:rsid wsp:val=&quot;000548D0&quot;/&gt;&lt;wsp:rsid wsp:val=&quot;00054922&quot;/&gt;&lt;wsp:rsid wsp:val=&quot;000559D1&quot;/&gt;&lt;wsp:rsid wsp:val=&quot;00056343&quot;/&gt;&lt;wsp:rsid wsp:val=&quot;000566FA&quot;/&gt;&lt;wsp:rsid wsp:val=&quot;000567C9&quot;/&gt;&lt;wsp:rsid wsp:val=&quot;00056817&quot;/&gt;&lt;wsp:rsid wsp:val=&quot;00057668&quot;/&gt;&lt;wsp:rsid wsp:val=&quot;00057C69&quot;/&gt;&lt;wsp:rsid wsp:val=&quot;00057C97&quot;/&gt;&lt;wsp:rsid wsp:val=&quot;000608A9&quot;/&gt;&lt;wsp:rsid wsp:val=&quot;00060C58&quot;/&gt;&lt;wsp:rsid wsp:val=&quot;00061017&quot;/&gt;&lt;wsp:rsid wsp:val=&quot;00061611&quot;/&gt;&lt;wsp:rsid wsp:val=&quot;00061BD5&quot;/&gt;&lt;wsp:rsid wsp:val=&quot;00061FDF&quot;/&gt;&lt;wsp:rsid wsp:val=&quot;000625BA&quot;/&gt;&lt;wsp:rsid wsp:val=&quot;00062D9B&quot;/&gt;&lt;wsp:rsid wsp:val=&quot;000638A7&quot;/&gt;&lt;wsp:rsid wsp:val=&quot;00063D6D&quot;/&gt;&lt;wsp:rsid wsp:val=&quot;00064A03&quot;/&gt;&lt;wsp:rsid wsp:val=&quot;00064F3B&quot;/&gt;&lt;wsp:rsid wsp:val=&quot;00064F87&quot;/&gt;&lt;wsp:rsid wsp:val=&quot;00065633&quot;/&gt;&lt;wsp:rsid wsp:val=&quot;00066D7B&quot;/&gt;&lt;wsp:rsid wsp:val=&quot;00067516&quot;/&gt;&lt;wsp:rsid wsp:val=&quot;00067EA5&quot;/&gt;&lt;wsp:rsid wsp:val=&quot;00070567&quot;/&gt;&lt;wsp:rsid wsp:val=&quot;00070D52&quot;/&gt;&lt;wsp:rsid wsp:val=&quot;000716AF&quot;/&gt;&lt;wsp:rsid wsp:val=&quot;00071DDC&quot;/&gt;&lt;wsp:rsid wsp:val=&quot;000723DE&quot;/&gt;&lt;wsp:rsid wsp:val=&quot;000724C1&quot;/&gt;&lt;wsp:rsid wsp:val=&quot;00072BB6&quot;/&gt;&lt;wsp:rsid wsp:val=&quot;00072F9D&quot;/&gt;&lt;wsp:rsid wsp:val=&quot;00073E89&quot;/&gt;&lt;wsp:rsid wsp:val=&quot;000747B5&quot;/&gt;&lt;wsp:rsid wsp:val=&quot;0007598A&quot;/&gt;&lt;wsp:rsid wsp:val=&quot;00077030&quot;/&gt;&lt;wsp:rsid wsp:val=&quot;00077A74&quot;/&gt;&lt;wsp:rsid wsp:val=&quot;00077AC4&quot;/&gt;&lt;wsp:rsid wsp:val=&quot;00077CE3&quot;/&gt;&lt;wsp:rsid wsp:val=&quot;00077D95&quot;/&gt;&lt;wsp:rsid wsp:val=&quot;00080E0F&quot;/&gt;&lt;wsp:rsid wsp:val=&quot;00081AE8&quot;/&gt;&lt;wsp:rsid wsp:val=&quot;0008307F&quot;/&gt;&lt;wsp:rsid wsp:val=&quot;000833C9&quot;/&gt;&lt;wsp:rsid wsp:val=&quot;00083821&quot;/&gt;&lt;wsp:rsid wsp:val=&quot;000838EF&quot;/&gt;&lt;wsp:rsid wsp:val=&quot;00084B9D&quot;/&gt;&lt;wsp:rsid wsp:val=&quot;00084D3B&quot;/&gt;&lt;wsp:rsid wsp:val=&quot;00090117&quot;/&gt;&lt;wsp:rsid wsp:val=&quot;00090B14&quot;/&gt;&lt;wsp:rsid wsp:val=&quot;00090EAB&quot;/&gt;&lt;wsp:rsid wsp:val=&quot;00090EEF&quot;/&gt;&lt;wsp:rsid wsp:val=&quot;000911F4&quot;/&gt;&lt;wsp:rsid wsp:val=&quot;00091E28&quot;/&gt;&lt;wsp:rsid wsp:val=&quot;00092541&quot;/&gt;&lt;wsp:rsid wsp:val=&quot;000928BD&quot;/&gt;&lt;wsp:rsid wsp:val=&quot;00092906&quot;/&gt;&lt;wsp:rsid wsp:val=&quot;00093E6E&quot;/&gt;&lt;wsp:rsid wsp:val=&quot;00094816&quot;/&gt;&lt;wsp:rsid wsp:val=&quot;00094B1A&quot;/&gt;&lt;wsp:rsid wsp:val=&quot;00095006&quot;/&gt;&lt;wsp:rsid wsp:val=&quot;0009701A&quot;/&gt;&lt;wsp:rsid wsp:val=&quot;00097324&quot;/&gt;&lt;wsp:rsid wsp:val=&quot;00097655&quot;/&gt;&lt;wsp:rsid wsp:val=&quot;0009793F&quot;/&gt;&lt;wsp:rsid wsp:val=&quot;000979E6&quot;/&gt;&lt;wsp:rsid wsp:val=&quot;000A1061&quot;/&gt;&lt;wsp:rsid wsp:val=&quot;000A1EE5&quot;/&gt;&lt;wsp:rsid wsp:val=&quot;000A2018&quot;/&gt;&lt;wsp:rsid wsp:val=&quot;000A2033&quot;/&gt;&lt;wsp:rsid wsp:val=&quot;000A2F2A&quot;/&gt;&lt;wsp:rsid wsp:val=&quot;000A30A4&quot;/&gt;&lt;wsp:rsid wsp:val=&quot;000A33AD&quot;/&gt;&lt;wsp:rsid wsp:val=&quot;000A46E9&quot;/&gt;&lt;wsp:rsid wsp:val=&quot;000A4E03&quot;/&gt;&lt;wsp:rsid wsp:val=&quot;000A572B&quot;/&gt;&lt;wsp:rsid wsp:val=&quot;000A64F8&quot;/&gt;&lt;wsp:rsid wsp:val=&quot;000A73BB&quot;/&gt;&lt;wsp:rsid wsp:val=&quot;000A78AC&quot;/&gt;&lt;wsp:rsid wsp:val=&quot;000A7A05&quot;/&gt;&lt;wsp:rsid wsp:val=&quot;000B0347&quot;/&gt;&lt;wsp:rsid wsp:val=&quot;000B05DC&quot;/&gt;&lt;wsp:rsid wsp:val=&quot;000B0BAA&quot;/&gt;&lt;wsp:rsid wsp:val=&quot;000B161E&quot;/&gt;&lt;wsp:rsid wsp:val=&quot;000B23EE&quot;/&gt;&lt;wsp:rsid wsp:val=&quot;000B2908&quot;/&gt;&lt;wsp:rsid wsp:val=&quot;000B2E5C&quot;/&gt;&lt;wsp:rsid wsp:val=&quot;000B3126&quot;/&gt;&lt;wsp:rsid wsp:val=&quot;000B3CBD&quot;/&gt;&lt;wsp:rsid wsp:val=&quot;000B442D&quot;/&gt;&lt;wsp:rsid wsp:val=&quot;000B4BD8&quot;/&gt;&lt;wsp:rsid wsp:val=&quot;000B547D&quot;/&gt;&lt;wsp:rsid wsp:val=&quot;000B576E&quot;/&gt;&lt;wsp:rsid wsp:val=&quot;000B595D&quot;/&gt;&lt;wsp:rsid wsp:val=&quot;000B5CBB&quot;/&gt;&lt;wsp:rsid wsp:val=&quot;000B612A&quot;/&gt;&lt;wsp:rsid wsp:val=&quot;000B6302&quot;/&gt;&lt;wsp:rsid wsp:val=&quot;000B7B6B&quot;/&gt;&lt;wsp:rsid wsp:val=&quot;000C0504&quot;/&gt;&lt;wsp:rsid wsp:val=&quot;000C0841&quot;/&gt;&lt;wsp:rsid wsp:val=&quot;000C17DC&quot;/&gt;&lt;wsp:rsid wsp:val=&quot;000C1968&quot;/&gt;&lt;wsp:rsid wsp:val=&quot;000C2D25&quot;/&gt;&lt;wsp:rsid wsp:val=&quot;000C3289&quot;/&gt;&lt;wsp:rsid wsp:val=&quot;000C3A0E&quot;/&gt;&lt;wsp:rsid wsp:val=&quot;000C51B7&quot;/&gt;&lt;wsp:rsid wsp:val=&quot;000C617F&quot;/&gt;&lt;wsp:rsid wsp:val=&quot;000C6591&quot;/&gt;&lt;wsp:rsid wsp:val=&quot;000D0629&quot;/&gt;&lt;wsp:rsid wsp:val=&quot;000D06A2&quot;/&gt;&lt;wsp:rsid wsp:val=&quot;000D0B9E&quot;/&gt;&lt;wsp:rsid wsp:val=&quot;000D0FE3&quot;/&gt;&lt;wsp:rsid wsp:val=&quot;000D20DB&quot;/&gt;&lt;wsp:rsid wsp:val=&quot;000D2875&quot;/&gt;&lt;wsp:rsid wsp:val=&quot;000D2EE4&quot;/&gt;&lt;wsp:rsid wsp:val=&quot;000D301C&quot;/&gt;&lt;wsp:rsid wsp:val=&quot;000D4594&quot;/&gt;&lt;wsp:rsid wsp:val=&quot;000D4AF3&quot;/&gt;&lt;wsp:rsid wsp:val=&quot;000D4B29&quot;/&gt;&lt;wsp:rsid wsp:val=&quot;000D5090&quot;/&gt;&lt;wsp:rsid wsp:val=&quot;000D5882&quot;/&gt;&lt;wsp:rsid wsp:val=&quot;000D7851&quot;/&gt;&lt;wsp:rsid wsp:val=&quot;000E0DA2&quot;/&gt;&lt;wsp:rsid wsp:val=&quot;000E1417&quot;/&gt;&lt;wsp:rsid wsp:val=&quot;000E152E&quot;/&gt;&lt;wsp:rsid wsp:val=&quot;000E1AAA&quot;/&gt;&lt;wsp:rsid wsp:val=&quot;000E2746&quot;/&gt;&lt;wsp:rsid wsp:val=&quot;000E30C5&quot;/&gt;&lt;wsp:rsid wsp:val=&quot;000E4123&quot;/&gt;&lt;wsp:rsid wsp:val=&quot;000E5052&quot;/&gt;&lt;wsp:rsid wsp:val=&quot;000E662C&quot;/&gt;&lt;wsp:rsid wsp:val=&quot;000E790C&quot;/&gt;&lt;wsp:rsid wsp:val=&quot;000F069F&quot;/&gt;&lt;wsp:rsid wsp:val=&quot;000F0E7C&quot;/&gt;&lt;wsp:rsid wsp:val=&quot;000F1285&quot;/&gt;&lt;wsp:rsid wsp:val=&quot;000F12ED&quot;/&gt;&lt;wsp:rsid wsp:val=&quot;000F30D7&quot;/&gt;&lt;wsp:rsid wsp:val=&quot;000F37CE&quot;/&gt;&lt;wsp:rsid wsp:val=&quot;000F3D45&quot;/&gt;&lt;wsp:rsid wsp:val=&quot;000F46EC&quot;/&gt;&lt;wsp:rsid wsp:val=&quot;000F4C2B&quot;/&gt;&lt;wsp:rsid wsp:val=&quot;000F7A6C&quot;/&gt;&lt;wsp:rsid wsp:val=&quot;000F7FBD&quot;/&gt;&lt;wsp:rsid wsp:val=&quot;001017D6&quot;/&gt;&lt;wsp:rsid wsp:val=&quot;00101C87&quot;/&gt;&lt;wsp:rsid wsp:val=&quot;00101F91&quot;/&gt;&lt;wsp:rsid wsp:val=&quot;00102C21&quot;/&gt;&lt;wsp:rsid wsp:val=&quot;00103B36&quot;/&gt;&lt;wsp:rsid wsp:val=&quot;00103F5C&quot;/&gt;&lt;wsp:rsid wsp:val=&quot;00104622&quot;/&gt;&lt;wsp:rsid wsp:val=&quot;00104699&quot;/&gt;&lt;wsp:rsid wsp:val=&quot;0010479E&quot;/&gt;&lt;wsp:rsid wsp:val=&quot;00105016&quot;/&gt;&lt;wsp:rsid wsp:val=&quot;001060D2&quot;/&gt;&lt;wsp:rsid wsp:val=&quot;001061CA&quot;/&gt;&lt;wsp:rsid wsp:val=&quot;001062F5&quot;/&gt;&lt;wsp:rsid wsp:val=&quot;0010674B&quot;/&gt;&lt;wsp:rsid wsp:val=&quot;0010743A&quot;/&gt;&lt;wsp:rsid wsp:val=&quot;00107875&quot;/&gt;&lt;wsp:rsid wsp:val=&quot;00107A10&quot;/&gt;&lt;wsp:rsid wsp:val=&quot;001102CD&quot;/&gt;&lt;wsp:rsid wsp:val=&quot;001113E2&quot;/&gt;&lt;wsp:rsid wsp:val=&quot;001119DA&quot;/&gt;&lt;wsp:rsid wsp:val=&quot;00112531&quot;/&gt;&lt;wsp:rsid wsp:val=&quot;001125C4&quot;/&gt;&lt;wsp:rsid wsp:val=&quot;001131B0&quot;/&gt;&lt;wsp:rsid wsp:val=&quot;001136C9&quot;/&gt;&lt;wsp:rsid wsp:val=&quot;001137E5&quot;/&gt;&lt;wsp:rsid wsp:val=&quot;001138CD&quot;/&gt;&lt;wsp:rsid wsp:val=&quot;001152B4&quot;/&gt;&lt;wsp:rsid wsp:val=&quot;0011766A&quot;/&gt;&lt;wsp:rsid wsp:val=&quot;0011772F&quot;/&gt;&lt;wsp:rsid wsp:val=&quot;00117A02&quot;/&gt;&lt;wsp:rsid wsp:val=&quot;00117ACD&quot;/&gt;&lt;wsp:rsid wsp:val=&quot;0012022B&quot;/&gt;&lt;wsp:rsid wsp:val=&quot;0012050E&quot;/&gt;&lt;wsp:rsid wsp:val=&quot;00121A66&quot;/&gt;&lt;wsp:rsid wsp:val=&quot;00121B07&quot;/&gt;&lt;wsp:rsid wsp:val=&quot;0012409B&quot;/&gt;&lt;wsp:rsid wsp:val=&quot;00125390&quot;/&gt;&lt;wsp:rsid wsp:val=&quot;00125874&quot;/&gt;&lt;wsp:rsid wsp:val=&quot;00125A41&quot;/&gt;&lt;wsp:rsid wsp:val=&quot;00125C90&quot;/&gt;&lt;wsp:rsid wsp:val=&quot;00126345&quot;/&gt;&lt;wsp:rsid wsp:val=&quot;0012641F&quot;/&gt;&lt;wsp:rsid wsp:val=&quot;00126579&quot;/&gt;&lt;wsp:rsid wsp:val=&quot;001268FD&quot;/&gt;&lt;wsp:rsid wsp:val=&quot;00126AFF&quot;/&gt;&lt;wsp:rsid wsp:val=&quot;001277A8&quot;/&gt;&lt;wsp:rsid wsp:val=&quot;00127809&quot;/&gt;&lt;wsp:rsid wsp:val=&quot;00127AE3&quot;/&gt;&lt;wsp:rsid wsp:val=&quot;0013076E&quot;/&gt;&lt;wsp:rsid wsp:val=&quot;001310FC&quot;/&gt;&lt;wsp:rsid wsp:val=&quot;00131BF7&quot;/&gt;&lt;wsp:rsid wsp:val=&quot;00132A85&quot;/&gt;&lt;wsp:rsid wsp:val=&quot;00133830&quot;/&gt;&lt;wsp:rsid wsp:val=&quot;00133EE9&quot;/&gt;&lt;wsp:rsid wsp:val=&quot;00133FD6&quot;/&gt;&lt;wsp:rsid wsp:val=&quot;00134165&quot;/&gt;&lt;wsp:rsid wsp:val=&quot;00134F94&quot;/&gt;&lt;wsp:rsid wsp:val=&quot;00135121&quot;/&gt;&lt;wsp:rsid wsp:val=&quot;00136A8C&quot;/&gt;&lt;wsp:rsid wsp:val=&quot;001376DC&quot;/&gt;&lt;wsp:rsid wsp:val=&quot;00137EF0&quot;/&gt;&lt;wsp:rsid wsp:val=&quot;00140567&quot;/&gt;&lt;wsp:rsid wsp:val=&quot;00141A67&quot;/&gt;&lt;wsp:rsid wsp:val=&quot;00142766&quot;/&gt;&lt;wsp:rsid wsp:val=&quot;001435EE&quot;/&gt;&lt;wsp:rsid wsp:val=&quot;00143B54&quot;/&gt;&lt;wsp:rsid wsp:val=&quot;00143BA4&quot;/&gt;&lt;wsp:rsid wsp:val=&quot;00144B1F&quot;/&gt;&lt;wsp:rsid wsp:val=&quot;00145074&quot;/&gt;&lt;wsp:rsid wsp:val=&quot;001452C5&quot;/&gt;&lt;wsp:rsid wsp:val=&quot;001458AE&quot;/&gt;&lt;wsp:rsid wsp:val=&quot;00145A8B&quot;/&gt;&lt;wsp:rsid wsp:val=&quot;00145B4D&quot;/&gt;&lt;wsp:rsid wsp:val=&quot;0014614C&quot;/&gt;&lt;wsp:rsid wsp:val=&quot;001461DD&quot;/&gt;&lt;wsp:rsid wsp:val=&quot;0014621C&quot;/&gt;&lt;wsp:rsid wsp:val=&quot;00146FA9&quot;/&gt;&lt;wsp:rsid wsp:val=&quot;001470E5&quot;/&gt;&lt;wsp:rsid wsp:val=&quot;001500D0&quot;/&gt;&lt;wsp:rsid wsp:val=&quot;001503B7&quot;/&gt;&lt;wsp:rsid wsp:val=&quot;0015075D&quot;/&gt;&lt;wsp:rsid wsp:val=&quot;001507AF&quot;/&gt;&lt;wsp:rsid wsp:val=&quot;00150EBE&quot;/&gt;&lt;wsp:rsid wsp:val=&quot;00150FDD&quot;/&gt;&lt;wsp:rsid wsp:val=&quot;00151A98&quot;/&gt;&lt;wsp:rsid wsp:val=&quot;00151D77&quot;/&gt;&lt;wsp:rsid wsp:val=&quot;00151EE8&quot;/&gt;&lt;wsp:rsid wsp:val=&quot;001529A5&quot;/&gt;&lt;wsp:rsid wsp:val=&quot;00152BA1&quot;/&gt;&lt;wsp:rsid wsp:val=&quot;00152D04&quot;/&gt;&lt;wsp:rsid wsp:val=&quot;001532F5&quot;/&gt;&lt;wsp:rsid wsp:val=&quot;001536CC&quot;/&gt;&lt;wsp:rsid wsp:val=&quot;00153ED5&quot;/&gt;&lt;wsp:rsid wsp:val=&quot;00154602&quot;/&gt;&lt;wsp:rsid wsp:val=&quot;001546A2&quot;/&gt;&lt;wsp:rsid wsp:val=&quot;001548D4&quot;/&gt;&lt;wsp:rsid wsp:val=&quot;00154C86&quot;/&gt;&lt;wsp:rsid wsp:val=&quot;00154F69&quot;/&gt;&lt;wsp:rsid wsp:val=&quot;00156E05&quot;/&gt;&lt;wsp:rsid wsp:val=&quot;0016051D&quot;/&gt;&lt;wsp:rsid wsp:val=&quot;00160E6F&quot;/&gt;&lt;wsp:rsid wsp:val=&quot;0016124F&quot;/&gt;&lt;wsp:rsid wsp:val=&quot;001623E8&quot;/&gt;&lt;wsp:rsid wsp:val=&quot;001625EC&quot;/&gt;&lt;wsp:rsid wsp:val=&quot;00162BC3&quot;/&gt;&lt;wsp:rsid wsp:val=&quot;00163E40&quot;/&gt;&lt;wsp:rsid wsp:val=&quot;0016450F&quot;/&gt;&lt;wsp:rsid wsp:val=&quot;001648C8&quot;/&gt;&lt;wsp:rsid wsp:val=&quot;00164CCB&quot;/&gt;&lt;wsp:rsid wsp:val=&quot;00165507&quot;/&gt;&lt;wsp:rsid wsp:val=&quot;0016571B&quot;/&gt;&lt;wsp:rsid wsp:val=&quot;00166700&quot;/&gt;&lt;wsp:rsid wsp:val=&quot;00166BFE&quot;/&gt;&lt;wsp:rsid wsp:val=&quot;00166D29&quot;/&gt;&lt;wsp:rsid wsp:val=&quot;00167641&quot;/&gt;&lt;wsp:rsid wsp:val=&quot;00167F75&quot;/&gt;&lt;wsp:rsid wsp:val=&quot;0017174C&quot;/&gt;&lt;wsp:rsid wsp:val=&quot;00173D54&quot;/&gt;&lt;wsp:rsid wsp:val=&quot;00173F9E&quot;/&gt;&lt;wsp:rsid wsp:val=&quot;00174DDE&quot;/&gt;&lt;wsp:rsid wsp:val=&quot;00174FD5&quot;/&gt;&lt;wsp:rsid wsp:val=&quot;0017536D&quot;/&gt;&lt;wsp:rsid wsp:val=&quot;00175B8B&quot;/&gt;&lt;wsp:rsid wsp:val=&quot;00175DD2&quot;/&gt;&lt;wsp:rsid wsp:val=&quot;0017691E&quot;/&gt;&lt;wsp:rsid wsp:val=&quot;00176CAA&quot;/&gt;&lt;wsp:rsid wsp:val=&quot;00180B42&quot;/&gt;&lt;wsp:rsid wsp:val=&quot;00181802&quot;/&gt;&lt;wsp:rsid wsp:val=&quot;00181AFC&quot;/&gt;&lt;wsp:rsid wsp:val=&quot;00181F01&quot;/&gt;&lt;wsp:rsid wsp:val=&quot;00182152&quot;/&gt;&lt;wsp:rsid wsp:val=&quot;001825E5&quot;/&gt;&lt;wsp:rsid wsp:val=&quot;001828C9&quot;/&gt;&lt;wsp:rsid wsp:val=&quot;0018366D&quot;/&gt;&lt;wsp:rsid wsp:val=&quot;00183678&quot;/&gt;&lt;wsp:rsid wsp:val=&quot;001848D6&quot;/&gt;&lt;wsp:rsid wsp:val=&quot;001850DE&quot;/&gt;&lt;wsp:rsid wsp:val=&quot;001850F7&quot;/&gt;&lt;wsp:rsid wsp:val=&quot;00185797&quot;/&gt;&lt;wsp:rsid wsp:val=&quot;00185B9A&quot;/&gt;&lt;wsp:rsid wsp:val=&quot;001869D9&quot;/&gt;&lt;wsp:rsid wsp:val=&quot;0018706D&quot;/&gt;&lt;wsp:rsid wsp:val=&quot;00187866&quot;/&gt;&lt;wsp:rsid wsp:val=&quot;00187EE0&quot;/&gt;&lt;wsp:rsid wsp:val=&quot;00190378&quot;/&gt;&lt;wsp:rsid wsp:val=&quot;00190615&quot;/&gt;&lt;wsp:rsid wsp:val=&quot;00190AC1&quot;/&gt;&lt;wsp:rsid wsp:val=&quot;001916F5&quot;/&gt;&lt;wsp:rsid wsp:val=&quot;00192639&quot;/&gt;&lt;wsp:rsid wsp:val=&quot;0019268A&quot;/&gt;&lt;wsp:rsid wsp:val=&quot;00193049&quot;/&gt;&lt;wsp:rsid wsp:val=&quot;00193536&quot;/&gt;&lt;wsp:rsid wsp:val=&quot;001937A5&quot;/&gt;&lt;wsp:rsid wsp:val=&quot;00193B74&quot;/&gt;&lt;wsp:rsid wsp:val=&quot;001944FD&quot;/&gt;&lt;wsp:rsid wsp:val=&quot;00195B95&quot;/&gt;&lt;wsp:rsid wsp:val=&quot;00195F0D&quot;/&gt;&lt;wsp:rsid wsp:val=&quot;0019622A&quot;/&gt;&lt;wsp:rsid wsp:val=&quot;0019627F&quot;/&gt;&lt;wsp:rsid wsp:val=&quot;00197700&quot;/&gt;&lt;wsp:rsid wsp:val=&quot;001A00A4&quot;/&gt;&lt;wsp:rsid wsp:val=&quot;001A111D&quot;/&gt;&lt;wsp:rsid wsp:val=&quot;001A1333&quot;/&gt;&lt;wsp:rsid wsp:val=&quot;001A194D&quot;/&gt;&lt;wsp:rsid wsp:val=&quot;001A1C07&quot;/&gt;&lt;wsp:rsid wsp:val=&quot;001A1E4C&quot;/&gt;&lt;wsp:rsid wsp:val=&quot;001A1F64&quot;/&gt;&lt;wsp:rsid wsp:val=&quot;001A2039&quot;/&gt;&lt;wsp:rsid wsp:val=&quot;001A26C4&quot;/&gt;&lt;wsp:rsid wsp:val=&quot;001A27B1&quot;/&gt;&lt;wsp:rsid wsp:val=&quot;001A3474&quot;/&gt;&lt;wsp:rsid wsp:val=&quot;001A3946&quot;/&gt;&lt;wsp:rsid wsp:val=&quot;001A3D00&quot;/&gt;&lt;wsp:rsid wsp:val=&quot;001A4339&quot;/&gt;&lt;wsp:rsid wsp:val=&quot;001A453B&quot;/&gt;&lt;wsp:rsid wsp:val=&quot;001A5914&quot;/&gt;&lt;wsp:rsid wsp:val=&quot;001A5F84&quot;/&gt;&lt;wsp:rsid wsp:val=&quot;001A6A3A&quot;/&gt;&lt;wsp:rsid wsp:val=&quot;001A712F&quot;/&gt;&lt;wsp:rsid wsp:val=&quot;001A7475&quot;/&gt;&lt;wsp:rsid wsp:val=&quot;001A770D&quot;/&gt;&lt;wsp:rsid wsp:val=&quot;001A77C5&quot;/&gt;&lt;wsp:rsid wsp:val=&quot;001B1F9C&quot;/&gt;&lt;wsp:rsid wsp:val=&quot;001B2524&quot;/&gt;&lt;wsp:rsid wsp:val=&quot;001B25E0&quot;/&gt;&lt;wsp:rsid wsp:val=&quot;001B2636&quot;/&gt;&lt;wsp:rsid wsp:val=&quot;001B274F&quot;/&gt;&lt;wsp:rsid wsp:val=&quot;001B2C04&quot;/&gt;&lt;wsp:rsid wsp:val=&quot;001B2E25&quot;/&gt;&lt;wsp:rsid wsp:val=&quot;001B35B4&quot;/&gt;&lt;wsp:rsid wsp:val=&quot;001B36A1&quot;/&gt;&lt;wsp:rsid wsp:val=&quot;001B49CC&quot;/&gt;&lt;wsp:rsid wsp:val=&quot;001B4FA3&quot;/&gt;&lt;wsp:rsid wsp:val=&quot;001B50E9&quot;/&gt;&lt;wsp:rsid wsp:val=&quot;001B6142&quot;/&gt;&lt;wsp:rsid wsp:val=&quot;001B7036&quot;/&gt;&lt;wsp:rsid wsp:val=&quot;001C06CF&quot;/&gt;&lt;wsp:rsid wsp:val=&quot;001C0813&quot;/&gt;&lt;wsp:rsid wsp:val=&quot;001C0B6B&quot;/&gt;&lt;wsp:rsid wsp:val=&quot;001C0E5F&quot;/&gt;&lt;wsp:rsid wsp:val=&quot;001C10C2&quot;/&gt;&lt;wsp:rsid wsp:val=&quot;001C1911&quot;/&gt;&lt;wsp:rsid wsp:val=&quot;001C1D95&quot;/&gt;&lt;wsp:rsid wsp:val=&quot;001C26AF&quot;/&gt;&lt;wsp:rsid wsp:val=&quot;001C2C7F&quot;/&gt;&lt;wsp:rsid wsp:val=&quot;001C3E8F&quot;/&gt;&lt;wsp:rsid wsp:val=&quot;001C3F2D&quot;/&gt;&lt;wsp:rsid wsp:val=&quot;001C3F35&quot;/&gt;&lt;wsp:rsid wsp:val=&quot;001C4955&quot;/&gt;&lt;wsp:rsid wsp:val=&quot;001C4B72&quot;/&gt;&lt;wsp:rsid wsp:val=&quot;001C4DAC&quot;/&gt;&lt;wsp:rsid wsp:val=&quot;001C59CA&quot;/&gt;&lt;wsp:rsid wsp:val=&quot;001C609B&quot;/&gt;&lt;wsp:rsid wsp:val=&quot;001C66C8&quot;/&gt;&lt;wsp:rsid wsp:val=&quot;001C692B&quot;/&gt;&lt;wsp:rsid wsp:val=&quot;001C710B&quot;/&gt;&lt;wsp:rsid wsp:val=&quot;001C7706&quot;/&gt;&lt;wsp:rsid wsp:val=&quot;001C7B90&quot;/&gt;&lt;wsp:rsid wsp:val=&quot;001D00DD&quot;/&gt;&lt;wsp:rsid wsp:val=&quot;001D12DE&quot;/&gt;&lt;wsp:rsid wsp:val=&quot;001D2C43&quot;/&gt;&lt;wsp:rsid wsp:val=&quot;001D3DE0&quot;/&gt;&lt;wsp:rsid wsp:val=&quot;001D3DF2&quot;/&gt;&lt;wsp:rsid wsp:val=&quot;001D3E47&quot;/&gt;&lt;wsp:rsid wsp:val=&quot;001D4A14&quot;/&gt;&lt;wsp:rsid wsp:val=&quot;001D5BBF&quot;/&gt;&lt;wsp:rsid wsp:val=&quot;001D639F&quot;/&gt;&lt;wsp:rsid wsp:val=&quot;001D7203&quot;/&gt;&lt;wsp:rsid wsp:val=&quot;001E0B80&quot;/&gt;&lt;wsp:rsid wsp:val=&quot;001E1E97&quot;/&gt;&lt;wsp:rsid wsp:val=&quot;001E1EEE&quot;/&gt;&lt;wsp:rsid wsp:val=&quot;001E2557&quot;/&gt;&lt;wsp:rsid wsp:val=&quot;001E3AB9&quot;/&gt;&lt;wsp:rsid wsp:val=&quot;001E43C7&quot;/&gt;&lt;wsp:rsid wsp:val=&quot;001E4410&quot;/&gt;&lt;wsp:rsid wsp:val=&quot;001E46C9&quot;/&gt;&lt;wsp:rsid wsp:val=&quot;001E4823&quot;/&gt;&lt;wsp:rsid wsp:val=&quot;001E51C2&quot;/&gt;&lt;wsp:rsid wsp:val=&quot;001E54CB&quot;/&gt;&lt;wsp:rsid wsp:val=&quot;001E54F7&quot;/&gt;&lt;wsp:rsid wsp:val=&quot;001E6721&quot;/&gt;&lt;wsp:rsid wsp:val=&quot;001F0544&quot;/&gt;&lt;wsp:rsid wsp:val=&quot;001F1A7F&quot;/&gt;&lt;wsp:rsid wsp:val=&quot;001F3C04&quot;/&gt;&lt;wsp:rsid wsp:val=&quot;001F484E&quot;/&gt;&lt;wsp:rsid wsp:val=&quot;001F48EE&quot;/&gt;&lt;wsp:rsid wsp:val=&quot;001F4AC5&quot;/&gt;&lt;wsp:rsid wsp:val=&quot;001F61C2&quot;/&gt;&lt;wsp:rsid wsp:val=&quot;001F64B3&quot;/&gt;&lt;wsp:rsid wsp:val=&quot;001F76F0&quot;/&gt;&lt;wsp:rsid wsp:val=&quot;001F7A36&quot;/&gt;&lt;wsp:rsid wsp:val=&quot;0020039B&quot;/&gt;&lt;wsp:rsid wsp:val=&quot;00200557&quot;/&gt;&lt;wsp:rsid wsp:val=&quot;00200E4F&quot;/&gt;&lt;wsp:rsid wsp:val=&quot;00201E6B&quot;/&gt;&lt;wsp:rsid wsp:val=&quot;00201EAB&quot;/&gt;&lt;wsp:rsid wsp:val=&quot;00201FA3&quot;/&gt;&lt;wsp:rsid wsp:val=&quot;00203DCC&quot;/&gt;&lt;wsp:rsid wsp:val=&quot;002040CD&quot;/&gt;&lt;wsp:rsid wsp:val=&quot;0020444A&quot;/&gt;&lt;wsp:rsid wsp:val=&quot;0020460C&quot;/&gt;&lt;wsp:rsid wsp:val=&quot;00205031&quot;/&gt;&lt;wsp:rsid wsp:val=&quot;002050BD&quot;/&gt;&lt;wsp:rsid wsp:val=&quot;00205929&quot;/&gt;&lt;wsp:rsid wsp:val=&quot;00205AA0&quot;/&gt;&lt;wsp:rsid wsp:val=&quot;002065C3&quot;/&gt;&lt;wsp:rsid wsp:val=&quot;00206743&quot;/&gt;&lt;wsp:rsid wsp:val=&quot;00210116&quot;/&gt;&lt;wsp:rsid wsp:val=&quot;002105A8&quot;/&gt;&lt;wsp:rsid wsp:val=&quot;00210DE1&quot;/&gt;&lt;wsp:rsid wsp:val=&quot;002110E8&quot;/&gt;&lt;wsp:rsid wsp:val=&quot;0021149E&quot;/&gt;&lt;wsp:rsid wsp:val=&quot;00211621&quot;/&gt;&lt;wsp:rsid wsp:val=&quot;0021179C&quot;/&gt;&lt;wsp:rsid wsp:val=&quot;00211B25&quot;/&gt;&lt;wsp:rsid wsp:val=&quot;00212A14&quot;/&gt;&lt;wsp:rsid wsp:val=&quot;0021307A&quot;/&gt;&lt;wsp:rsid wsp:val=&quot;002135F6&quot;/&gt;&lt;wsp:rsid wsp:val=&quot;00214ADE&quot;/&gt;&lt;wsp:rsid wsp:val=&quot;00214D96&quot;/&gt;&lt;wsp:rsid wsp:val=&quot;00215643&quot;/&gt;&lt;wsp:rsid wsp:val=&quot;0021585C&quot;/&gt;&lt;wsp:rsid wsp:val=&quot;00216D85&quot;/&gt;&lt;wsp:rsid wsp:val=&quot;0021733D&quot;/&gt;&lt;wsp:rsid wsp:val=&quot;0021748C&quot;/&gt;&lt;wsp:rsid wsp:val=&quot;00221566&quot;/&gt;&lt;wsp:rsid wsp:val=&quot;002229A3&quot;/&gt;&lt;wsp:rsid wsp:val=&quot;0022318F&quot;/&gt;&lt;wsp:rsid wsp:val=&quot;00223389&quot;/&gt;&lt;wsp:rsid wsp:val=&quot;00223B2F&quot;/&gt;&lt;wsp:rsid wsp:val=&quot;00223EBA&quot;/&gt;&lt;wsp:rsid wsp:val=&quot;00223ED4&quot;/&gt;&lt;wsp:rsid wsp:val=&quot;0022466F&quot;/&gt;&lt;wsp:rsid wsp:val=&quot;00224BC9&quot;/&gt;&lt;wsp:rsid wsp:val=&quot;00224E4B&quot;/&gt;&lt;wsp:rsid wsp:val=&quot;002252F9&quot;/&gt;&lt;wsp:rsid wsp:val=&quot;00225DC4&quot;/&gt;&lt;wsp:rsid wsp:val=&quot;00225DF8&quot;/&gt;&lt;wsp:rsid wsp:val=&quot;00226335&quot;/&gt;&lt;wsp:rsid wsp:val=&quot;00226405&quot;/&gt;&lt;wsp:rsid wsp:val=&quot;00226416&quot;/&gt;&lt;wsp:rsid wsp:val=&quot;002264F3&quot;/&gt;&lt;wsp:rsid wsp:val=&quot;00226793&quot;/&gt;&lt;wsp:rsid wsp:val=&quot;00226DA1&quot;/&gt;&lt;wsp:rsid wsp:val=&quot;00226E70&quot;/&gt;&lt;wsp:rsid wsp:val=&quot;00227028&quot;/&gt;&lt;wsp:rsid wsp:val=&quot;002274C7&quot;/&gt;&lt;wsp:rsid wsp:val=&quot;00227FE5&quot;/&gt;&lt;wsp:rsid wsp:val=&quot;0023033E&quot;/&gt;&lt;wsp:rsid wsp:val=&quot;00232CD6&quot;/&gt;&lt;wsp:rsid wsp:val=&quot;00232DF6&quot;/&gt;&lt;wsp:rsid wsp:val=&quot;00233946&quot;/&gt;&lt;wsp:rsid wsp:val=&quot;00233A88&quot;/&gt;&lt;wsp:rsid wsp:val=&quot;00233ACA&quot;/&gt;&lt;wsp:rsid wsp:val=&quot;00233AD0&quot;/&gt;&lt;wsp:rsid wsp:val=&quot;002343B5&quot;/&gt;&lt;wsp:rsid wsp:val=&quot;00234459&quot;/&gt;&lt;wsp:rsid wsp:val=&quot;00234BAD&quot;/&gt;&lt;wsp:rsid wsp:val=&quot;0023535E&quot;/&gt;&lt;wsp:rsid wsp:val=&quot;00235A39&quot;/&gt;&lt;wsp:rsid wsp:val=&quot;00235C43&quot;/&gt;&lt;wsp:rsid wsp:val=&quot;0023680A&quot;/&gt;&lt;wsp:rsid wsp:val=&quot;00236DA4&quot;/&gt;&lt;wsp:rsid wsp:val=&quot;00240BF7&quot;/&gt;&lt;wsp:rsid wsp:val=&quot;00240D71&quot;/&gt;&lt;wsp:rsid wsp:val=&quot;00242266&quot;/&gt;&lt;wsp:rsid wsp:val=&quot;00242404&quot;/&gt;&lt;wsp:rsid wsp:val=&quot;0024265D&quot;/&gt;&lt;wsp:rsid wsp:val=&quot;00242CED&quot;/&gt;&lt;wsp:rsid wsp:val=&quot;00242F9E&quot;/&gt;&lt;wsp:rsid wsp:val=&quot;002431C7&quot;/&gt;&lt;wsp:rsid wsp:val=&quot;00245151&quot;/&gt;&lt;wsp:rsid wsp:val=&quot;0024517D&quot;/&gt;&lt;wsp:rsid wsp:val=&quot;002452E1&quot;/&gt;&lt;wsp:rsid wsp:val=&quot;002458D9&quot;/&gt;&lt;wsp:rsid wsp:val=&quot;0024741C&quot;/&gt;&lt;wsp:rsid wsp:val=&quot;00247952&quot;/&gt;&lt;wsp:rsid wsp:val=&quot;00247ADE&quot;/&gt;&lt;wsp:rsid wsp:val=&quot;00250241&quot;/&gt;&lt;wsp:rsid wsp:val=&quot;00250718&quot;/&gt;&lt;wsp:rsid wsp:val=&quot;00250772&quot;/&gt;&lt;wsp:rsid wsp:val=&quot;0025174E&quot;/&gt;&lt;wsp:rsid wsp:val=&quot;00252E1B&quot;/&gt;&lt;wsp:rsid wsp:val=&quot;002538AE&quot;/&gt;&lt;wsp:rsid wsp:val=&quot;00253A3E&quot;/&gt;&lt;wsp:rsid wsp:val=&quot;002541A9&quot;/&gt;&lt;wsp:rsid wsp:val=&quot;00254A7D&quot;/&gt;&lt;wsp:rsid wsp:val=&quot;00254D72&quot;/&gt;&lt;wsp:rsid wsp:val=&quot;00254FE2&quot;/&gt;&lt;wsp:rsid wsp:val=&quot;00255C22&quot;/&gt;&lt;wsp:rsid wsp:val=&quot;00256112&quot;/&gt;&lt;wsp:rsid wsp:val=&quot;00256A2B&quot;/&gt;&lt;wsp:rsid wsp:val=&quot;00256D0D&quot;/&gt;&lt;wsp:rsid wsp:val=&quot;002604D9&quot;/&gt;&lt;wsp:rsid wsp:val=&quot;00260614&quot;/&gt;&lt;wsp:rsid wsp:val=&quot;00261189&quot;/&gt;&lt;wsp:rsid wsp:val=&quot;0026122C&quot;/&gt;&lt;wsp:rsid wsp:val=&quot;002615BC&quot;/&gt;&lt;wsp:rsid wsp:val=&quot;002615F2&quot;/&gt;&lt;wsp:rsid wsp:val=&quot;002629C0&quot;/&gt;&lt;wsp:rsid wsp:val=&quot;00262E5F&quot;/&gt;&lt;wsp:rsid wsp:val=&quot;0026324A&quot;/&gt;&lt;wsp:rsid wsp:val=&quot;00264417&quot;/&gt;&lt;wsp:rsid wsp:val=&quot;0026557F&quot;/&gt;&lt;wsp:rsid wsp:val=&quot;00265B79&quot;/&gt;&lt;wsp:rsid wsp:val=&quot;00265FE9&quot;/&gt;&lt;wsp:rsid wsp:val=&quot;00266B6A&quot;/&gt;&lt;wsp:rsid wsp:val=&quot;00266E3C&quot;/&gt;&lt;wsp:rsid wsp:val=&quot;002670DB&quot;/&gt;&lt;wsp:rsid wsp:val=&quot;00270193&quot;/&gt;&lt;wsp:rsid wsp:val=&quot;00270DF3&quot;/&gt;&lt;wsp:rsid wsp:val=&quot;00271B15&quot;/&gt;&lt;wsp:rsid wsp:val=&quot;00271C1A&quot;/&gt;&lt;wsp:rsid wsp:val=&quot;00272889&quot;/&gt;&lt;wsp:rsid wsp:val=&quot;002729CD&quot;/&gt;&lt;wsp:rsid wsp:val=&quot;00272BCE&quot;/&gt;&lt;wsp:rsid wsp:val=&quot;00273845&quot;/&gt;&lt;wsp:rsid wsp:val=&quot;00274004&quot;/&gt;&lt;wsp:rsid wsp:val=&quot;002749CE&quot;/&gt;&lt;wsp:rsid wsp:val=&quot;002752DD&quot;/&gt;&lt;wsp:rsid wsp:val=&quot;0027587D&quot;/&gt;&lt;wsp:rsid wsp:val=&quot;00275FDC&quot;/&gt;&lt;wsp:rsid wsp:val=&quot;00276142&quot;/&gt;&lt;wsp:rsid wsp:val=&quot;00276BB2&quot;/&gt;&lt;wsp:rsid wsp:val=&quot;00276ED7&quot;/&gt;&lt;wsp:rsid wsp:val=&quot;002772F7&quot;/&gt;&lt;wsp:rsid wsp:val=&quot;00280246&quot;/&gt;&lt;wsp:rsid wsp:val=&quot;00280F6B&quot;/&gt;&lt;wsp:rsid wsp:val=&quot;00280FE5&quot;/&gt;&lt;wsp:rsid wsp:val=&quot;002823E3&quot;/&gt;&lt;wsp:rsid wsp:val=&quot;00282429&quot;/&gt;&lt;wsp:rsid wsp:val=&quot;00282E11&quot;/&gt;&lt;wsp:rsid wsp:val=&quot;0028341A&quot;/&gt;&lt;wsp:rsid wsp:val=&quot;00283561&quot;/&gt;&lt;wsp:rsid wsp:val=&quot;002844C5&quot;/&gt;&lt;wsp:rsid wsp:val=&quot;00284854&quot;/&gt;&lt;wsp:rsid wsp:val=&quot;0028772E&quot;/&gt;&lt;wsp:rsid wsp:val=&quot;00287A9E&quot;/&gt;&lt;wsp:rsid wsp:val=&quot;00287C17&quot;/&gt;&lt;wsp:rsid wsp:val=&quot;002909C9&quot;/&gt;&lt;wsp:rsid wsp:val=&quot;002911DD&quot;/&gt;&lt;wsp:rsid wsp:val=&quot;00291790&quot;/&gt;&lt;wsp:rsid wsp:val=&quot;00292688&quot;/&gt;&lt;wsp:rsid wsp:val=&quot;0029304F&quot;/&gt;&lt;wsp:rsid wsp:val=&quot;00293179&quot;/&gt;&lt;wsp:rsid wsp:val=&quot;002945EB&quot;/&gt;&lt;wsp:rsid wsp:val=&quot;00294826&quot;/&gt;&lt;wsp:rsid wsp:val=&quot;00294C3C&quot;/&gt;&lt;wsp:rsid wsp:val=&quot;0029544B&quot;/&gt;&lt;wsp:rsid wsp:val=&quot;002963EB&quot;/&gt;&lt;wsp:rsid wsp:val=&quot;002967ED&quot;/&gt;&lt;wsp:rsid wsp:val=&quot;00296CDA&quot;/&gt;&lt;wsp:rsid wsp:val=&quot;00296D4B&quot;/&gt;&lt;wsp:rsid wsp:val=&quot;00296F75&quot;/&gt;&lt;wsp:rsid wsp:val=&quot;002972D4&quot;/&gt;&lt;wsp:rsid wsp:val=&quot;002975EF&quot;/&gt;&lt;wsp:rsid wsp:val=&quot;002A0526&quot;/&gt;&lt;wsp:rsid wsp:val=&quot;002A1E44&quot;/&gt;&lt;wsp:rsid wsp:val=&quot;002A208C&quot;/&gt;&lt;wsp:rsid wsp:val=&quot;002A454D&quot;/&gt;&lt;wsp:rsid wsp:val=&quot;002A4573&quot;/&gt;&lt;wsp:rsid wsp:val=&quot;002A5FE7&quot;/&gt;&lt;wsp:rsid wsp:val=&quot;002A68AA&quot;/&gt;&lt;wsp:rsid wsp:val=&quot;002A775B&quot;/&gt;&lt;wsp:rsid wsp:val=&quot;002A7C21&quot;/&gt;&lt;wsp:rsid wsp:val=&quot;002B06DF&quot;/&gt;&lt;wsp:rsid wsp:val=&quot;002B12FE&quot;/&gt;&lt;wsp:rsid wsp:val=&quot;002B14F2&quot;/&gt;&lt;wsp:rsid wsp:val=&quot;002B1F65&quot;/&gt;&lt;wsp:rsid wsp:val=&quot;002B1FB6&quot;/&gt;&lt;wsp:rsid wsp:val=&quot;002B212C&quot;/&gt;&lt;wsp:rsid wsp:val=&quot;002B3ED4&quot;/&gt;&lt;wsp:rsid wsp:val=&quot;002B46DF&quot;/&gt;&lt;wsp:rsid wsp:val=&quot;002B48B4&quot;/&gt;&lt;wsp:rsid wsp:val=&quot;002B499C&quot;/&gt;&lt;wsp:rsid wsp:val=&quot;002B4B68&quot;/&gt;&lt;wsp:rsid wsp:val=&quot;002B5565&quot;/&gt;&lt;wsp:rsid wsp:val=&quot;002B5CF1&quot;/&gt;&lt;wsp:rsid wsp:val=&quot;002B5E7D&quot;/&gt;&lt;wsp:rsid wsp:val=&quot;002B65DA&quot;/&gt;&lt;wsp:rsid wsp:val=&quot;002B71AB&quot;/&gt;&lt;wsp:rsid wsp:val=&quot;002C15FB&quot;/&gt;&lt;wsp:rsid wsp:val=&quot;002C1B7A&quot;/&gt;&lt;wsp:rsid wsp:val=&quot;002C2257&quot;/&gt;&lt;wsp:rsid wsp:val=&quot;002C24D9&quot;/&gt;&lt;wsp:rsid wsp:val=&quot;002C26E8&quot;/&gt;&lt;wsp:rsid wsp:val=&quot;002C2E90&quot;/&gt;&lt;wsp:rsid wsp:val=&quot;002C3F99&quot;/&gt;&lt;wsp:rsid wsp:val=&quot;002C4497&quot;/&gt;&lt;wsp:rsid wsp:val=&quot;002C45F1&quot;/&gt;&lt;wsp:rsid wsp:val=&quot;002C4653&quot;/&gt;&lt;wsp:rsid wsp:val=&quot;002C4857&quot;/&gt;&lt;wsp:rsid wsp:val=&quot;002C4AC8&quot;/&gt;&lt;wsp:rsid wsp:val=&quot;002C4E2D&quot;/&gt;&lt;wsp:rsid wsp:val=&quot;002C5BBE&quot;/&gt;&lt;wsp:rsid wsp:val=&quot;002C5E4F&quot;/&gt;&lt;wsp:rsid wsp:val=&quot;002C6BD4&quot;/&gt;&lt;wsp:rsid wsp:val=&quot;002C6C9D&quot;/&gt;&lt;wsp:rsid wsp:val=&quot;002C7459&quot;/&gt;&lt;wsp:rsid wsp:val=&quot;002C7C19&quot;/&gt;&lt;wsp:rsid wsp:val=&quot;002D1100&quot;/&gt;&lt;wsp:rsid wsp:val=&quot;002D174E&quot;/&gt;&lt;wsp:rsid wsp:val=&quot;002D17CB&quot;/&gt;&lt;wsp:rsid wsp:val=&quot;002D1C33&quot;/&gt;&lt;wsp:rsid wsp:val=&quot;002D2235&quot;/&gt;&lt;wsp:rsid wsp:val=&quot;002D2D57&quot;/&gt;&lt;wsp:rsid wsp:val=&quot;002D34CD&quot;/&gt;&lt;wsp:rsid wsp:val=&quot;002D3837&quot;/&gt;&lt;wsp:rsid wsp:val=&quot;002D48C3&quot;/&gt;&lt;wsp:rsid wsp:val=&quot;002D53F4&quot;/&gt;&lt;wsp:rsid wsp:val=&quot;002D541F&quot;/&gt;&lt;wsp:rsid wsp:val=&quot;002D6888&quot;/&gt;&lt;wsp:rsid wsp:val=&quot;002D6D28&quot;/&gt;&lt;wsp:rsid wsp:val=&quot;002D75D3&quot;/&gt;&lt;wsp:rsid wsp:val=&quot;002D77DF&quot;/&gt;&lt;wsp:rsid wsp:val=&quot;002E01D6&quot;/&gt;&lt;wsp:rsid wsp:val=&quot;002E29AF&quot;/&gt;&lt;wsp:rsid wsp:val=&quot;002E2ABE&quot;/&gt;&lt;wsp:rsid wsp:val=&quot;002E429F&quot;/&gt;&lt;wsp:rsid wsp:val=&quot;002E4420&quot;/&gt;&lt;wsp:rsid wsp:val=&quot;002E5CFC&quot;/&gt;&lt;wsp:rsid wsp:val=&quot;002E6702&quot;/&gt;&lt;wsp:rsid wsp:val=&quot;002E6BA6&quot;/&gt;&lt;wsp:rsid wsp:val=&quot;002E74A3&quot;/&gt;&lt;wsp:rsid wsp:val=&quot;002E7730&quot;/&gt;&lt;wsp:rsid wsp:val=&quot;002E7D60&quot;/&gt;&lt;wsp:rsid wsp:val=&quot;002F072B&quot;/&gt;&lt;wsp:rsid wsp:val=&quot;002F09EB&quot;/&gt;&lt;wsp:rsid wsp:val=&quot;002F112A&quot;/&gt;&lt;wsp:rsid wsp:val=&quot;002F287D&quot;/&gt;&lt;wsp:rsid wsp:val=&quot;002F2CAD&quot;/&gt;&lt;wsp:rsid wsp:val=&quot;002F3451&quot;/&gt;&lt;wsp:rsid wsp:val=&quot;002F3CD2&quot;/&gt;&lt;wsp:rsid wsp:val=&quot;002F495F&quot;/&gt;&lt;wsp:rsid wsp:val=&quot;002F5AF2&quot;/&gt;&lt;wsp:rsid wsp:val=&quot;002F6392&quot;/&gt;&lt;wsp:rsid wsp:val=&quot;002F7B97&quot;/&gt;&lt;wsp:rsid wsp:val=&quot;00300C66&quot;/&gt;&lt;wsp:rsid wsp:val=&quot;00300EC5&quot;/&gt;&lt;wsp:rsid wsp:val=&quot;00300FA2&quot;/&gt;&lt;wsp:rsid wsp:val=&quot;00301A67&quot;/&gt;&lt;wsp:rsid wsp:val=&quot;00301CA8&quot;/&gt;&lt;wsp:rsid wsp:val=&quot;00301DBB&quot;/&gt;&lt;wsp:rsid wsp:val=&quot;00301DF4&quot;/&gt;&lt;wsp:rsid wsp:val=&quot;00302714&quot;/&gt;&lt;wsp:rsid wsp:val=&quot;00302B27&quot;/&gt;&lt;wsp:rsid wsp:val=&quot;003036E0&quot;/&gt;&lt;wsp:rsid wsp:val=&quot;00303B47&quot;/&gt;&lt;wsp:rsid wsp:val=&quot;00303D0B&quot;/&gt;&lt;wsp:rsid wsp:val=&quot;003040B6&quot;/&gt;&lt;wsp:rsid wsp:val=&quot;003065F4&quot;/&gt;&lt;wsp:rsid wsp:val=&quot;00306F33&quot;/&gt;&lt;wsp:rsid wsp:val=&quot;00307A53&quot;/&gt;&lt;wsp:rsid wsp:val=&quot;003106DA&quot;/&gt;&lt;wsp:rsid wsp:val=&quot;00310D6F&quot;/&gt;&lt;wsp:rsid wsp:val=&quot;003139FD&quot;/&gt;&lt;wsp:rsid wsp:val=&quot;0031429F&quot;/&gt;&lt;wsp:rsid wsp:val=&quot;003147D8&quot;/&gt;&lt;wsp:rsid wsp:val=&quot;00314B4D&quot;/&gt;&lt;wsp:rsid wsp:val=&quot;00314E16&quot;/&gt;&lt;wsp:rsid wsp:val=&quot;00315486&quot;/&gt;&lt;wsp:rsid wsp:val=&quot;00315828&quot;/&gt;&lt;wsp:rsid wsp:val=&quot;0031647C&quot;/&gt;&lt;wsp:rsid wsp:val=&quot;0031684D&quot;/&gt;&lt;wsp:rsid wsp:val=&quot;00317220&quot;/&gt;&lt;wsp:rsid wsp:val=&quot;00317959&quot;/&gt;&lt;wsp:rsid wsp:val=&quot;003220D3&quot;/&gt;&lt;wsp:rsid wsp:val=&quot;003229D1&quot;/&gt;&lt;wsp:rsid wsp:val=&quot;003236FF&quot;/&gt;&lt;wsp:rsid wsp:val=&quot;00323E0E&quot;/&gt;&lt;wsp:rsid wsp:val=&quot;00323EE1&quot;/&gt;&lt;wsp:rsid wsp:val=&quot;00324F91&quot;/&gt;&lt;wsp:rsid wsp:val=&quot;0032521D&quot;/&gt;&lt;wsp:rsid wsp:val=&quot;00325E6F&quot;/&gt;&lt;wsp:rsid wsp:val=&quot;00326031&quot;/&gt;&lt;wsp:rsid wsp:val=&quot;00326923&quot;/&gt;&lt;wsp:rsid wsp:val=&quot;003272BF&quot;/&gt;&lt;wsp:rsid wsp:val=&quot;00330AD2&quot;/&gt;&lt;wsp:rsid wsp:val=&quot;00331527&quot;/&gt;&lt;wsp:rsid wsp:val=&quot;003318C5&quot;/&gt;&lt;wsp:rsid wsp:val=&quot;00331A3A&quot;/&gt;&lt;wsp:rsid wsp:val=&quot;00331C73&quot;/&gt;&lt;wsp:rsid wsp:val=&quot;003320B7&quot;/&gt;&lt;wsp:rsid wsp:val=&quot;00332406&quot;/&gt;&lt;wsp:rsid wsp:val=&quot;003325DC&quot;/&gt;&lt;wsp:rsid wsp:val=&quot;00332F0D&quot;/&gt;&lt;wsp:rsid wsp:val=&quot;003335DD&quot;/&gt;&lt;wsp:rsid wsp:val=&quot;00333AD7&quot;/&gt;&lt;wsp:rsid wsp:val=&quot;00334AC6&quot;/&gt;&lt;wsp:rsid wsp:val=&quot;00334CCB&quot;/&gt;&lt;wsp:rsid wsp:val=&quot;00335185&quot;/&gt;&lt;wsp:rsid wsp:val=&quot;00335223&quot;/&gt;&lt;wsp:rsid wsp:val=&quot;003369E7&quot;/&gt;&lt;wsp:rsid wsp:val=&quot;00336AED&quot;/&gt;&lt;wsp:rsid wsp:val=&quot;00341D12&quot;/&gt;&lt;wsp:rsid wsp:val=&quot;003422A5&quot;/&gt;&lt;wsp:rsid wsp:val=&quot;00342723&quot;/&gt;&lt;wsp:rsid wsp:val=&quot;00343A17&quot;/&gt;&lt;wsp:rsid wsp:val=&quot;00343C2F&quot;/&gt;&lt;wsp:rsid wsp:val=&quot;003444E6&quot;/&gt;&lt;wsp:rsid wsp:val=&quot;00344534&quot;/&gt;&lt;wsp:rsid wsp:val=&quot;003446C0&quot;/&gt;&lt;wsp:rsid wsp:val=&quot;00344AAF&quot;/&gt;&lt;wsp:rsid wsp:val=&quot;00344F44&quot;/&gt;&lt;wsp:rsid wsp:val=&quot;00345782&quot;/&gt;&lt;wsp:rsid wsp:val=&quot;00345DB2&quot;/&gt;&lt;wsp:rsid wsp:val=&quot;0034772C&quot;/&gt;&lt;wsp:rsid wsp:val=&quot;0034780E&quot;/&gt;&lt;wsp:rsid wsp:val=&quot;00347865&quot;/&gt;&lt;wsp:rsid wsp:val=&quot;00347C67&quot;/&gt;&lt;wsp:rsid wsp:val=&quot;00351D78&quot;/&gt;&lt;wsp:rsid wsp:val=&quot;003521F1&quot;/&gt;&lt;wsp:rsid wsp:val=&quot;00353196&quot;/&gt;&lt;wsp:rsid wsp:val=&quot;00355456&quot;/&gt;&lt;wsp:rsid wsp:val=&quot;003555B2&quot;/&gt;&lt;wsp:rsid wsp:val=&quot;00356505&quot;/&gt;&lt;wsp:rsid wsp:val=&quot;00356727&quot;/&gt;&lt;wsp:rsid wsp:val=&quot;00356E51&quot;/&gt;&lt;wsp:rsid wsp:val=&quot;00357A8F&quot;/&gt;&lt;wsp:rsid wsp:val=&quot;00357A9C&quot;/&gt;&lt;wsp:rsid wsp:val=&quot;0036142F&quot;/&gt;&lt;wsp:rsid wsp:val=&quot;00362AF6&quot;/&gt;&lt;wsp:rsid wsp:val=&quot;00363057&quot;/&gt;&lt;wsp:rsid wsp:val=&quot;00363B4D&quot;/&gt;&lt;wsp:rsid wsp:val=&quot;00363FAF&quot;/&gt;&lt;wsp:rsid wsp:val=&quot;00364047&quot;/&gt;&lt;wsp:rsid wsp:val=&quot;0036533A&quot;/&gt;&lt;wsp:rsid wsp:val=&quot;00365352&quot;/&gt;&lt;wsp:rsid wsp:val=&quot;00365AD9&quot;/&gt;&lt;wsp:rsid wsp:val=&quot;00365EA2&quot;/&gt;&lt;wsp:rsid wsp:val=&quot;003669E0&quot;/&gt;&lt;wsp:rsid wsp:val=&quot;00366FAD&quot;/&gt;&lt;wsp:rsid wsp:val=&quot;00367090&quot;/&gt;&lt;wsp:rsid wsp:val=&quot;0036766E&quot;/&gt;&lt;wsp:rsid wsp:val=&quot;00367A74&quot;/&gt;&lt;wsp:rsid wsp:val=&quot;003721C6&quot;/&gt;&lt;wsp:rsid wsp:val=&quot;00372B75&quot;/&gt;&lt;wsp:rsid wsp:val=&quot;00372DB4&quot;/&gt;&lt;wsp:rsid wsp:val=&quot;00372FB3&quot;/&gt;&lt;wsp:rsid wsp:val=&quot;00373466&quot;/&gt;&lt;wsp:rsid wsp:val=&quot;003734DB&quot;/&gt;&lt;wsp:rsid wsp:val=&quot;00373711&quot;/&gt;&lt;wsp:rsid wsp:val=&quot;00373ABB&quot;/&gt;&lt;wsp:rsid wsp:val=&quot;00373B7E&quot;/&gt;&lt;wsp:rsid wsp:val=&quot;003758C6&quot;/&gt;&lt;wsp:rsid wsp:val=&quot;00375A0F&quot;/&gt;&lt;wsp:rsid wsp:val=&quot;00376410&quot;/&gt;&lt;wsp:rsid wsp:val=&quot;00377B01&quot;/&gt;&lt;wsp:rsid wsp:val=&quot;0038087E&quot;/&gt;&lt;wsp:rsid wsp:val=&quot;00380BAF&quot;/&gt;&lt;wsp:rsid wsp:val=&quot;00381FD1&quot;/&gt;&lt;wsp:rsid wsp:val=&quot;0038274A&quot;/&gt;&lt;wsp:rsid wsp:val=&quot;00383F29&quot;/&gt;&lt;wsp:rsid wsp:val=&quot;003844CB&quot;/&gt;&lt;wsp:rsid wsp:val=&quot;00384A11&quot;/&gt;&lt;wsp:rsid wsp:val=&quot;00384CC3&quot;/&gt;&lt;wsp:rsid wsp:val=&quot;003855E3&quot;/&gt;&lt;wsp:rsid wsp:val=&quot;00385AA1&quot;/&gt;&lt;wsp:rsid wsp:val=&quot;00385D23&quot;/&gt;&lt;wsp:rsid wsp:val=&quot;00385DB9&quot;/&gt;&lt;wsp:rsid wsp:val=&quot;003866D9&quot;/&gt;&lt;wsp:rsid wsp:val=&quot;0038674C&quot;/&gt;&lt;wsp:rsid wsp:val=&quot;003867D2&quot;/&gt;&lt;wsp:rsid wsp:val=&quot;0038685A&quot;/&gt;&lt;wsp:rsid wsp:val=&quot;00390195&quot;/&gt;&lt;wsp:rsid wsp:val=&quot;003906ED&quot;/&gt;&lt;wsp:rsid wsp:val=&quot;003909FE&quot;/&gt;&lt;wsp:rsid wsp:val=&quot;00390A84&quot;/&gt;&lt;wsp:rsid wsp:val=&quot;00390AF8&quot;/&gt;&lt;wsp:rsid wsp:val=&quot;003912F6&quot;/&gt;&lt;wsp:rsid wsp:val=&quot;00392662&quot;/&gt;&lt;wsp:rsid wsp:val=&quot;00393D89&quot;/&gt;&lt;wsp:rsid wsp:val=&quot;0039468A&quot;/&gt;&lt;wsp:rsid wsp:val=&quot;003963D7&quot;/&gt;&lt;wsp:rsid wsp:val=&quot;00396F65&quot;/&gt;&lt;wsp:rsid wsp:val=&quot;00397356&quot;/&gt;&lt;wsp:rsid wsp:val=&quot;003973EC&quot;/&gt;&lt;wsp:rsid wsp:val=&quot;00397541&quot;/&gt;&lt;wsp:rsid wsp:val=&quot;00397E05&quot;/&gt;&lt;wsp:rsid wsp:val=&quot;003A06B3&quot;/&gt;&lt;wsp:rsid wsp:val=&quot;003A1E1E&quot;/&gt;&lt;wsp:rsid wsp:val=&quot;003A20BD&quot;/&gt;&lt;wsp:rsid wsp:val=&quot;003A22ED&quot;/&gt;&lt;wsp:rsid wsp:val=&quot;003A2844&quot;/&gt;&lt;wsp:rsid wsp:val=&quot;003A3B97&quot;/&gt;&lt;wsp:rsid wsp:val=&quot;003A3BF0&quot;/&gt;&lt;wsp:rsid wsp:val=&quot;003A3C64&quot;/&gt;&lt;wsp:rsid wsp:val=&quot;003A44B9&quot;/&gt;&lt;wsp:rsid wsp:val=&quot;003A4A19&quot;/&gt;&lt;wsp:rsid wsp:val=&quot;003A4C4E&quot;/&gt;&lt;wsp:rsid wsp:val=&quot;003A4E57&quot;/&gt;&lt;wsp:rsid wsp:val=&quot;003A5E63&quot;/&gt;&lt;wsp:rsid wsp:val=&quot;003A6946&quot;/&gt;&lt;wsp:rsid wsp:val=&quot;003A69C6&quot;/&gt;&lt;wsp:rsid wsp:val=&quot;003A6E31&quot;/&gt;&lt;wsp:rsid wsp:val=&quot;003A709F&quot;/&gt;&lt;wsp:rsid wsp:val=&quot;003B01A4&quot;/&gt;&lt;wsp:rsid wsp:val=&quot;003B0AB6&quot;/&gt;&lt;wsp:rsid wsp:val=&quot;003B18C3&quot;/&gt;&lt;wsp:rsid wsp:val=&quot;003B1987&quot;/&gt;&lt;wsp:rsid wsp:val=&quot;003B1E28&quot;/&gt;&lt;wsp:rsid wsp:val=&quot;003B2C70&quot;/&gt;&lt;wsp:rsid wsp:val=&quot;003B41D1&quot;/&gt;&lt;wsp:rsid wsp:val=&quot;003B45F9&quot;/&gt;&lt;wsp:rsid wsp:val=&quot;003B5A67&quot;/&gt;&lt;wsp:rsid wsp:val=&quot;003B5C17&quot;/&gt;&lt;wsp:rsid wsp:val=&quot;003B68C9&quot;/&gt;&lt;wsp:rsid wsp:val=&quot;003C01A0&quot;/&gt;&lt;wsp:rsid wsp:val=&quot;003C0D51&quot;/&gt;&lt;wsp:rsid wsp:val=&quot;003C250A&quot;/&gt;&lt;wsp:rsid wsp:val=&quot;003C3A26&quot;/&gt;&lt;wsp:rsid wsp:val=&quot;003C3F35&quot;/&gt;&lt;wsp:rsid wsp:val=&quot;003C4424&quot;/&gt;&lt;wsp:rsid wsp:val=&quot;003C4832&quot;/&gt;&lt;wsp:rsid wsp:val=&quot;003C4B7E&quot;/&gt;&lt;wsp:rsid wsp:val=&quot;003C53C6&quot;/&gt;&lt;wsp:rsid wsp:val=&quot;003C5672&quot;/&gt;&lt;wsp:rsid wsp:val=&quot;003C5A36&quot;/&gt;&lt;wsp:rsid wsp:val=&quot;003C6331&quot;/&gt;&lt;wsp:rsid wsp:val=&quot;003C6CB7&quot;/&gt;&lt;wsp:rsid wsp:val=&quot;003C6E87&quot;/&gt;&lt;wsp:rsid wsp:val=&quot;003C757C&quot;/&gt;&lt;wsp:rsid wsp:val=&quot;003C762F&quot;/&gt;&lt;wsp:rsid wsp:val=&quot;003C7EB4&quot;/&gt;&lt;wsp:rsid wsp:val=&quot;003D01F4&quot;/&gt;&lt;wsp:rsid wsp:val=&quot;003D0699&quot;/&gt;&lt;wsp:rsid wsp:val=&quot;003D1B29&quot;/&gt;&lt;wsp:rsid wsp:val=&quot;003D1B52&quot;/&gt;&lt;wsp:rsid wsp:val=&quot;003D33C1&quot;/&gt;&lt;wsp:rsid wsp:val=&quot;003D3FB1&quot;/&gt;&lt;wsp:rsid wsp:val=&quot;003D417A&quot;/&gt;&lt;wsp:rsid wsp:val=&quot;003D45AB&quot;/&gt;&lt;wsp:rsid wsp:val=&quot;003D5097&quot;/&gt;&lt;wsp:rsid wsp:val=&quot;003D59C1&quot;/&gt;&lt;wsp:rsid wsp:val=&quot;003D5D7F&quot;/&gt;&lt;wsp:rsid wsp:val=&quot;003D5E61&quot;/&gt;&lt;wsp:rsid wsp:val=&quot;003D728F&quot;/&gt;&lt;wsp:rsid wsp:val=&quot;003D7DD3&quot;/&gt;&lt;wsp:rsid wsp:val=&quot;003D7E31&quot;/&gt;&lt;wsp:rsid wsp:val=&quot;003E02A0&quot;/&gt;&lt;wsp:rsid wsp:val=&quot;003E068E&quot;/&gt;&lt;wsp:rsid wsp:val=&quot;003E1A22&quot;/&gt;&lt;wsp:rsid wsp:val=&quot;003E1DE8&quot;/&gt;&lt;wsp:rsid wsp:val=&quot;003E25DA&quot;/&gt;&lt;wsp:rsid wsp:val=&quot;003E3214&quot;/&gt;&lt;wsp:rsid wsp:val=&quot;003E37BB&quot;/&gt;&lt;wsp:rsid wsp:val=&quot;003E3C3E&quot;/&gt;&lt;wsp:rsid wsp:val=&quot;003E61D3&quot;/&gt;&lt;wsp:rsid wsp:val=&quot;003F2528&quot;/&gt;&lt;wsp:rsid wsp:val=&quot;003F27A1&quot;/&gt;&lt;wsp:rsid wsp:val=&quot;003F2863&quot;/&gt;&lt;wsp:rsid wsp:val=&quot;003F457A&quot;/&gt;&lt;wsp:rsid wsp:val=&quot;003F60F9&quot;/&gt;&lt;wsp:rsid wsp:val=&quot;003F6568&quot;/&gt;&lt;wsp:rsid wsp:val=&quot;003F68CF&quot;/&gt;&lt;wsp:rsid wsp:val=&quot;003F697C&quot;/&gt;&lt;wsp:rsid wsp:val=&quot;003F6E03&quot;/&gt;&lt;wsp:rsid wsp:val=&quot;003F7E78&quot;/&gt;&lt;wsp:rsid wsp:val=&quot;0040150C&quot;/&gt;&lt;wsp:rsid wsp:val=&quot;00402988&quot;/&gt;&lt;wsp:rsid wsp:val=&quot;00402FB1&quot;/&gt;&lt;wsp:rsid wsp:val=&quot;0040328C&quot;/&gt;&lt;wsp:rsid wsp:val=&quot;004048A2&quot;/&gt;&lt;wsp:rsid wsp:val=&quot;00404B13&quot;/&gt;&lt;wsp:rsid wsp:val=&quot;00405751&quot;/&gt;&lt;wsp:rsid wsp:val=&quot;00405C5C&quot;/&gt;&lt;wsp:rsid wsp:val=&quot;0040611B&quot;/&gt;&lt;wsp:rsid wsp:val=&quot;0040711B&quot;/&gt;&lt;wsp:rsid wsp:val=&quot;0040776B&quot;/&gt;&lt;wsp:rsid wsp:val=&quot;00407B15&quot;/&gt;&lt;wsp:rsid wsp:val=&quot;004111E2&quot;/&gt;&lt;wsp:rsid wsp:val=&quot;00411233&quot;/&gt;&lt;wsp:rsid wsp:val=&quot;00411451&quot;/&gt;&lt;wsp:rsid wsp:val=&quot;00412047&quot;/&gt;&lt;wsp:rsid wsp:val=&quot;00412154&quot;/&gt;&lt;wsp:rsid wsp:val=&quot;00412736&quot;/&gt;&lt;wsp:rsid wsp:val=&quot;00412B56&quot;/&gt;&lt;wsp:rsid wsp:val=&quot;004135FC&quot;/&gt;&lt;wsp:rsid wsp:val=&quot;0041442E&quot;/&gt;&lt;wsp:rsid wsp:val=&quot;00414538&quot;/&gt;&lt;wsp:rsid wsp:val=&quot;00414F82&quot;/&gt;&lt;wsp:rsid wsp:val=&quot;004150E5&quot;/&gt;&lt;wsp:rsid wsp:val=&quot;004156DD&quot;/&gt;&lt;wsp:rsid wsp:val=&quot;004158EC&quot;/&gt;&lt;wsp:rsid wsp:val=&quot;00415959&quot;/&gt;&lt;wsp:rsid wsp:val=&quot;00415F49&quot;/&gt;&lt;wsp:rsid wsp:val=&quot;004169D7&quot;/&gt;&lt;wsp:rsid wsp:val=&quot;00416B8D&quot;/&gt;&lt;wsp:rsid wsp:val=&quot;00417307&quot;/&gt;&lt;wsp:rsid wsp:val=&quot;00417398&quot;/&gt;&lt;wsp:rsid wsp:val=&quot;00417410&quot;/&gt;&lt;wsp:rsid wsp:val=&quot;004174D5&quot;/&gt;&lt;wsp:rsid wsp:val=&quot;00420316&quot;/&gt;&lt;wsp:rsid wsp:val=&quot;00420E2A&quot;/&gt;&lt;wsp:rsid wsp:val=&quot;00421D5C&quot;/&gt;&lt;wsp:rsid wsp:val=&quot;00422E7F&quot;/&gt;&lt;wsp:rsid wsp:val=&quot;004236BF&quot;/&gt;&lt;wsp:rsid wsp:val=&quot;00423C9F&quot;/&gt;&lt;wsp:rsid wsp:val=&quot;0042473C&quot;/&gt;&lt;wsp:rsid wsp:val=&quot;0042513D&quot;/&gt;&lt;wsp:rsid wsp:val=&quot;00425526&quot;/&gt;&lt;wsp:rsid wsp:val=&quot;00425872&quot;/&gt;&lt;wsp:rsid wsp:val=&quot;00426025&quot;/&gt;&lt;wsp:rsid wsp:val=&quot;00426B6C&quot;/&gt;&lt;wsp:rsid wsp:val=&quot;00426BA2&quot;/&gt;&lt;wsp:rsid wsp:val=&quot;00426D56&quot;/&gt;&lt;wsp:rsid wsp:val=&quot;004275D3&quot;/&gt;&lt;wsp:rsid wsp:val=&quot;00430235&quot;/&gt;&lt;wsp:rsid wsp:val=&quot;00430285&quot;/&gt;&lt;wsp:rsid wsp:val=&quot;00430333&quot;/&gt;&lt;wsp:rsid wsp:val=&quot;0043165A&quot;/&gt;&lt;wsp:rsid wsp:val=&quot;00431B1D&quot;/&gt;&lt;wsp:rsid wsp:val=&quot;004334AE&quot;/&gt;&lt;wsp:rsid wsp:val=&quot;004334D7&quot;/&gt;&lt;wsp:rsid wsp:val=&quot;00433CC0&quot;/&gt;&lt;wsp:rsid wsp:val=&quot;00434E02&quot;/&gt;&lt;wsp:rsid wsp:val=&quot;00435842&quot;/&gt;&lt;wsp:rsid wsp:val=&quot;004364B4&quot;/&gt;&lt;wsp:rsid wsp:val=&quot;00437C1B&quot;/&gt;&lt;wsp:rsid wsp:val=&quot;00437DD1&quot;/&gt;&lt;wsp:rsid wsp:val=&quot;004401B1&quot;/&gt;&lt;wsp:rsid wsp:val=&quot;004403FC&quot;/&gt;&lt;wsp:rsid wsp:val=&quot;0044093B&quot;/&gt;&lt;wsp:rsid wsp:val=&quot;00440CC9&quot;/&gt;&lt;wsp:rsid wsp:val=&quot;00440D59&quot;/&gt;&lt;wsp:rsid wsp:val=&quot;00440EA7&quot;/&gt;&lt;wsp:rsid wsp:val=&quot;0044172C&quot;/&gt;&lt;wsp:rsid wsp:val=&quot;00441E5A&quot;/&gt;&lt;wsp:rsid wsp:val=&quot;00441FC5&quot;/&gt;&lt;wsp:rsid wsp:val=&quot;00442728&quot;/&gt;&lt;wsp:rsid wsp:val=&quot;00442EE9&quot;/&gt;&lt;wsp:rsid wsp:val=&quot;004431E4&quot;/&gt;&lt;wsp:rsid wsp:val=&quot;004442B0&quot;/&gt;&lt;wsp:rsid wsp:val=&quot;00444A72&quot;/&gt;&lt;wsp:rsid wsp:val=&quot;004453CC&quot;/&gt;&lt;wsp:rsid wsp:val=&quot;0044627D&quot;/&gt;&lt;wsp:rsid wsp:val=&quot;004470F8&quot;/&gt;&lt;wsp:rsid wsp:val=&quot;00447D31&quot;/&gt;&lt;wsp:rsid wsp:val=&quot;00450AA1&quot;/&gt;&lt;wsp:rsid wsp:val=&quot;00450BD4&quot;/&gt;&lt;wsp:rsid wsp:val=&quot;00451395&quot;/&gt;&lt;wsp:rsid wsp:val=&quot;00451A98&quot;/&gt;&lt;wsp:rsid wsp:val=&quot;00451C21&quot;/&gt;&lt;wsp:rsid wsp:val=&quot;00451D76&quot;/&gt;&lt;wsp:rsid wsp:val=&quot;00451EA7&quot;/&gt;&lt;wsp:rsid wsp:val=&quot;004524AE&quot;/&gt;&lt;wsp:rsid wsp:val=&quot;00453413&quot;/&gt;&lt;wsp:rsid wsp:val=&quot;004535EA&quot;/&gt;&lt;wsp:rsid wsp:val=&quot;00453DDB&quot;/&gt;&lt;wsp:rsid wsp:val=&quot;00453DF1&quot;/&gt;&lt;wsp:rsid wsp:val=&quot;00454131&quot;/&gt;&lt;wsp:rsid wsp:val=&quot;00454333&quot;/&gt;&lt;wsp:rsid wsp:val=&quot;0045442A&quot;/&gt;&lt;wsp:rsid wsp:val=&quot;00455917&quot;/&gt;&lt;wsp:rsid wsp:val=&quot;00455D4D&quot;/&gt;&lt;wsp:rsid wsp:val=&quot;00455EF7&quot;/&gt;&lt;wsp:rsid wsp:val=&quot;00456275&quot;/&gt;&lt;wsp:rsid wsp:val=&quot;00456816&quot;/&gt;&lt;wsp:rsid wsp:val=&quot;00456A68&quot;/&gt;&lt;wsp:rsid wsp:val=&quot;00457BB1&quot;/&gt;&lt;wsp:rsid wsp:val=&quot;0046023D&quot;/&gt;&lt;wsp:rsid wsp:val=&quot;0046044F&quot;/&gt;&lt;wsp:rsid wsp:val=&quot;00460DFD&quot;/&gt;&lt;wsp:rsid wsp:val=&quot;00461263&quot;/&gt;&lt;wsp:rsid wsp:val=&quot;00461A78&quot;/&gt;&lt;wsp:rsid wsp:val=&quot;0046219B&quot;/&gt;&lt;wsp:rsid wsp:val=&quot;004622EA&quot;/&gt;&lt;wsp:rsid wsp:val=&quot;004629C1&quot;/&gt;&lt;wsp:rsid wsp:val=&quot;00462A20&quot;/&gt;&lt;wsp:rsid wsp:val=&quot;00462C00&quot;/&gt;&lt;wsp:rsid wsp:val=&quot;004637D9&quot;/&gt;&lt;wsp:rsid wsp:val=&quot;00464425&quot;/&gt;&lt;wsp:rsid wsp:val=&quot;004644B7&quot;/&gt;&lt;wsp:rsid wsp:val=&quot;00464B1D&quot;/&gt;&lt;wsp:rsid wsp:val=&quot;004651BF&quot;/&gt;&lt;wsp:rsid wsp:val=&quot;00465F17&quot;/&gt;&lt;wsp:rsid wsp:val=&quot;00466A26&quot;/&gt;&lt;wsp:rsid wsp:val=&quot;00466FED&quot;/&gt;&lt;wsp:rsid wsp:val=&quot;004675D1&quot;/&gt;&lt;wsp:rsid wsp:val=&quot;00470529&quot;/&gt;&lt;wsp:rsid wsp:val=&quot;00470E29&quot;/&gt;&lt;wsp:rsid wsp:val=&quot;00471D36&quot;/&gt;&lt;wsp:rsid wsp:val=&quot;00471FF3&quot;/&gt;&lt;wsp:rsid wsp:val=&quot;00472C20&quot;/&gt;&lt;wsp:rsid wsp:val=&quot;00472CE5&quot;/&gt;&lt;wsp:rsid wsp:val=&quot;00472DBA&quot;/&gt;&lt;wsp:rsid wsp:val=&quot;00473062&quot;/&gt;&lt;wsp:rsid wsp:val=&quot;00473A88&quot;/&gt;&lt;wsp:rsid wsp:val=&quot;00474123&quot;/&gt;&lt;wsp:rsid wsp:val=&quot;00474764&quot;/&gt;&lt;wsp:rsid wsp:val=&quot;00474EB5&quot;/&gt;&lt;wsp:rsid wsp:val=&quot;0047548E&quot;/&gt;&lt;wsp:rsid wsp:val=&quot;00475B88&quot;/&gt;&lt;wsp:rsid wsp:val=&quot;00475DD1&quot;/&gt;&lt;wsp:rsid wsp:val=&quot;0047652D&quot;/&gt;&lt;wsp:rsid wsp:val=&quot;004770A7&quot;/&gt;&lt;wsp:rsid wsp:val=&quot;004778AB&quot;/&gt;&lt;wsp:rsid wsp:val=&quot;004801D9&quot;/&gt;&lt;wsp:rsid wsp:val=&quot;00480B51&quot;/&gt;&lt;wsp:rsid wsp:val=&quot;00480EF1&quot;/&gt;&lt;wsp:rsid wsp:val=&quot;0048186F&quot;/&gt;&lt;wsp:rsid wsp:val=&quot;00482571&quot;/&gt;&lt;wsp:rsid wsp:val=&quot;004827A5&quot;/&gt;&lt;wsp:rsid wsp:val=&quot;004830F7&quot;/&gt;&lt;wsp:rsid wsp:val=&quot;00483129&quot;/&gt;&lt;wsp:rsid wsp:val=&quot;004837FB&quot;/&gt;&lt;wsp:rsid wsp:val=&quot;00483B5C&quot;/&gt;&lt;wsp:rsid wsp:val=&quot;004847AF&quot;/&gt;&lt;wsp:rsid wsp:val=&quot;004848A9&quot;/&gt;&lt;wsp:rsid wsp:val=&quot;00485447&quot;/&gt;&lt;wsp:rsid wsp:val=&quot;00485547&quot;/&gt;&lt;wsp:rsid wsp:val=&quot;00485B4A&quot;/&gt;&lt;wsp:rsid wsp:val=&quot;00485D94&quot;/&gt;&lt;wsp:rsid wsp:val=&quot;00486410&quot;/&gt;&lt;wsp:rsid wsp:val=&quot;00486524&quot;/&gt;&lt;wsp:rsid wsp:val=&quot;00486AB8&quot;/&gt;&lt;wsp:rsid wsp:val=&quot;00486DEE&quot;/&gt;&lt;wsp:rsid wsp:val=&quot;004875B5&quot;/&gt;&lt;wsp:rsid wsp:val=&quot;00487FC0&quot;/&gt;&lt;wsp:rsid wsp:val=&quot;004910BC&quot;/&gt;&lt;wsp:rsid wsp:val=&quot;0049135A&quot;/&gt;&lt;wsp:rsid wsp:val=&quot;0049193A&quot;/&gt;&lt;wsp:rsid wsp:val=&quot;00491C2D&quot;/&gt;&lt;wsp:rsid wsp:val=&quot;00491F51&quot;/&gt;&lt;wsp:rsid wsp:val=&quot;00492262&quot;/&gt;&lt;wsp:rsid wsp:val=&quot;00493011&quot;/&gt;&lt;wsp:rsid wsp:val=&quot;00493687&quot;/&gt;&lt;wsp:rsid wsp:val=&quot;004944FF&quot;/&gt;&lt;wsp:rsid wsp:val=&quot;00494555&quot;/&gt;&lt;wsp:rsid wsp:val=&quot;004948AC&quot;/&gt;&lt;wsp:rsid wsp:val=&quot;00494C2B&quot;/&gt;&lt;wsp:rsid wsp:val=&quot;00496307&quot;/&gt;&lt;wsp:rsid wsp:val=&quot;0049699B&quot;/&gt;&lt;wsp:rsid wsp:val=&quot;00497F64&quot;/&gt;&lt;wsp:rsid wsp:val=&quot;004A0715&quot;/&gt;&lt;wsp:rsid wsp:val=&quot;004A1DFB&quot;/&gt;&lt;wsp:rsid wsp:val=&quot;004A230F&quot;/&gt;&lt;wsp:rsid wsp:val=&quot;004A283B&quot;/&gt;&lt;wsp:rsid wsp:val=&quot;004A2CD1&quot;/&gt;&lt;wsp:rsid wsp:val=&quot;004A406D&quot;/&gt;&lt;wsp:rsid wsp:val=&quot;004A4E20&quot;/&gt;&lt;wsp:rsid wsp:val=&quot;004A517E&quot;/&gt;&lt;wsp:rsid wsp:val=&quot;004A5747&quot;/&gt;&lt;wsp:rsid wsp:val=&quot;004A7DFA&quot;/&gt;&lt;wsp:rsid wsp:val=&quot;004B0CAF&quot;/&gt;&lt;wsp:rsid wsp:val=&quot;004B173D&quot;/&gt;&lt;wsp:rsid wsp:val=&quot;004B1F2D&quot;/&gt;&lt;wsp:rsid wsp:val=&quot;004B26BF&quot;/&gt;&lt;wsp:rsid wsp:val=&quot;004B2D3A&quot;/&gt;&lt;wsp:rsid wsp:val=&quot;004B32AF&quot;/&gt;&lt;wsp:rsid wsp:val=&quot;004B3CEB&quot;/&gt;&lt;wsp:rsid wsp:val=&quot;004B41C4&quot;/&gt;&lt;wsp:rsid wsp:val=&quot;004B46D5&quot;/&gt;&lt;wsp:rsid wsp:val=&quot;004B4D63&quot;/&gt;&lt;wsp:rsid wsp:val=&quot;004B520B&quot;/&gt;&lt;wsp:rsid wsp:val=&quot;004B55F0&quot;/&gt;&lt;wsp:rsid wsp:val=&quot;004B5E43&quot;/&gt;&lt;wsp:rsid wsp:val=&quot;004B6371&quot;/&gt;&lt;wsp:rsid wsp:val=&quot;004B638D&quot;/&gt;&lt;wsp:rsid wsp:val=&quot;004B67FA&quot;/&gt;&lt;wsp:rsid wsp:val=&quot;004B777A&quot;/&gt;&lt;wsp:rsid wsp:val=&quot;004B7BD0&quot;/&gt;&lt;wsp:rsid wsp:val=&quot;004C00AA&quot;/&gt;&lt;wsp:rsid wsp:val=&quot;004C01D2&quot;/&gt;&lt;wsp:rsid wsp:val=&quot;004C096F&quot;/&gt;&lt;wsp:rsid wsp:val=&quot;004C0C5D&quot;/&gt;&lt;wsp:rsid wsp:val=&quot;004C0D35&quot;/&gt;&lt;wsp:rsid wsp:val=&quot;004C1255&quot;/&gt;&lt;wsp:rsid wsp:val=&quot;004C2429&quot;/&gt;&lt;wsp:rsid wsp:val=&quot;004C29A7&quot;/&gt;&lt;wsp:rsid wsp:val=&quot;004C36FA&quot;/&gt;&lt;wsp:rsid wsp:val=&quot;004C4A20&quot;/&gt;&lt;wsp:rsid wsp:val=&quot;004C7288&quot;/&gt;&lt;wsp:rsid wsp:val=&quot;004C7DB4&quot;/&gt;&lt;wsp:rsid wsp:val=&quot;004C7E29&quot;/&gt;&lt;wsp:rsid wsp:val=&quot;004D1A77&quot;/&gt;&lt;wsp:rsid wsp:val=&quot;004D1A8E&quot;/&gt;&lt;wsp:rsid wsp:val=&quot;004D28A4&quot;/&gt;&lt;wsp:rsid wsp:val=&quot;004D3304&quot;/&gt;&lt;wsp:rsid wsp:val=&quot;004D3533&quot;/&gt;&lt;wsp:rsid wsp:val=&quot;004D494F&quot;/&gt;&lt;wsp:rsid wsp:val=&quot;004D4979&quot;/&gt;&lt;wsp:rsid wsp:val=&quot;004D4A44&quot;/&gt;&lt;wsp:rsid wsp:val=&quot;004D5885&quot;/&gt;&lt;wsp:rsid wsp:val=&quot;004D59D9&quot;/&gt;&lt;wsp:rsid wsp:val=&quot;004D5F59&quot;/&gt;&lt;wsp:rsid wsp:val=&quot;004D708B&quot;/&gt;&lt;wsp:rsid wsp:val=&quot;004D74F4&quot;/&gt;&lt;wsp:rsid wsp:val=&quot;004D7CE6&quot;/&gt;&lt;wsp:rsid wsp:val=&quot;004E0391&quot;/&gt;&lt;wsp:rsid wsp:val=&quot;004E2243&quot;/&gt;&lt;wsp:rsid wsp:val=&quot;004E2611&quot;/&gt;&lt;wsp:rsid wsp:val=&quot;004E2AF7&quot;/&gt;&lt;wsp:rsid wsp:val=&quot;004E2CDF&quot;/&gt;&lt;wsp:rsid wsp:val=&quot;004E3C44&quot;/&gt;&lt;wsp:rsid wsp:val=&quot;004E46C5&quot;/&gt;&lt;wsp:rsid wsp:val=&quot;004E505E&quot;/&gt;&lt;wsp:rsid wsp:val=&quot;004F07C2&quot;/&gt;&lt;wsp:rsid wsp:val=&quot;004F0DAF&quot;/&gt;&lt;wsp:rsid wsp:val=&quot;004F0FCF&quot;/&gt;&lt;wsp:rsid wsp:val=&quot;004F11E6&quot;/&gt;&lt;wsp:rsid wsp:val=&quot;004F1627&quot;/&gt;&lt;wsp:rsid wsp:val=&quot;004F280C&quot;/&gt;&lt;wsp:rsid wsp:val=&quot;004F2816&quot;/&gt;&lt;wsp:rsid wsp:val=&quot;004F2829&quot;/&gt;&lt;wsp:rsid wsp:val=&quot;004F2D6D&quot;/&gt;&lt;wsp:rsid wsp:val=&quot;004F32FC&quot;/&gt;&lt;wsp:rsid wsp:val=&quot;004F33F8&quot;/&gt;&lt;wsp:rsid wsp:val=&quot;004F354B&quot;/&gt;&lt;wsp:rsid wsp:val=&quot;004F3AC8&quot;/&gt;&lt;wsp:rsid wsp:val=&quot;004F424D&quot;/&gt;&lt;wsp:rsid wsp:val=&quot;004F4317&quot;/&gt;&lt;wsp:rsid wsp:val=&quot;004F582D&quot;/&gt;&lt;wsp:rsid wsp:val=&quot;004F586F&quot;/&gt;&lt;wsp:rsid wsp:val=&quot;004F5A51&quot;/&gt;&lt;wsp:rsid wsp:val=&quot;004F6779&quot;/&gt;&lt;wsp:rsid wsp:val=&quot;004F67F4&quot;/&gt;&lt;wsp:rsid wsp:val=&quot;004F6D23&quot;/&gt;&lt;wsp:rsid wsp:val=&quot;004F7263&quot;/&gt;&lt;wsp:rsid wsp:val=&quot;004F78A8&quot;/&gt;&lt;wsp:rsid wsp:val=&quot;0050054E&quot;/&gt;&lt;wsp:rsid wsp:val=&quot;0050064D&quot;/&gt;&lt;wsp:rsid wsp:val=&quot;0050086F&quot;/&gt;&lt;wsp:rsid wsp:val=&quot;00500E8D&quot;/&gt;&lt;wsp:rsid wsp:val=&quot;00500EF4&quot;/&gt;&lt;wsp:rsid wsp:val=&quot;0050125F&quot;/&gt;&lt;wsp:rsid wsp:val=&quot;005012B6&quot;/&gt;&lt;wsp:rsid wsp:val=&quot;00502991&quot;/&gt;&lt;wsp:rsid wsp:val=&quot;00502F0C&quot;/&gt;&lt;wsp:rsid wsp:val=&quot;0050727C&quot;/&gt;&lt;wsp:rsid wsp:val=&quot;005072F1&quot;/&gt;&lt;wsp:rsid wsp:val=&quot;00507DDB&quot;/&gt;&lt;wsp:rsid wsp:val=&quot;00510EBF&quot;/&gt;&lt;wsp:rsid wsp:val=&quot;00511523&quot;/&gt;&lt;wsp:rsid wsp:val=&quot;005117D0&quot;/&gt;&lt;wsp:rsid wsp:val=&quot;005129D7&quot;/&gt;&lt;wsp:rsid wsp:val=&quot;00512A30&quot;/&gt;&lt;wsp:rsid wsp:val=&quot;00512DA5&quot;/&gt;&lt;wsp:rsid wsp:val=&quot;00512F5D&quot;/&gt;&lt;wsp:rsid wsp:val=&quot;00513878&quot;/&gt;&lt;wsp:rsid wsp:val=&quot;00514541&quot;/&gt;&lt;wsp:rsid wsp:val=&quot;005153BC&quot;/&gt;&lt;wsp:rsid wsp:val=&quot;005156A5&quot;/&gt;&lt;wsp:rsid wsp:val=&quot;00516706&quot;/&gt;&lt;wsp:rsid wsp:val=&quot;0051670F&quot;/&gt;&lt;wsp:rsid wsp:val=&quot;005169B5&quot;/&gt;&lt;wsp:rsid wsp:val=&quot;00516ABC&quot;/&gt;&lt;wsp:rsid wsp:val=&quot;00517AF4&quot;/&gt;&lt;wsp:rsid wsp:val=&quot;00517F8A&quot;/&gt;&lt;wsp:rsid wsp:val=&quot;005203E0&quot;/&gt;&lt;wsp:rsid wsp:val=&quot;005211C4&quot;/&gt;&lt;wsp:rsid wsp:val=&quot;0052132E&quot;/&gt;&lt;wsp:rsid wsp:val=&quot;00522149&quot;/&gt;&lt;wsp:rsid wsp:val=&quot;005223A4&quot;/&gt;&lt;wsp:rsid wsp:val=&quot;00522E0A&quot;/&gt;&lt;wsp:rsid wsp:val=&quot;00523807&quot;/&gt;&lt;wsp:rsid wsp:val=&quot;005238D6&quot;/&gt;&lt;wsp:rsid wsp:val=&quot;005241AD&quot;/&gt;&lt;wsp:rsid wsp:val=&quot;00524970&quot;/&gt;&lt;wsp:rsid wsp:val=&quot;00524A94&quot;/&gt;&lt;wsp:rsid wsp:val=&quot;00524B15&quot;/&gt;&lt;wsp:rsid wsp:val=&quot;00525DF1&quot;/&gt;&lt;wsp:rsid wsp:val=&quot;0052616F&quot;/&gt;&lt;wsp:rsid wsp:val=&quot;0052619C&quot;/&gt;&lt;wsp:rsid wsp:val=&quot;005263CF&quot;/&gt;&lt;wsp:rsid wsp:val=&quot;0052681E&quot;/&gt;&lt;wsp:rsid wsp:val=&quot;00526FA7&quot;/&gt;&lt;wsp:rsid wsp:val=&quot;00527943&quot;/&gt;&lt;wsp:rsid wsp:val=&quot;005304D4&quot;/&gt;&lt;wsp:rsid wsp:val=&quot;00530901&quot;/&gt;&lt;wsp:rsid wsp:val=&quot;00531DBC&quot;/&gt;&lt;wsp:rsid wsp:val=&quot;00532BC2&quot;/&gt;&lt;wsp:rsid wsp:val=&quot;00533454&quot;/&gt;&lt;wsp:rsid wsp:val=&quot;00533A07&quot;/&gt;&lt;wsp:rsid wsp:val=&quot;00533DFF&quot;/&gt;&lt;wsp:rsid wsp:val=&quot;00533E76&quot;/&gt;&lt;wsp:rsid wsp:val=&quot;005359EF&quot;/&gt;&lt;wsp:rsid wsp:val=&quot;0053602B&quot;/&gt;&lt;wsp:rsid wsp:val=&quot;005366C1&quot;/&gt;&lt;wsp:rsid wsp:val=&quot;00536FBE&quot;/&gt;&lt;wsp:rsid wsp:val=&quot;00537111&quot;/&gt;&lt;wsp:rsid wsp:val=&quot;00537DA0&quot;/&gt;&lt;wsp:rsid wsp:val=&quot;00540C7B&quot;/&gt;&lt;wsp:rsid wsp:val=&quot;00540CE0&quot;/&gt;&lt;wsp:rsid wsp:val=&quot;00541921&quot;/&gt;&lt;wsp:rsid wsp:val=&quot;005427EF&quot;/&gt;&lt;wsp:rsid wsp:val=&quot;00543D01&quot;/&gt;&lt;wsp:rsid wsp:val=&quot;00543DB5&quot;/&gt;&lt;wsp:rsid wsp:val=&quot;00543F5F&quot;/&gt;&lt;wsp:rsid wsp:val=&quot;005448DE&quot;/&gt;&lt;wsp:rsid wsp:val=&quot;00544C87&quot;/&gt;&lt;wsp:rsid wsp:val=&quot;00545246&quot;/&gt;&lt;wsp:rsid wsp:val=&quot;005456AA&quot;/&gt;&lt;wsp:rsid wsp:val=&quot;00545A66&quot;/&gt;&lt;wsp:rsid wsp:val=&quot;00546628&quot;/&gt;&lt;wsp:rsid wsp:val=&quot;0054722A&quot;/&gt;&lt;wsp:rsid wsp:val=&quot;005478CC&quot;/&gt;&lt;wsp:rsid wsp:val=&quot;0055052A&quot;/&gt;&lt;wsp:rsid wsp:val=&quot;00551AB2&quot;/&gt;&lt;wsp:rsid wsp:val=&quot;00552F79&quot;/&gt;&lt;wsp:rsid wsp:val=&quot;0055337F&quot;/&gt;&lt;wsp:rsid wsp:val=&quot;00553C5A&quot;/&gt;&lt;wsp:rsid wsp:val=&quot;00554215&quot;/&gt;&lt;wsp:rsid wsp:val=&quot;005547EC&quot;/&gt;&lt;wsp:rsid wsp:val=&quot;00554923&quot;/&gt;&lt;wsp:rsid wsp:val=&quot;00554B44&quot;/&gt;&lt;wsp:rsid wsp:val=&quot;00554CFB&quot;/&gt;&lt;wsp:rsid wsp:val=&quot;00555FC9&quot;/&gt;&lt;wsp:rsid wsp:val=&quot;005562AB&quot;/&gt;&lt;wsp:rsid wsp:val=&quot;00560437&quot;/&gt;&lt;wsp:rsid wsp:val=&quot;005607FF&quot;/&gt;&lt;wsp:rsid wsp:val=&quot;00560D81&quot;/&gt;&lt;wsp:rsid wsp:val=&quot;0056188B&quot;/&gt;&lt;wsp:rsid wsp:val=&quot;00562504&quot;/&gt;&lt;wsp:rsid wsp:val=&quot;00562543&quot;/&gt;&lt;wsp:rsid wsp:val=&quot;005629C8&quot;/&gt;&lt;wsp:rsid wsp:val=&quot;00563434&quot;/&gt;&lt;wsp:rsid wsp:val=&quot;00563575&quot;/&gt;&lt;wsp:rsid wsp:val=&quot;0056430B&quot;/&gt;&lt;wsp:rsid wsp:val=&quot;00564310&quot;/&gt;&lt;wsp:rsid wsp:val=&quot;00564BD4&quot;/&gt;&lt;wsp:rsid wsp:val=&quot;005651F6&quot;/&gt;&lt;wsp:rsid wsp:val=&quot;00565D5F&quot;/&gt;&lt;wsp:rsid wsp:val=&quot;00565F60&quot;/&gt;&lt;wsp:rsid wsp:val=&quot;005675A4&quot;/&gt;&lt;wsp:rsid wsp:val=&quot;005676DF&quot;/&gt;&lt;wsp:rsid wsp:val=&quot;005701BF&quot;/&gt;&lt;wsp:rsid wsp:val=&quot;00571FFB&quot;/&gt;&lt;wsp:rsid wsp:val=&quot;00572813&quot;/&gt;&lt;wsp:rsid wsp:val=&quot;00572AA6&quot;/&gt;&lt;wsp:rsid wsp:val=&quot;00572CCE&quot;/&gt;&lt;wsp:rsid wsp:val=&quot;005730E9&quot;/&gt;&lt;wsp:rsid wsp:val=&quot;005733A8&quot;/&gt;&lt;wsp:rsid wsp:val=&quot;005738B6&quot;/&gt;&lt;wsp:rsid wsp:val=&quot;00573E2D&quot;/&gt;&lt;wsp:rsid wsp:val=&quot;00573F65&quot;/&gt;&lt;wsp:rsid wsp:val=&quot;005741E5&quot;/&gt;&lt;wsp:rsid wsp:val=&quot;005745E9&quot;/&gt;&lt;wsp:rsid wsp:val=&quot;005747CB&quot;/&gt;&lt;wsp:rsid wsp:val=&quot;00574ADF&quot;/&gt;&lt;wsp:rsid wsp:val=&quot;0057593C&quot;/&gt;&lt;wsp:rsid wsp:val=&quot;00576B23&quot;/&gt;&lt;wsp:rsid wsp:val=&quot;00577563&quot;/&gt;&lt;wsp:rsid wsp:val=&quot;00577D3F&quot;/&gt;&lt;wsp:rsid wsp:val=&quot;0058099C&quot;/&gt;&lt;wsp:rsid wsp:val=&quot;00581022&quot;/&gt;&lt;wsp:rsid wsp:val=&quot;005823F7&quot;/&gt;&lt;wsp:rsid wsp:val=&quot;00582679&quot;/&gt;&lt;wsp:rsid wsp:val=&quot;00582932&quot;/&gt;&lt;wsp:rsid wsp:val=&quot;00582F0A&quot;/&gt;&lt;wsp:rsid wsp:val=&quot;00583223&quot;/&gt;&lt;wsp:rsid wsp:val=&quot;00584982&quot;/&gt;&lt;wsp:rsid wsp:val=&quot;005862C9&quot;/&gt;&lt;wsp:rsid wsp:val=&quot;0058661D&quot;/&gt;&lt;wsp:rsid wsp:val=&quot;00586CCC&quot;/&gt;&lt;wsp:rsid wsp:val=&quot;00587709&quot;/&gt;&lt;wsp:rsid wsp:val=&quot;00587CDA&quot;/&gt;&lt;wsp:rsid wsp:val=&quot;00590589&quot;/&gt;&lt;wsp:rsid wsp:val=&quot;00591211&quot;/&gt;&lt;wsp:rsid wsp:val=&quot;00591401&quot;/&gt;&lt;wsp:rsid wsp:val=&quot;005917EB&quot;/&gt;&lt;wsp:rsid wsp:val=&quot;0059264C&quot;/&gt;&lt;wsp:rsid wsp:val=&quot;00593E37&quot;/&gt;&lt;wsp:rsid wsp:val=&quot;0059404B&quot;/&gt;&lt;wsp:rsid wsp:val=&quot;00594094&quot;/&gt;&lt;wsp:rsid wsp:val=&quot;0059440C&quot;/&gt;&lt;wsp:rsid wsp:val=&quot;005950D1&quot;/&gt;&lt;wsp:rsid wsp:val=&quot;00595BB8&quot;/&gt;&lt;wsp:rsid wsp:val=&quot;00595FC4&quot;/&gt;&lt;wsp:rsid wsp:val=&quot;00596E4C&quot;/&gt;&lt;wsp:rsid wsp:val=&quot;00596FA7&quot;/&gt;&lt;wsp:rsid wsp:val=&quot;005A00AE&quot;/&gt;&lt;wsp:rsid wsp:val=&quot;005A07F8&quot;/&gt;&lt;wsp:rsid wsp:val=&quot;005A0B04&quot;/&gt;&lt;wsp:rsid wsp:val=&quot;005A0E12&quot;/&gt;&lt;wsp:rsid wsp:val=&quot;005A19AD&quot;/&gt;&lt;wsp:rsid wsp:val=&quot;005A202C&quot;/&gt;&lt;wsp:rsid wsp:val=&quot;005A2A4B&quot;/&gt;&lt;wsp:rsid wsp:val=&quot;005A30F6&quot;/&gt;&lt;wsp:rsid wsp:val=&quot;005A3575&quot;/&gt;&lt;wsp:rsid wsp:val=&quot;005A3762&quot;/&gt;&lt;wsp:rsid wsp:val=&quot;005A39E6&quot;/&gt;&lt;wsp:rsid wsp:val=&quot;005A46F1&quot;/&gt;&lt;wsp:rsid wsp:val=&quot;005A4789&quot;/&gt;&lt;wsp:rsid wsp:val=&quot;005A4793&quot;/&gt;&lt;wsp:rsid wsp:val=&quot;005A59AA&quot;/&gt;&lt;wsp:rsid wsp:val=&quot;005A6994&quot;/&gt;&lt;wsp:rsid wsp:val=&quot;005A6AC5&quot;/&gt;&lt;wsp:rsid wsp:val=&quot;005A7081&quot;/&gt;&lt;wsp:rsid wsp:val=&quot;005A737F&quot;/&gt;&lt;wsp:rsid wsp:val=&quot;005A7B6F&quot;/&gt;&lt;wsp:rsid wsp:val=&quot;005B0185&quot;/&gt;&lt;wsp:rsid wsp:val=&quot;005B0529&quot;/&gt;&lt;wsp:rsid wsp:val=&quot;005B0B6D&quot;/&gt;&lt;wsp:rsid wsp:val=&quot;005B0E9E&quot;/&gt;&lt;wsp:rsid wsp:val=&quot;005B1147&quot;/&gt;&lt;wsp:rsid wsp:val=&quot;005B12C9&quot;/&gt;&lt;wsp:rsid wsp:val=&quot;005B173C&quot;/&gt;&lt;wsp:rsid wsp:val=&quot;005B2313&quot;/&gt;&lt;wsp:rsid wsp:val=&quot;005B33E4&quot;/&gt;&lt;wsp:rsid wsp:val=&quot;005B34BE&quot;/&gt;&lt;wsp:rsid wsp:val=&quot;005B35C0&quot;/&gt;&lt;wsp:rsid wsp:val=&quot;005B3BA9&quot;/&gt;&lt;wsp:rsid wsp:val=&quot;005B4130&quot;/&gt;&lt;wsp:rsid wsp:val=&quot;005B4835&quot;/&gt;&lt;wsp:rsid wsp:val=&quot;005B661F&quot;/&gt;&lt;wsp:rsid wsp:val=&quot;005B6704&quot;/&gt;&lt;wsp:rsid wsp:val=&quot;005B7695&quot;/&gt;&lt;wsp:rsid wsp:val=&quot;005B7A6F&quot;/&gt;&lt;wsp:rsid wsp:val=&quot;005B7A89&quot;/&gt;&lt;wsp:rsid wsp:val=&quot;005C01FE&quot;/&gt;&lt;wsp:rsid wsp:val=&quot;005C0C09&quot;/&gt;&lt;wsp:rsid wsp:val=&quot;005C0C22&quot;/&gt;&lt;wsp:rsid wsp:val=&quot;005C19D3&quot;/&gt;&lt;wsp:rsid wsp:val=&quot;005C1C52&quot;/&gt;&lt;wsp:rsid wsp:val=&quot;005C38BB&quot;/&gt;&lt;wsp:rsid wsp:val=&quot;005C3E61&quot;/&gt;&lt;wsp:rsid wsp:val=&quot;005C411E&quot;/&gt;&lt;wsp:rsid wsp:val=&quot;005C4CAC&quot;/&gt;&lt;wsp:rsid wsp:val=&quot;005C4D9B&quot;/&gt;&lt;wsp:rsid wsp:val=&quot;005C505A&quot;/&gt;&lt;wsp:rsid wsp:val=&quot;005C59B4&quot;/&gt;&lt;wsp:rsid wsp:val=&quot;005C6EBA&quot;/&gt;&lt;wsp:rsid wsp:val=&quot;005C74BA&quot;/&gt;&lt;wsp:rsid wsp:val=&quot;005C782D&quot;/&gt;&lt;wsp:rsid wsp:val=&quot;005C7BFA&quot;/&gt;&lt;wsp:rsid wsp:val=&quot;005D05A2&quot;/&gt;&lt;wsp:rsid wsp:val=&quot;005D0812&quot;/&gt;&lt;wsp:rsid wsp:val=&quot;005D08E8&quot;/&gt;&lt;wsp:rsid wsp:val=&quot;005D2132&quot;/&gt;&lt;wsp:rsid wsp:val=&quot;005D28AC&quot;/&gt;&lt;wsp:rsid wsp:val=&quot;005D2D54&quot;/&gt;&lt;wsp:rsid wsp:val=&quot;005D3027&quot;/&gt;&lt;wsp:rsid wsp:val=&quot;005D3173&quot;/&gt;&lt;wsp:rsid wsp:val=&quot;005D384A&quot;/&gt;&lt;wsp:rsid wsp:val=&quot;005D3948&quot;/&gt;&lt;wsp:rsid wsp:val=&quot;005D3D74&quot;/&gt;&lt;wsp:rsid wsp:val=&quot;005D41E4&quot;/&gt;&lt;wsp:rsid wsp:val=&quot;005D5239&quot;/&gt;&lt;wsp:rsid wsp:val=&quot;005D54C6&quot;/&gt;&lt;wsp:rsid wsp:val=&quot;005D5BD6&quot;/&gt;&lt;wsp:rsid wsp:val=&quot;005D6D09&quot;/&gt;&lt;wsp:rsid wsp:val=&quot;005D752E&quot;/&gt;&lt;wsp:rsid wsp:val=&quot;005D78CE&quot;/&gt;&lt;wsp:rsid wsp:val=&quot;005E00DA&quot;/&gt;&lt;wsp:rsid wsp:val=&quot;005E01E5&quot;/&gt;&lt;wsp:rsid wsp:val=&quot;005E01F7&quot;/&gt;&lt;wsp:rsid wsp:val=&quot;005E0C64&quot;/&gt;&lt;wsp:rsid wsp:val=&quot;005E12D7&quot;/&gt;&lt;wsp:rsid wsp:val=&quot;005E136A&quot;/&gt;&lt;wsp:rsid wsp:val=&quot;005E2472&quot;/&gt;&lt;wsp:rsid wsp:val=&quot;005E2C7B&quot;/&gt;&lt;wsp:rsid wsp:val=&quot;005E2FC3&quot;/&gt;&lt;wsp:rsid wsp:val=&quot;005E3084&quot;/&gt;&lt;wsp:rsid wsp:val=&quot;005E37EB&quot;/&gt;&lt;wsp:rsid wsp:val=&quot;005E38AC&quot;/&gt;&lt;wsp:rsid wsp:val=&quot;005E3B45&quot;/&gt;&lt;wsp:rsid wsp:val=&quot;005E4D85&quot;/&gt;&lt;wsp:rsid wsp:val=&quot;005E53B6&quot;/&gt;&lt;wsp:rsid wsp:val=&quot;005E54B5&quot;/&gt;&lt;wsp:rsid wsp:val=&quot;005E567D&quot;/&gt;&lt;wsp:rsid wsp:val=&quot;005E68B1&quot;/&gt;&lt;wsp:rsid wsp:val=&quot;005E7FFA&quot;/&gt;&lt;wsp:rsid wsp:val=&quot;005F00AF&quot;/&gt;&lt;wsp:rsid wsp:val=&quot;005F02B7&quot;/&gt;&lt;wsp:rsid wsp:val=&quot;005F0639&quot;/&gt;&lt;wsp:rsid wsp:val=&quot;005F09DD&quot;/&gt;&lt;wsp:rsid wsp:val=&quot;005F1345&quot;/&gt;&lt;wsp:rsid wsp:val=&quot;005F139D&quot;/&gt;&lt;wsp:rsid wsp:val=&quot;005F2AF6&quot;/&gt;&lt;wsp:rsid wsp:val=&quot;005F4ECE&quot;/&gt;&lt;wsp:rsid wsp:val=&quot;005F5E4D&quot;/&gt;&lt;wsp:rsid wsp:val=&quot;005F5F9C&quot;/&gt;&lt;wsp:rsid wsp:val=&quot;005F60D2&quot;/&gt;&lt;wsp:rsid wsp:val=&quot;005F6AC1&quot;/&gt;&lt;wsp:rsid wsp:val=&quot;005F739C&quot;/&gt;&lt;wsp:rsid wsp:val=&quot;005F7967&quot;/&gt;&lt;wsp:rsid wsp:val=&quot;006012DD&quot;/&gt;&lt;wsp:rsid wsp:val=&quot;00601800&quot;/&gt;&lt;wsp:rsid wsp:val=&quot;00602044&quot;/&gt;&lt;wsp:rsid wsp:val=&quot;00602A8B&quot;/&gt;&lt;wsp:rsid wsp:val=&quot;00602C67&quot;/&gt;&lt;wsp:rsid wsp:val=&quot;0060344B&quot;/&gt;&lt;wsp:rsid wsp:val=&quot;006046A9&quot;/&gt;&lt;wsp:rsid wsp:val=&quot;006047EC&quot;/&gt;&lt;wsp:rsid wsp:val=&quot;0060488A&quot;/&gt;&lt;wsp:rsid wsp:val=&quot;00604A99&quot;/&gt;&lt;wsp:rsid wsp:val=&quot;00605DCD&quot;/&gt;&lt;wsp:rsid wsp:val=&quot;00606697&quot;/&gt;&lt;wsp:rsid wsp:val=&quot;0060797C&quot;/&gt;&lt;wsp:rsid wsp:val=&quot;00610AEC&quot;/&gt;&lt;wsp:rsid wsp:val=&quot;006113F4&quot;/&gt;&lt;wsp:rsid wsp:val=&quot;006133E1&quot;/&gt;&lt;wsp:rsid wsp:val=&quot;00613BC5&quot;/&gt;&lt;wsp:rsid wsp:val=&quot;00613BD6&quot;/&gt;&lt;wsp:rsid wsp:val=&quot;00613BF9&quot;/&gt;&lt;wsp:rsid wsp:val=&quot;00614D68&quot;/&gt;&lt;wsp:rsid wsp:val=&quot;00614F0E&quot;/&gt;&lt;wsp:rsid wsp:val=&quot;00615C71&quot;/&gt;&lt;wsp:rsid wsp:val=&quot;00615E3E&quot;/&gt;&lt;wsp:rsid wsp:val=&quot;006163EF&quot;/&gt;&lt;wsp:rsid wsp:val=&quot;00616865&quot;/&gt;&lt;wsp:rsid wsp:val=&quot;00617059&quot;/&gt;&lt;wsp:rsid wsp:val=&quot;00617791&quot;/&gt;&lt;wsp:rsid wsp:val=&quot;006204C8&quot;/&gt;&lt;wsp:rsid wsp:val=&quot;00620E74&quot;/&gt;&lt;wsp:rsid wsp:val=&quot;00620FED&quot;/&gt;&lt;wsp:rsid wsp:val=&quot;006221DE&quot;/&gt;&lt;wsp:rsid wsp:val=&quot;006226F5&quot;/&gt;&lt;wsp:rsid wsp:val=&quot;006229F8&quot;/&gt;&lt;wsp:rsid wsp:val=&quot;00622D88&quot;/&gt;&lt;wsp:rsid wsp:val=&quot;006232C9&quot;/&gt;&lt;wsp:rsid wsp:val=&quot;0062362F&quot;/&gt;&lt;wsp:rsid wsp:val=&quot;006239EB&quot;/&gt;&lt;wsp:rsid wsp:val=&quot;00624655&quot;/&gt;&lt;wsp:rsid wsp:val=&quot;00624A52&quot;/&gt;&lt;wsp:rsid wsp:val=&quot;0062534E&quot;/&gt;&lt;wsp:rsid wsp:val=&quot;006256ED&quot;/&gt;&lt;wsp:rsid wsp:val=&quot;0062647C&quot;/&gt;&lt;wsp:rsid wsp:val=&quot;0063135E&quot;/&gt;&lt;wsp:rsid wsp:val=&quot;0063199F&quot;/&gt;&lt;wsp:rsid wsp:val=&quot;00631F37&quot;/&gt;&lt;wsp:rsid wsp:val=&quot;006320AD&quot;/&gt;&lt;wsp:rsid wsp:val=&quot;006320DE&quot;/&gt;&lt;wsp:rsid wsp:val=&quot;006328EF&quot;/&gt;&lt;wsp:rsid wsp:val=&quot;00632CB4&quot;/&gt;&lt;wsp:rsid wsp:val=&quot;00632D8E&quot;/&gt;&lt;wsp:rsid wsp:val=&quot;006345A3&quot;/&gt;&lt;wsp:rsid wsp:val=&quot;00634DC5&quot;/&gt;&lt;wsp:rsid wsp:val=&quot;00635734&quot;/&gt;&lt;wsp:rsid wsp:val=&quot;00635AEB&quot;/&gt;&lt;wsp:rsid wsp:val=&quot;00635BB6&quot;/&gt;&lt;wsp:rsid wsp:val=&quot;00635C2D&quot;/&gt;&lt;wsp:rsid wsp:val=&quot;00636ACC&quot;/&gt;&lt;wsp:rsid wsp:val=&quot;00636B56&quot;/&gt;&lt;wsp:rsid wsp:val=&quot;00637702&quot;/&gt;&lt;wsp:rsid wsp:val=&quot;00637A24&quot;/&gt;&lt;wsp:rsid wsp:val=&quot;00637FAA&quot;/&gt;&lt;wsp:rsid wsp:val=&quot;0064062D&quot;/&gt;&lt;wsp:rsid wsp:val=&quot;006418C4&quot;/&gt;&lt;wsp:rsid wsp:val=&quot;00643A7A&quot;/&gt;&lt;wsp:rsid wsp:val=&quot;00644ACE&quot;/&gt;&lt;wsp:rsid wsp:val=&quot;006453E9&quot;/&gt;&lt;wsp:rsid wsp:val=&quot;006466DF&quot;/&gt;&lt;wsp:rsid wsp:val=&quot;0064684D&quot;/&gt;&lt;wsp:rsid wsp:val=&quot;00646A5D&quot;/&gt;&lt;wsp:rsid wsp:val=&quot;006477D4&quot;/&gt;&lt;wsp:rsid wsp:val=&quot;0065069F&quot;/&gt;&lt;wsp:rsid wsp:val=&quot;00650B82&quot;/&gt;&lt;wsp:rsid wsp:val=&quot;00651654&quot;/&gt;&lt;wsp:rsid wsp:val=&quot;00651900&quot;/&gt;&lt;wsp:rsid wsp:val=&quot;00651D18&quot;/&gt;&lt;wsp:rsid wsp:val=&quot;00651F26&quot;/&gt;&lt;wsp:rsid wsp:val=&quot;00652E1F&quot;/&gt;&lt;wsp:rsid wsp:val=&quot;00652F58&quot;/&gt;&lt;wsp:rsid wsp:val=&quot;0065333B&quot;/&gt;&lt;wsp:rsid wsp:val=&quot;006537EE&quot;/&gt;&lt;wsp:rsid wsp:val=&quot;0065398D&quot;/&gt;&lt;wsp:rsid wsp:val=&quot;00653E88&quot;/&gt;&lt;wsp:rsid wsp:val=&quot;00654859&quot;/&gt;&lt;wsp:rsid wsp:val=&quot;00654CE8&quot;/&gt;&lt;wsp:rsid wsp:val=&quot;00656354&quot;/&gt;&lt;wsp:rsid wsp:val=&quot;00656473&quot;/&gt;&lt;wsp:rsid wsp:val=&quot;00660A0E&quot;/&gt;&lt;wsp:rsid wsp:val=&quot;006610B7&quot;/&gt;&lt;wsp:rsid wsp:val=&quot;0066168B&quot;/&gt;&lt;wsp:rsid wsp:val=&quot;00661776&quot;/&gt;&lt;wsp:rsid wsp:val=&quot;00661C46&quot;/&gt;&lt;wsp:rsid wsp:val=&quot;00662757&quot;/&gt;&lt;wsp:rsid wsp:val=&quot;006633B2&quot;/&gt;&lt;wsp:rsid wsp:val=&quot;00663555&quot;/&gt;&lt;wsp:rsid wsp:val=&quot;00663B36&quot;/&gt;&lt;wsp:rsid wsp:val=&quot;00665022&quot;/&gt;&lt;wsp:rsid wsp:val=&quot;006651C2&quot;/&gt;&lt;wsp:rsid wsp:val=&quot;006656D2&quot;/&gt;&lt;wsp:rsid wsp:val=&quot;00665AD5&quot;/&gt;&lt;wsp:rsid wsp:val=&quot;006661A5&quot;/&gt;&lt;wsp:rsid wsp:val=&quot;00667299&quot;/&gt;&lt;wsp:rsid wsp:val=&quot;00667971&quot;/&gt;&lt;wsp:rsid wsp:val=&quot;00670FC0&quot;/&gt;&lt;wsp:rsid wsp:val=&quot;006717E5&quot;/&gt;&lt;wsp:rsid wsp:val=&quot;00671AA8&quot;/&gt;&lt;wsp:rsid wsp:val=&quot;00671AE1&quot;/&gt;&lt;wsp:rsid wsp:val=&quot;00671B6E&quot;/&gt;&lt;wsp:rsid wsp:val=&quot;00672909&quot;/&gt;&lt;wsp:rsid wsp:val=&quot;00673F39&quot;/&gt;&lt;wsp:rsid wsp:val=&quot;00673F6F&quot;/&gt;&lt;wsp:rsid wsp:val=&quot;0067436C&quot;/&gt;&lt;wsp:rsid wsp:val=&quot;006743CD&quot;/&gt;&lt;wsp:rsid wsp:val=&quot;00674AE4&quot;/&gt;&lt;wsp:rsid wsp:val=&quot;00674E2D&quot;/&gt;&lt;wsp:rsid wsp:val=&quot;0067563D&quot;/&gt;&lt;wsp:rsid wsp:val=&quot;006761E2&quot;/&gt;&lt;wsp:rsid wsp:val=&quot;006766A0&quot;/&gt;&lt;wsp:rsid wsp:val=&quot;00676E61&quot;/&gt;&lt;wsp:rsid wsp:val=&quot;00677591&quot;/&gt;&lt;wsp:rsid wsp:val=&quot;00677686&quot;/&gt;&lt;wsp:rsid wsp:val=&quot;00680F82&quot;/&gt;&lt;wsp:rsid wsp:val=&quot;00681573&quot;/&gt;&lt;wsp:rsid wsp:val=&quot;00681791&quot;/&gt;&lt;wsp:rsid wsp:val=&quot;0068278C&quot;/&gt;&lt;wsp:rsid wsp:val=&quot;0068335F&quot;/&gt;&lt;wsp:rsid wsp:val=&quot;006833BE&quot;/&gt;&lt;wsp:rsid wsp:val=&quot;006837B6&quot;/&gt;&lt;wsp:rsid wsp:val=&quot;00684638&quot;/&gt;&lt;wsp:rsid wsp:val=&quot;00684F85&quot;/&gt;&lt;wsp:rsid wsp:val=&quot;00685A90&quot;/&gt;&lt;wsp:rsid wsp:val=&quot;00686F91&quot;/&gt;&lt;wsp:rsid wsp:val=&quot;006875D6&quot;/&gt;&lt;wsp:rsid wsp:val=&quot;006878AA&quot;/&gt;&lt;wsp:rsid wsp:val=&quot;00687D1F&quot;/&gt;&lt;wsp:rsid wsp:val=&quot;0069070B&quot;/&gt;&lt;wsp:rsid wsp:val=&quot;00692F51&quot;/&gt;&lt;wsp:rsid wsp:val=&quot;006930F5&quot;/&gt;&lt;wsp:rsid wsp:val=&quot;00693918&quot;/&gt;&lt;wsp:rsid wsp:val=&quot;006950D2&quot;/&gt;&lt;wsp:rsid wsp:val=&quot;006959E0&quot;/&gt;&lt;wsp:rsid wsp:val=&quot;00695ACB&quot;/&gt;&lt;wsp:rsid wsp:val=&quot;00695CEB&quot;/&gt;&lt;wsp:rsid wsp:val=&quot;00696290&quot;/&gt;&lt;wsp:rsid wsp:val=&quot;00697FFA&quot;/&gt;&lt;wsp:rsid wsp:val=&quot;006A0B5D&quot;/&gt;&lt;wsp:rsid wsp:val=&quot;006A1B04&quot;/&gt;&lt;wsp:rsid wsp:val=&quot;006A320A&quot;/&gt;&lt;wsp:rsid wsp:val=&quot;006A367A&quot;/&gt;&lt;wsp:rsid wsp:val=&quot;006A666F&quot;/&gt;&lt;wsp:rsid wsp:val=&quot;006A6814&quot;/&gt;&lt;wsp:rsid wsp:val=&quot;006A6907&quot;/&gt;&lt;wsp:rsid wsp:val=&quot;006A6C8A&quot;/&gt;&lt;wsp:rsid wsp:val=&quot;006A7720&quot;/&gt;&lt;wsp:rsid wsp:val=&quot;006A79AA&quot;/&gt;&lt;wsp:rsid wsp:val=&quot;006B0235&quot;/&gt;&lt;wsp:rsid wsp:val=&quot;006B0EFA&quot;/&gt;&lt;wsp:rsid wsp:val=&quot;006B2793&quot;/&gt;&lt;wsp:rsid wsp:val=&quot;006B2F88&quot;/&gt;&lt;wsp:rsid wsp:val=&quot;006B30AC&quot;/&gt;&lt;wsp:rsid wsp:val=&quot;006B4407&quot;/&gt;&lt;wsp:rsid wsp:val=&quot;006B54DE&quot;/&gt;&lt;wsp:rsid wsp:val=&quot;006B6CBA&quot;/&gt;&lt;wsp:rsid wsp:val=&quot;006B70F5&quot;/&gt;&lt;wsp:rsid wsp:val=&quot;006C1530&quot;/&gt;&lt;wsp:rsid wsp:val=&quot;006C17DB&quot;/&gt;&lt;wsp:rsid wsp:val=&quot;006C35C8&quot;/&gt;&lt;wsp:rsid wsp:val=&quot;006C4897&quot;/&gt;&lt;wsp:rsid wsp:val=&quot;006C4E73&quot;/&gt;&lt;wsp:rsid wsp:val=&quot;006C5979&quot;/&gt;&lt;wsp:rsid wsp:val=&quot;006C5E16&quot;/&gt;&lt;wsp:rsid wsp:val=&quot;006C62EE&quot;/&gt;&lt;wsp:rsid wsp:val=&quot;006C63D3&quot;/&gt;&lt;wsp:rsid wsp:val=&quot;006C74E6&quot;/&gt;&lt;wsp:rsid wsp:val=&quot;006D015A&quot;/&gt;&lt;wsp:rsid wsp:val=&quot;006D22BA&quot;/&gt;&lt;wsp:rsid wsp:val=&quot;006D3705&quot;/&gt;&lt;wsp:rsid wsp:val=&quot;006D3EF6&quot;/&gt;&lt;wsp:rsid wsp:val=&quot;006D42D0&quot;/&gt;&lt;wsp:rsid wsp:val=&quot;006D455C&quot;/&gt;&lt;wsp:rsid wsp:val=&quot;006D4DBB&quot;/&gt;&lt;wsp:rsid wsp:val=&quot;006D5440&quot;/&gt;&lt;wsp:rsid wsp:val=&quot;006D54BC&quot;/&gt;&lt;wsp:rsid wsp:val=&quot;006D56BA&quot;/&gt;&lt;wsp:rsid wsp:val=&quot;006D56F1&quot;/&gt;&lt;wsp:rsid wsp:val=&quot;006D5C73&quot;/&gt;&lt;wsp:rsid wsp:val=&quot;006D5FE5&quot;/&gt;&lt;wsp:rsid wsp:val=&quot;006D742F&quot;/&gt;&lt;wsp:rsid wsp:val=&quot;006D7DF4&quot;/&gt;&lt;wsp:rsid wsp:val=&quot;006E0FC8&quot;/&gt;&lt;wsp:rsid wsp:val=&quot;006E11F6&quot;/&gt;&lt;wsp:rsid wsp:val=&quot;006E1D8D&quot;/&gt;&lt;wsp:rsid wsp:val=&quot;006E2444&quot;/&gt;&lt;wsp:rsid wsp:val=&quot;006E25BD&quot;/&gt;&lt;wsp:rsid wsp:val=&quot;006E284A&quot;/&gt;&lt;wsp:rsid wsp:val=&quot;006E2B78&quot;/&gt;&lt;wsp:rsid wsp:val=&quot;006E449F&quot;/&gt;&lt;wsp:rsid wsp:val=&quot;006E6813&quot;/&gt;&lt;wsp:rsid wsp:val=&quot;006E6A5E&quot;/&gt;&lt;wsp:rsid wsp:val=&quot;006E6D74&quot;/&gt;&lt;wsp:rsid wsp:val=&quot;006E760C&quot;/&gt;&lt;wsp:rsid wsp:val=&quot;006E76D2&quot;/&gt;&lt;wsp:rsid wsp:val=&quot;006F045A&quot;/&gt;&lt;wsp:rsid wsp:val=&quot;006F09BF&quot;/&gt;&lt;wsp:rsid wsp:val=&quot;006F14A4&quot;/&gt;&lt;wsp:rsid wsp:val=&quot;006F2388&quot;/&gt;&lt;wsp:rsid wsp:val=&quot;006F33D8&quot;/&gt;&lt;wsp:rsid wsp:val=&quot;006F3F12&quot;/&gt;&lt;wsp:rsid wsp:val=&quot;006F4C83&quot;/&gt;&lt;wsp:rsid wsp:val=&quot;006F518D&quot;/&gt;&lt;wsp:rsid wsp:val=&quot;006F52A4&quot;/&gt;&lt;wsp:rsid wsp:val=&quot;006F55BE&quot;/&gt;&lt;wsp:rsid wsp:val=&quot;006F582A&quot;/&gt;&lt;wsp:rsid wsp:val=&quot;006F5A56&quot;/&gt;&lt;wsp:rsid wsp:val=&quot;006F6D91&quot;/&gt;&lt;wsp:rsid wsp:val=&quot;006F77E8&quot;/&gt;&lt;wsp:rsid wsp:val=&quot;006F7D40&quot;/&gt;&lt;wsp:rsid wsp:val=&quot;0070048A&quot;/&gt;&lt;wsp:rsid wsp:val=&quot;007008BC&quot;/&gt;&lt;wsp:rsid wsp:val=&quot;00700C0C&quot;/&gt;&lt;wsp:rsid wsp:val=&quot;007015FC&quot;/&gt;&lt;wsp:rsid wsp:val=&quot;007028EB&quot;/&gt;&lt;wsp:rsid wsp:val=&quot;00702A88&quot;/&gt;&lt;wsp:rsid wsp:val=&quot;0070386A&quot;/&gt;&lt;wsp:rsid wsp:val=&quot;0070386C&quot;/&gt;&lt;wsp:rsid wsp:val=&quot;00703BF8&quot;/&gt;&lt;wsp:rsid wsp:val=&quot;00703EBC&quot;/&gt;&lt;wsp:rsid wsp:val=&quot;007040FA&quot;/&gt;&lt;wsp:rsid wsp:val=&quot;00706502&quot;/&gt;&lt;wsp:rsid wsp:val=&quot;007067AA&quot;/&gt;&lt;wsp:rsid wsp:val=&quot;00706975&quot;/&gt;&lt;wsp:rsid wsp:val=&quot;00707766&quot;/&gt;&lt;wsp:rsid wsp:val=&quot;00707B02&quot;/&gt;&lt;wsp:rsid wsp:val=&quot;007101BB&quot;/&gt;&lt;wsp:rsid wsp:val=&quot;00710561&quot;/&gt;&lt;wsp:rsid wsp:val=&quot;007107A6&quot;/&gt;&lt;wsp:rsid wsp:val=&quot;00710947&quot;/&gt;&lt;wsp:rsid wsp:val=&quot;007125AA&quot;/&gt;&lt;wsp:rsid wsp:val=&quot;00712F09&quot;/&gt;&lt;wsp:rsid wsp:val=&quot;00713704&quot;/&gt;&lt;wsp:rsid wsp:val=&quot;00713D99&quot;/&gt;&lt;wsp:rsid wsp:val=&quot;00714386&quot;/&gt;&lt;wsp:rsid wsp:val=&quot;007145BB&quot;/&gt;&lt;wsp:rsid wsp:val=&quot;00714E4C&quot;/&gt;&lt;wsp:rsid wsp:val=&quot;00715191&quot;/&gt;&lt;wsp:rsid wsp:val=&quot;007167D3&quot;/&gt;&lt;wsp:rsid wsp:val=&quot;007169D3&quot;/&gt;&lt;wsp:rsid wsp:val=&quot;007172BF&quot;/&gt;&lt;wsp:rsid wsp:val=&quot;00717529&quot;/&gt;&lt;wsp:rsid wsp:val=&quot;00717FC7&quot;/&gt;&lt;wsp:rsid wsp:val=&quot;00720242&quot;/&gt;&lt;wsp:rsid wsp:val=&quot;00721C16&quot;/&gt;&lt;wsp:rsid wsp:val=&quot;00721CDF&quot;/&gt;&lt;wsp:rsid wsp:val=&quot;00722172&quot;/&gt;&lt;wsp:rsid wsp:val=&quot;00722F29&quot;/&gt;&lt;wsp:rsid wsp:val=&quot;0072307C&quot;/&gt;&lt;wsp:rsid wsp:val=&quot;0072388E&quot;/&gt;&lt;wsp:rsid wsp:val=&quot;00723A4B&quot;/&gt;&lt;wsp:rsid wsp:val=&quot;00725B0D&quot;/&gt;&lt;wsp:rsid wsp:val=&quot;007264BA&quot;/&gt;&lt;wsp:rsid wsp:val=&quot;0072658D&quot;/&gt;&lt;wsp:rsid wsp:val=&quot;00726E33&quot;/&gt;&lt;wsp:rsid wsp:val=&quot;00726FAB&quot;/&gt;&lt;wsp:rsid wsp:val=&quot;00727764&quot;/&gt;&lt;wsp:rsid wsp:val=&quot;007279B7&quot;/&gt;&lt;wsp:rsid wsp:val=&quot;00731C95&quot;/&gt;&lt;wsp:rsid wsp:val=&quot;00732031&quot;/&gt;&lt;wsp:rsid wsp:val=&quot;00732345&quot;/&gt;&lt;wsp:rsid wsp:val=&quot;00732566&quot;/&gt;&lt;wsp:rsid wsp:val=&quot;00733FEA&quot;/&gt;&lt;wsp:rsid wsp:val=&quot;00734A6C&quot;/&gt;&lt;wsp:rsid wsp:val=&quot;007355E1&quot;/&gt;&lt;wsp:rsid wsp:val=&quot;00735C77&quot;/&gt;&lt;wsp:rsid wsp:val=&quot;00736093&quot;/&gt;&lt;wsp:rsid wsp:val=&quot;00736129&quot;/&gt;&lt;wsp:rsid wsp:val=&quot;007364BE&quot;/&gt;&lt;wsp:rsid wsp:val=&quot;0073696E&quot;/&gt;&lt;wsp:rsid wsp:val=&quot;00736997&quot;/&gt;&lt;wsp:rsid wsp:val=&quot;007378DD&quot;/&gt;&lt;wsp:rsid wsp:val=&quot;007402FB&quot;/&gt;&lt;wsp:rsid wsp:val=&quot;00740FAB&quot;/&gt;&lt;wsp:rsid wsp:val=&quot;00741229&quot;/&gt;&lt;wsp:rsid wsp:val=&quot;007415DF&quot;/&gt;&lt;wsp:rsid wsp:val=&quot;00742C54&quot;/&gt;&lt;wsp:rsid wsp:val=&quot;00743C57&quot;/&gt;&lt;wsp:rsid wsp:val=&quot;00743CB0&quot;/&gt;&lt;wsp:rsid wsp:val=&quot;00744B7A&quot;/&gt;&lt;wsp:rsid wsp:val=&quot;007458F5&quot;/&gt;&lt;wsp:rsid wsp:val=&quot;00745C5F&quot;/&gt;&lt;wsp:rsid wsp:val=&quot;00745CC5&quot;/&gt;&lt;wsp:rsid wsp:val=&quot;00745F92&quot;/&gt;&lt;wsp:rsid wsp:val=&quot;0074670C&quot;/&gt;&lt;wsp:rsid wsp:val=&quot;00747A45&quot;/&gt;&lt;wsp:rsid wsp:val=&quot;00747C3A&quot;/&gt;&lt;wsp:rsid wsp:val=&quot;00747F73&quot;/&gt;&lt;wsp:rsid wsp:val=&quot;007500EE&quot;/&gt;&lt;wsp:rsid wsp:val=&quot;007501C5&quot;/&gt;&lt;wsp:rsid wsp:val=&quot;00750209&quot;/&gt;&lt;wsp:rsid wsp:val=&quot;00750301&quot;/&gt;&lt;wsp:rsid wsp:val=&quot;00750AE6&quot;/&gt;&lt;wsp:rsid wsp:val=&quot;00750E35&quot;/&gt;&lt;wsp:rsid wsp:val=&quot;00751541&quot;/&gt;&lt;wsp:rsid wsp:val=&quot;00751F08&quot;/&gt;&lt;wsp:rsid wsp:val=&quot;0075209D&quot;/&gt;&lt;wsp:rsid wsp:val=&quot;007529E9&quot;/&gt;&lt;wsp:rsid wsp:val=&quot;007530B7&quot;/&gt;&lt;wsp:rsid wsp:val=&quot;00753265&quot;/&gt;&lt;wsp:rsid wsp:val=&quot;0075362B&quot;/&gt;&lt;wsp:rsid wsp:val=&quot;00753A44&quot;/&gt;&lt;wsp:rsid wsp:val=&quot;00754000&quot;/&gt;&lt;wsp:rsid wsp:val=&quot;00754785&quot;/&gt;&lt;wsp:rsid wsp:val=&quot;00755049&quot;/&gt;&lt;wsp:rsid wsp:val=&quot;007557ED&quot;/&gt;&lt;wsp:rsid wsp:val=&quot;00755DAA&quot;/&gt;&lt;wsp:rsid wsp:val=&quot;007568FC&quot;/&gt;&lt;wsp:rsid wsp:val=&quot;00756C08&quot;/&gt;&lt;wsp:rsid wsp:val=&quot;007574B8&quot;/&gt;&lt;wsp:rsid wsp:val=&quot;00757534&quot;/&gt;&lt;wsp:rsid wsp:val=&quot;007579C2&quot;/&gt;&lt;wsp:rsid wsp:val=&quot;00760331&quot;/&gt;&lt;wsp:rsid wsp:val=&quot;00760A2C&quot;/&gt;&lt;wsp:rsid wsp:val=&quot;00760D98&quot;/&gt;&lt;wsp:rsid wsp:val=&quot;007611C4&quot;/&gt;&lt;wsp:rsid wsp:val=&quot;00761C83&quot;/&gt;&lt;wsp:rsid wsp:val=&quot;00761F01&quot;/&gt;&lt;wsp:rsid wsp:val=&quot;0076380B&quot;/&gt;&lt;wsp:rsid wsp:val=&quot;00763AF9&quot;/&gt;&lt;wsp:rsid wsp:val=&quot;00764BF2&quot;/&gt;&lt;wsp:rsid wsp:val=&quot;0076534A&quot;/&gt;&lt;wsp:rsid wsp:val=&quot;007658E5&quot;/&gt;&lt;wsp:rsid wsp:val=&quot;00765C50&quot;/&gt;&lt;wsp:rsid wsp:val=&quot;007662A6&quot;/&gt;&lt;wsp:rsid wsp:val=&quot;0076662F&quot;/&gt;&lt;wsp:rsid wsp:val=&quot;007669B7&quot;/&gt;&lt;wsp:rsid wsp:val=&quot;00766E78&quot;/&gt;&lt;wsp:rsid wsp:val=&quot;00766FF3&quot;/&gt;&lt;wsp:rsid wsp:val=&quot;0076725C&quot;/&gt;&lt;wsp:rsid wsp:val=&quot;007675C3&quot;/&gt;&lt;wsp:rsid wsp:val=&quot;00770367&quot;/&gt;&lt;wsp:rsid wsp:val=&quot;00770645&quot;/&gt;&lt;wsp:rsid wsp:val=&quot;0077077C&quot;/&gt;&lt;wsp:rsid wsp:val=&quot;00770A11&quot;/&gt;&lt;wsp:rsid wsp:val=&quot;00770D98&quot;/&gt;&lt;wsp:rsid wsp:val=&quot;00771D62&quot;/&gt;&lt;wsp:rsid wsp:val=&quot;0077216B&quot;/&gt;&lt;wsp:rsid wsp:val=&quot;00772F2C&quot;/&gt;&lt;wsp:rsid wsp:val=&quot;0077354F&quot;/&gt;&lt;wsp:rsid wsp:val=&quot;00773669&quot;/&gt;&lt;wsp:rsid wsp:val=&quot;007737BA&quot;/&gt;&lt;wsp:rsid wsp:val=&quot;00774A0F&quot;/&gt;&lt;wsp:rsid wsp:val=&quot;007750B3&quot;/&gt;&lt;wsp:rsid wsp:val=&quot;007760A4&quot;/&gt;&lt;wsp:rsid wsp:val=&quot;007760A8&quot;/&gt;&lt;wsp:rsid wsp:val=&quot;0077683E&quot;/&gt;&lt;wsp:rsid wsp:val=&quot;007771AC&quot;/&gt;&lt;wsp:rsid wsp:val=&quot;007804F1&quot;/&gt;&lt;wsp:rsid wsp:val=&quot;00780BED&quot;/&gt;&lt;wsp:rsid wsp:val=&quot;00780DDC&quot;/&gt;&lt;wsp:rsid wsp:val=&quot;0078115A&quot;/&gt;&lt;wsp:rsid wsp:val=&quot;0078151C&quot;/&gt;&lt;wsp:rsid wsp:val=&quot;007819E9&quot;/&gt;&lt;wsp:rsid wsp:val=&quot;007826D7&quot;/&gt;&lt;wsp:rsid wsp:val=&quot;00782D31&quot;/&gt;&lt;wsp:rsid wsp:val=&quot;007850B3&quot;/&gt;&lt;wsp:rsid wsp:val=&quot;00785F7B&quot;/&gt;&lt;wsp:rsid wsp:val=&quot;007860BF&quot;/&gt;&lt;wsp:rsid wsp:val=&quot;00786CA0&quot;/&gt;&lt;wsp:rsid wsp:val=&quot;00786E4B&quot;/&gt;&lt;wsp:rsid wsp:val=&quot;00787B85&quot;/&gt;&lt;wsp:rsid wsp:val=&quot;00787DA5&quot;/&gt;&lt;wsp:rsid wsp:val=&quot;00790481&quot;/&gt;&lt;wsp:rsid wsp:val=&quot;0079058E&quot;/&gt;&lt;wsp:rsid wsp:val=&quot;007908AC&quot;/&gt;&lt;wsp:rsid wsp:val=&quot;00790FB2&quot;/&gt;&lt;wsp:rsid wsp:val=&quot;00790FD1&quot;/&gt;&lt;wsp:rsid wsp:val=&quot;00792DD0&quot;/&gt;&lt;wsp:rsid wsp:val=&quot;00793196&quot;/&gt;&lt;wsp:rsid wsp:val=&quot;007936D4&quot;/&gt;&lt;wsp:rsid wsp:val=&quot;00793C08&quot;/&gt;&lt;wsp:rsid wsp:val=&quot;00794266&quot;/&gt;&lt;wsp:rsid wsp:val=&quot;00794655&quot;/&gt;&lt;wsp:rsid wsp:val=&quot;00794799&quot;/&gt;&lt;wsp:rsid wsp:val=&quot;007964AC&quot;/&gt;&lt;wsp:rsid wsp:val=&quot;00796A69&quot;/&gt;&lt;wsp:rsid wsp:val=&quot;007976CF&quot;/&gt;&lt;wsp:rsid wsp:val=&quot;007A0A5E&quot;/&gt;&lt;wsp:rsid wsp:val=&quot;007A16E2&quot;/&gt;&lt;wsp:rsid wsp:val=&quot;007A180E&quot;/&gt;&lt;wsp:rsid wsp:val=&quot;007A1B63&quot;/&gt;&lt;wsp:rsid wsp:val=&quot;007A1C0B&quot;/&gt;&lt;wsp:rsid wsp:val=&quot;007A26E9&quot;/&gt;&lt;wsp:rsid wsp:val=&quot;007A33CA&quot;/&gt;&lt;wsp:rsid wsp:val=&quot;007A3578&quot;/&gt;&lt;wsp:rsid wsp:val=&quot;007A3B3A&quot;/&gt;&lt;wsp:rsid wsp:val=&quot;007A45AE&quot;/&gt;&lt;wsp:rsid wsp:val=&quot;007A4945&quot;/&gt;&lt;wsp:rsid wsp:val=&quot;007A4A68&quot;/&gt;&lt;wsp:rsid wsp:val=&quot;007A5461&quot;/&gt;&lt;wsp:rsid wsp:val=&quot;007A573C&quot;/&gt;&lt;wsp:rsid wsp:val=&quot;007A5D2E&quot;/&gt;&lt;wsp:rsid wsp:val=&quot;007A5D48&quot;/&gt;&lt;wsp:rsid wsp:val=&quot;007A63F4&quot;/&gt;&lt;wsp:rsid wsp:val=&quot;007A658C&quot;/&gt;&lt;wsp:rsid wsp:val=&quot;007A71B9&quot;/&gt;&lt;wsp:rsid wsp:val=&quot;007B01D0&quot;/&gt;&lt;wsp:rsid wsp:val=&quot;007B08D2&quot;/&gt;&lt;wsp:rsid wsp:val=&quot;007B0A8F&quot;/&gt;&lt;wsp:rsid wsp:val=&quot;007B0B99&quot;/&gt;&lt;wsp:rsid wsp:val=&quot;007B0C22&quot;/&gt;&lt;wsp:rsid wsp:val=&quot;007B24EB&quot;/&gt;&lt;wsp:rsid wsp:val=&quot;007B277B&quot;/&gt;&lt;wsp:rsid wsp:val=&quot;007B3290&quot;/&gt;&lt;wsp:rsid wsp:val=&quot;007B3403&quot;/&gt;&lt;wsp:rsid wsp:val=&quot;007B3C51&quot;/&gt;&lt;wsp:rsid wsp:val=&quot;007B3E5D&quot;/&gt;&lt;wsp:rsid wsp:val=&quot;007B40D0&quot;/&gt;&lt;wsp:rsid wsp:val=&quot;007B5211&quot;/&gt;&lt;wsp:rsid wsp:val=&quot;007B5BDB&quot;/&gt;&lt;wsp:rsid wsp:val=&quot;007B5C65&quot;/&gt;&lt;wsp:rsid wsp:val=&quot;007B5F6B&quot;/&gt;&lt;wsp:rsid wsp:val=&quot;007B68D4&quot;/&gt;&lt;wsp:rsid wsp:val=&quot;007B77FA&quot;/&gt;&lt;wsp:rsid wsp:val=&quot;007B7B3B&quot;/&gt;&lt;wsp:rsid wsp:val=&quot;007B7B4E&quot;/&gt;&lt;wsp:rsid wsp:val=&quot;007B7D40&quot;/&gt;&lt;wsp:rsid wsp:val=&quot;007B7DAA&quot;/&gt;&lt;wsp:rsid wsp:val=&quot;007C0325&quot;/&gt;&lt;wsp:rsid wsp:val=&quot;007C0A63&quot;/&gt;&lt;wsp:rsid wsp:val=&quot;007C1109&quot;/&gt;&lt;wsp:rsid wsp:val=&quot;007C18E2&quot;/&gt;&lt;wsp:rsid wsp:val=&quot;007C2156&quot;/&gt;&lt;wsp:rsid wsp:val=&quot;007C28A7&quot;/&gt;&lt;wsp:rsid wsp:val=&quot;007C28BC&quot;/&gt;&lt;wsp:rsid wsp:val=&quot;007C35BC&quot;/&gt;&lt;wsp:rsid wsp:val=&quot;007C45D2&quot;/&gt;&lt;wsp:rsid wsp:val=&quot;007C4CAC&quot;/&gt;&lt;wsp:rsid wsp:val=&quot;007C4E83&quot;/&gt;&lt;wsp:rsid wsp:val=&quot;007C71CA&quot;/&gt;&lt;wsp:rsid wsp:val=&quot;007D0041&quot;/&gt;&lt;wsp:rsid wsp:val=&quot;007D04C2&quot;/&gt;&lt;wsp:rsid wsp:val=&quot;007D1073&quot;/&gt;&lt;wsp:rsid wsp:val=&quot;007D1710&quot;/&gt;&lt;wsp:rsid wsp:val=&quot;007D2D2D&quot;/&gt;&lt;wsp:rsid wsp:val=&quot;007D35F0&quot;/&gt;&lt;wsp:rsid wsp:val=&quot;007D43C6&quot;/&gt;&lt;wsp:rsid wsp:val=&quot;007D4403&quot;/&gt;&lt;wsp:rsid wsp:val=&quot;007D47FB&quot;/&gt;&lt;wsp:rsid wsp:val=&quot;007D4936&quot;/&gt;&lt;wsp:rsid wsp:val=&quot;007D4AD6&quot;/&gt;&lt;wsp:rsid wsp:val=&quot;007D51B1&quot;/&gt;&lt;wsp:rsid wsp:val=&quot;007D57B7&quot;/&gt;&lt;wsp:rsid wsp:val=&quot;007D5BC4&quot;/&gt;&lt;wsp:rsid wsp:val=&quot;007D62E8&quot;/&gt;&lt;wsp:rsid wsp:val=&quot;007D6DD3&quot;/&gt;&lt;wsp:rsid wsp:val=&quot;007E040F&quot;/&gt;&lt;wsp:rsid wsp:val=&quot;007E066E&quot;/&gt;&lt;wsp:rsid wsp:val=&quot;007E08D6&quot;/&gt;&lt;wsp:rsid wsp:val=&quot;007E0B27&quot;/&gt;&lt;wsp:rsid wsp:val=&quot;007E0E91&quot;/&gt;&lt;wsp:rsid wsp:val=&quot;007E1072&quot;/&gt;&lt;wsp:rsid wsp:val=&quot;007E298B&quot;/&gt;&lt;wsp:rsid wsp:val=&quot;007E2B8F&quot;/&gt;&lt;wsp:rsid wsp:val=&quot;007E2F20&quot;/&gt;&lt;wsp:rsid wsp:val=&quot;007E3C3B&quot;/&gt;&lt;wsp:rsid wsp:val=&quot;007E4F43&quot;/&gt;&lt;wsp:rsid wsp:val=&quot;007E5B1B&quot;/&gt;&lt;wsp:rsid wsp:val=&quot;007E7608&quot;/&gt;&lt;wsp:rsid wsp:val=&quot;007F14AB&quot;/&gt;&lt;wsp:rsid wsp:val=&quot;007F160B&quot;/&gt;&lt;wsp:rsid wsp:val=&quot;007F1C9C&quot;/&gt;&lt;wsp:rsid wsp:val=&quot;007F2B2D&quot;/&gt;&lt;wsp:rsid wsp:val=&quot;007F35EA&quot;/&gt;&lt;wsp:rsid wsp:val=&quot;007F448C&quot;/&gt;&lt;wsp:rsid wsp:val=&quot;007F533C&quot;/&gt;&lt;wsp:rsid wsp:val=&quot;007F5C6C&quot;/&gt;&lt;wsp:rsid wsp:val=&quot;007F6662&quot;/&gt;&lt;wsp:rsid wsp:val=&quot;007F6AC6&quot;/&gt;&lt;wsp:rsid wsp:val=&quot;007F6E29&quot;/&gt;&lt;wsp:rsid wsp:val=&quot;007F719B&quot;/&gt;&lt;wsp:rsid wsp:val=&quot;007F7376&quot;/&gt;&lt;wsp:rsid wsp:val=&quot;00800D0C&quot;/&gt;&lt;wsp:rsid wsp:val=&quot;00800F5F&quot;/&gt;&lt;wsp:rsid wsp:val=&quot;00801192&quot;/&gt;&lt;wsp:rsid wsp:val=&quot;0080155B&quot;/&gt;&lt;wsp:rsid wsp:val=&quot;008028BB&quot;/&gt;&lt;wsp:rsid wsp:val=&quot;0080319D&quot;/&gt;&lt;wsp:rsid wsp:val=&quot;008034FB&quot;/&gt;&lt;wsp:rsid wsp:val=&quot;008046E9&quot;/&gt;&lt;wsp:rsid wsp:val=&quot;00804FEB&quot;/&gt;&lt;wsp:rsid wsp:val=&quot;00805290&quot;/&gt;&lt;wsp:rsid wsp:val=&quot;00805758&quot;/&gt;&lt;wsp:rsid wsp:val=&quot;0080590E&quot;/&gt;&lt;wsp:rsid wsp:val=&quot;00805E17&quot;/&gt;&lt;wsp:rsid wsp:val=&quot;00806035&quot;/&gt;&lt;wsp:rsid wsp:val=&quot;00806680&quot;/&gt;&lt;wsp:rsid wsp:val=&quot;008071CA&quot;/&gt;&lt;wsp:rsid wsp:val=&quot;008074F8&quot;/&gt;&lt;wsp:rsid wsp:val=&quot;0080768F&quot;/&gt;&lt;wsp:rsid wsp:val=&quot;00813146&quot;/&gt;&lt;wsp:rsid wsp:val=&quot;008131F0&quot;/&gt;&lt;wsp:rsid wsp:val=&quot;00814139&quot;/&gt;&lt;wsp:rsid wsp:val=&quot;00814D9A&quot;/&gt;&lt;wsp:rsid wsp:val=&quot;00815203&quot;/&gt;&lt;wsp:rsid wsp:val=&quot;00816080&quot;/&gt;&lt;wsp:rsid wsp:val=&quot;008166E2&quot;/&gt;&lt;wsp:rsid wsp:val=&quot;008169CC&quot;/&gt;&lt;wsp:rsid wsp:val=&quot;00816A66&quot;/&gt;&lt;wsp:rsid wsp:val=&quot;00817D29&quot;/&gt;&lt;wsp:rsid wsp:val=&quot;008200D9&quot;/&gt;&lt;wsp:rsid wsp:val=&quot;00820E63&quot;/&gt;&lt;wsp:rsid wsp:val=&quot;00823F9C&quot;/&gt;&lt;wsp:rsid wsp:val=&quot;008246E2&quot;/&gt;&lt;wsp:rsid wsp:val=&quot;00824B21&quot;/&gt;&lt;wsp:rsid wsp:val=&quot;00824C10&quot;/&gt;&lt;wsp:rsid wsp:val=&quot;008250E1&quot;/&gt;&lt;wsp:rsid wsp:val=&quot;00826C9C&quot;/&gt;&lt;wsp:rsid wsp:val=&quot;00826DF9&quot;/&gt;&lt;wsp:rsid wsp:val=&quot;0082729D&quot;/&gt;&lt;wsp:rsid wsp:val=&quot;008277C0&quot;/&gt;&lt;wsp:rsid wsp:val=&quot;00827D75&quot;/&gt;&lt;wsp:rsid wsp:val=&quot;00827F4B&quot;/&gt;&lt;wsp:rsid wsp:val=&quot;008313FD&quot;/&gt;&lt;wsp:rsid wsp:val=&quot;00831605&quot;/&gt;&lt;wsp:rsid wsp:val=&quot;00831C75&quot;/&gt;&lt;wsp:rsid wsp:val=&quot;0083220A&quot;/&gt;&lt;wsp:rsid wsp:val=&quot;00832600&quot;/&gt;&lt;wsp:rsid wsp:val=&quot;008326F5&quot;/&gt;&lt;wsp:rsid wsp:val=&quot;008328E2&quot;/&gt;&lt;wsp:rsid wsp:val=&quot;00833142&quot;/&gt;&lt;wsp:rsid wsp:val=&quot;00833CF0&quot;/&gt;&lt;wsp:rsid wsp:val=&quot;00834608&quot;/&gt;&lt;wsp:rsid wsp:val=&quot;00834946&quot;/&gt;&lt;wsp:rsid wsp:val=&quot;00834A4A&quot;/&gt;&lt;wsp:rsid wsp:val=&quot;00834AA2&quot;/&gt;&lt;wsp:rsid wsp:val=&quot;00834C24&quot;/&gt;&lt;wsp:rsid wsp:val=&quot;00835937&quot;/&gt;&lt;wsp:rsid wsp:val=&quot;00835AEC&quot;/&gt;&lt;wsp:rsid wsp:val=&quot;00835F98&quot;/&gt;&lt;wsp:rsid wsp:val=&quot;0083690A&quot;/&gt;&lt;wsp:rsid wsp:val=&quot;00836ADD&quot;/&gt;&lt;wsp:rsid wsp:val=&quot;00836BFB&quot;/&gt;&lt;wsp:rsid wsp:val=&quot;00836C93&quot;/&gt;&lt;wsp:rsid wsp:val=&quot;00837867&quot;/&gt;&lt;wsp:rsid wsp:val=&quot;008379F6&quot;/&gt;&lt;wsp:rsid wsp:val=&quot;00837BA4&quot;/&gt;&lt;wsp:rsid wsp:val=&quot;0084099B&quot;/&gt;&lt;wsp:rsid wsp:val=&quot;00840B3D&quot;/&gt;&lt;wsp:rsid wsp:val=&quot;00840BFB&quot;/&gt;&lt;wsp:rsid wsp:val=&quot;00840C01&quot;/&gt;&lt;wsp:rsid wsp:val=&quot;00840D6B&quot;/&gt;&lt;wsp:rsid wsp:val=&quot;00841A01&quot;/&gt;&lt;wsp:rsid wsp:val=&quot;00841A8C&quot;/&gt;&lt;wsp:rsid wsp:val=&quot;00841F48&quot;/&gt;&lt;wsp:rsid wsp:val=&quot;00842F5E&quot;/&gt;&lt;wsp:rsid wsp:val=&quot;00843174&quot;/&gt;&lt;wsp:rsid wsp:val=&quot;008436CA&quot;/&gt;&lt;wsp:rsid wsp:val=&quot;00843BA3&quot;/&gt;&lt;wsp:rsid wsp:val=&quot;00843BFE&quot;/&gt;&lt;wsp:rsid wsp:val=&quot;00843E56&quot;/&gt;&lt;wsp:rsid wsp:val=&quot;008440B2&quot;/&gt;&lt;wsp:rsid wsp:val=&quot;00844487&quot;/&gt;&lt;wsp:rsid wsp:val=&quot;00844DCE&quot;/&gt;&lt;wsp:rsid wsp:val=&quot;00846503&quot;/&gt;&lt;wsp:rsid wsp:val=&quot;00846807&quot;/&gt;&lt;wsp:rsid wsp:val=&quot;00847B4E&quot;/&gt;&lt;wsp:rsid wsp:val=&quot;00850D95&quot;/&gt;&lt;wsp:rsid wsp:val=&quot;00851318&quot;/&gt;&lt;wsp:rsid wsp:val=&quot;00851A67&quot;/&gt;&lt;wsp:rsid wsp:val=&quot;00851E7C&quot;/&gt;&lt;wsp:rsid wsp:val=&quot;00851EFD&quot;/&gt;&lt;wsp:rsid wsp:val=&quot;00852E90&quot;/&gt;&lt;wsp:rsid wsp:val=&quot;008532DA&quot;/&gt;&lt;wsp:rsid wsp:val=&quot;0085387A&quot;/&gt;&lt;wsp:rsid wsp:val=&quot;00853950&quot;/&gt;&lt;wsp:rsid wsp:val=&quot;00853D52&quot;/&gt;&lt;wsp:rsid wsp:val=&quot;008542FE&quot;/&gt;&lt;wsp:rsid wsp:val=&quot;008545E8&quot;/&gt;&lt;wsp:rsid wsp:val=&quot;008549AC&quot;/&gt;&lt;wsp:rsid wsp:val=&quot;00854FC0&quot;/&gt;&lt;wsp:rsid wsp:val=&quot;00856562&quot;/&gt;&lt;wsp:rsid wsp:val=&quot;00856913&quot;/&gt;&lt;wsp:rsid wsp:val=&quot;008573E1&quot;/&gt;&lt;wsp:rsid wsp:val=&quot;008579AD&quot;/&gt;&lt;wsp:rsid wsp:val=&quot;00857DE7&quot;/&gt;&lt;wsp:rsid wsp:val=&quot;00857E5C&quot;/&gt;&lt;wsp:rsid wsp:val=&quot;00860521&quot;/&gt;&lt;wsp:rsid wsp:val=&quot;00860922&quot;/&gt;&lt;wsp:rsid wsp:val=&quot;0086116D&quot;/&gt;&lt;wsp:rsid wsp:val=&quot;00861B66&quot;/&gt;&lt;wsp:rsid wsp:val=&quot;00862133&quot;/&gt;&lt;wsp:rsid wsp:val=&quot;00863E9D&quot;/&gt;&lt;wsp:rsid wsp:val=&quot;00864522&quot;/&gt;&lt;wsp:rsid wsp:val=&quot;00864B33&quot;/&gt;&lt;wsp:rsid wsp:val=&quot;00865506&quot;/&gt;&lt;wsp:rsid wsp:val=&quot;008655ED&quot;/&gt;&lt;wsp:rsid wsp:val=&quot;008662E8&quot;/&gt;&lt;wsp:rsid wsp:val=&quot;008707EE&quot;/&gt;&lt;wsp:rsid wsp:val=&quot;0087106B&quot;/&gt;&lt;wsp:rsid wsp:val=&quot;0087223F&quot;/&gt;&lt;wsp:rsid wsp:val=&quot;00873401&quot;/&gt;&lt;wsp:rsid wsp:val=&quot;0087346A&quot;/&gt;&lt;wsp:rsid wsp:val=&quot;00873C10&quot;/&gt;&lt;wsp:rsid wsp:val=&quot;00873F43&quot;/&gt;&lt;wsp:rsid wsp:val=&quot;008749B0&quot;/&gt;&lt;wsp:rsid wsp:val=&quot;00874D3B&quot;/&gt;&lt;wsp:rsid wsp:val=&quot;0087514E&quot;/&gt;&lt;wsp:rsid wsp:val=&quot;0087592C&quot;/&gt;&lt;wsp:rsid wsp:val=&quot;00875971&quot;/&gt;&lt;wsp:rsid wsp:val=&quot;008761D5&quot;/&gt;&lt;wsp:rsid wsp:val=&quot;0087691B&quot;/&gt;&lt;wsp:rsid wsp:val=&quot;00876D7A&quot;/&gt;&lt;wsp:rsid wsp:val=&quot;00876E68&quot;/&gt;&lt;wsp:rsid wsp:val=&quot;0087714C&quot;/&gt;&lt;wsp:rsid wsp:val=&quot;00877572&quot;/&gt;&lt;wsp:rsid wsp:val=&quot;008800B1&quot;/&gt;&lt;wsp:rsid wsp:val=&quot;00880876&quot;/&gt;&lt;wsp:rsid wsp:val=&quot;008818CA&quot;/&gt;&lt;wsp:rsid wsp:val=&quot;00881D39&quot;/&gt;&lt;wsp:rsid wsp:val=&quot;00882FAA&quot;/&gt;&lt;wsp:rsid wsp:val=&quot;008838D9&quot;/&gt;&lt;wsp:rsid wsp:val=&quot;008839A3&quot;/&gt;&lt;wsp:rsid wsp:val=&quot;00885289&quot;/&gt;&lt;wsp:rsid wsp:val=&quot;0088539D&quot;/&gt;&lt;wsp:rsid wsp:val=&quot;00885472&quot;/&gt;&lt;wsp:rsid wsp:val=&quot;00885BB5&quot;/&gt;&lt;wsp:rsid wsp:val=&quot;0088622D&quot;/&gt;&lt;wsp:rsid wsp:val=&quot;00886598&quot;/&gt;&lt;wsp:rsid wsp:val=&quot;008868B5&quot;/&gt;&lt;wsp:rsid wsp:val=&quot;008878FC&quot;/&gt;&lt;wsp:rsid wsp:val=&quot;00887C7E&quot;/&gt;&lt;wsp:rsid wsp:val=&quot;0089022B&quot;/&gt;&lt;wsp:rsid wsp:val=&quot;00890E54&quot;/&gt;&lt;wsp:rsid wsp:val=&quot;00890EE3&quot;/&gt;&lt;wsp:rsid wsp:val=&quot;00890F6E&quot;/&gt;&lt;wsp:rsid wsp:val=&quot;00891265&quot;/&gt;&lt;wsp:rsid wsp:val=&quot;00891A85&quot;/&gt;&lt;wsp:rsid wsp:val=&quot;00891E11&quot;/&gt;&lt;wsp:rsid wsp:val=&quot;00892273&quot;/&gt;&lt;wsp:rsid wsp:val=&quot;008929FD&quot;/&gt;&lt;wsp:rsid wsp:val=&quot;00893705&quot;/&gt;&lt;wsp:rsid wsp:val=&quot;00893A7B&quot;/&gt;&lt;wsp:rsid wsp:val=&quot;00893C31&quot;/&gt;&lt;wsp:rsid wsp:val=&quot;008944A8&quot;/&gt;&lt;wsp:rsid wsp:val=&quot;00894F86&quot;/&gt;&lt;wsp:rsid wsp:val=&quot;008957BA&quot;/&gt;&lt;wsp:rsid wsp:val=&quot;00895E07&quot;/&gt;&lt;wsp:rsid wsp:val=&quot;008960B8&quot;/&gt;&lt;wsp:rsid wsp:val=&quot;00896F2B&quot;/&gt;&lt;wsp:rsid wsp:val=&quot;008971CE&quot;/&gt;&lt;wsp:rsid wsp:val=&quot;00897331&quot;/&gt;&lt;wsp:rsid wsp:val=&quot;0089736F&quot;/&gt;&lt;wsp:rsid wsp:val=&quot;008973FF&quot;/&gt;&lt;wsp:rsid wsp:val=&quot;00897C57&quot;/&gt;&lt;wsp:rsid wsp:val=&quot;00897D56&quot;/&gt;&lt;wsp:rsid wsp:val=&quot;008A0EFB&quot;/&gt;&lt;wsp:rsid wsp:val=&quot;008A1446&quot;/&gt;&lt;wsp:rsid wsp:val=&quot;008A284F&quot;/&gt;&lt;wsp:rsid wsp:val=&quot;008A2905&quot;/&gt;&lt;wsp:rsid wsp:val=&quot;008A2C88&quot;/&gt;&lt;wsp:rsid wsp:val=&quot;008A318D&quot;/&gt;&lt;wsp:rsid wsp:val=&quot;008A34CD&quot;/&gt;&lt;wsp:rsid wsp:val=&quot;008A42DF&quot;/&gt;&lt;wsp:rsid wsp:val=&quot;008A553F&quot;/&gt;&lt;wsp:rsid wsp:val=&quot;008A591C&quot;/&gt;&lt;wsp:rsid wsp:val=&quot;008A5990&quot;/&gt;&lt;wsp:rsid wsp:val=&quot;008A5A4C&quot;/&gt;&lt;wsp:rsid wsp:val=&quot;008A5B1F&quot;/&gt;&lt;wsp:rsid wsp:val=&quot;008A66B6&quot;/&gt;&lt;wsp:rsid wsp:val=&quot;008A6DD1&quot;/&gt;&lt;wsp:rsid wsp:val=&quot;008A6E0C&quot;/&gt;&lt;wsp:rsid wsp:val=&quot;008A6FF8&quot;/&gt;&lt;wsp:rsid wsp:val=&quot;008A74F9&quot;/&gt;&lt;wsp:rsid wsp:val=&quot;008A7682&quot;/&gt;&lt;wsp:rsid wsp:val=&quot;008B01F3&quot;/&gt;&lt;wsp:rsid wsp:val=&quot;008B04AC&quot;/&gt;&lt;wsp:rsid wsp:val=&quot;008B09EF&quot;/&gt;&lt;wsp:rsid wsp:val=&quot;008B09F5&quot;/&gt;&lt;wsp:rsid wsp:val=&quot;008B0B1F&quot;/&gt;&lt;wsp:rsid wsp:val=&quot;008B0B65&quot;/&gt;&lt;wsp:rsid wsp:val=&quot;008B1540&quot;/&gt;&lt;wsp:rsid wsp:val=&quot;008B1927&quot;/&gt;&lt;wsp:rsid wsp:val=&quot;008B1CA3&quot;/&gt;&lt;wsp:rsid wsp:val=&quot;008B21B4&quot;/&gt;&lt;wsp:rsid wsp:val=&quot;008B2920&quot;/&gt;&lt;wsp:rsid wsp:val=&quot;008B2CDB&quot;/&gt;&lt;wsp:rsid wsp:val=&quot;008B30B3&quot;/&gt;&lt;wsp:rsid wsp:val=&quot;008B3157&quot;/&gt;&lt;wsp:rsid wsp:val=&quot;008B3784&quot;/&gt;&lt;wsp:rsid wsp:val=&quot;008B3A7A&quot;/&gt;&lt;wsp:rsid wsp:val=&quot;008B4297&quot;/&gt;&lt;wsp:rsid wsp:val=&quot;008B43E7&quot;/&gt;&lt;wsp:rsid wsp:val=&quot;008B48E2&quot;/&gt;&lt;wsp:rsid wsp:val=&quot;008B4C7C&quot;/&gt;&lt;wsp:rsid wsp:val=&quot;008B4D5E&quot;/&gt;&lt;wsp:rsid wsp:val=&quot;008B4F14&quot;/&gt;&lt;wsp:rsid wsp:val=&quot;008B507C&quot;/&gt;&lt;wsp:rsid wsp:val=&quot;008B57D7&quot;/&gt;&lt;wsp:rsid wsp:val=&quot;008B6334&quot;/&gt;&lt;wsp:rsid wsp:val=&quot;008B653A&quot;/&gt;&lt;wsp:rsid wsp:val=&quot;008B739A&quot;/&gt;&lt;wsp:rsid wsp:val=&quot;008B7A2A&quot;/&gt;&lt;wsp:rsid wsp:val=&quot;008B7B0F&quot;/&gt;&lt;wsp:rsid wsp:val=&quot;008B7FBB&quot;/&gt;&lt;wsp:rsid wsp:val=&quot;008C0601&quot;/&gt;&lt;wsp:rsid wsp:val=&quot;008C0A5D&quot;/&gt;&lt;wsp:rsid wsp:val=&quot;008C1361&quot;/&gt;&lt;wsp:rsid wsp:val=&quot;008C21D0&quot;/&gt;&lt;wsp:rsid wsp:val=&quot;008C326F&quot;/&gt;&lt;wsp:rsid wsp:val=&quot;008C457B&quot;/&gt;&lt;wsp:rsid wsp:val=&quot;008C54B2&quot;/&gt;&lt;wsp:rsid wsp:val=&quot;008C55B2&quot;/&gt;&lt;wsp:rsid wsp:val=&quot;008C771A&quot;/&gt;&lt;wsp:rsid wsp:val=&quot;008D0858&quot;/&gt;&lt;wsp:rsid wsp:val=&quot;008D0E4E&quot;/&gt;&lt;wsp:rsid wsp:val=&quot;008D14CD&quot;/&gt;&lt;wsp:rsid wsp:val=&quot;008D2E3E&quot;/&gt;&lt;wsp:rsid wsp:val=&quot;008D3C9D&quot;/&gt;&lt;wsp:rsid wsp:val=&quot;008D4426&quot;/&gt;&lt;wsp:rsid wsp:val=&quot;008D48F8&quot;/&gt;&lt;wsp:rsid wsp:val=&quot;008D50DD&quot;/&gt;&lt;wsp:rsid wsp:val=&quot;008D519D&quot;/&gt;&lt;wsp:rsid wsp:val=&quot;008D55A7&quot;/&gt;&lt;wsp:rsid wsp:val=&quot;008D57CB&quot;/&gt;&lt;wsp:rsid wsp:val=&quot;008D58EB&quot;/&gt;&lt;wsp:rsid wsp:val=&quot;008D5B25&quot;/&gt;&lt;wsp:rsid wsp:val=&quot;008D5CEF&quot;/&gt;&lt;wsp:rsid wsp:val=&quot;008D6370&quot;/&gt;&lt;wsp:rsid wsp:val=&quot;008D6AD3&quot;/&gt;&lt;wsp:rsid wsp:val=&quot;008D6FEC&quot;/&gt;&lt;wsp:rsid wsp:val=&quot;008D70FB&quot;/&gt;&lt;wsp:rsid wsp:val=&quot;008D7B48&quot;/&gt;&lt;wsp:rsid wsp:val=&quot;008E0929&quot;/&gt;&lt;wsp:rsid wsp:val=&quot;008E20D6&quot;/&gt;&lt;wsp:rsid wsp:val=&quot;008E2BC7&quot;/&gt;&lt;wsp:rsid wsp:val=&quot;008E30A0&quot;/&gt;&lt;wsp:rsid wsp:val=&quot;008E30D0&quot;/&gt;&lt;wsp:rsid wsp:val=&quot;008E36DF&quot;/&gt;&lt;wsp:rsid wsp:val=&quot;008E4B43&quot;/&gt;&lt;wsp:rsid wsp:val=&quot;008E61B5&quot;/&gt;&lt;wsp:rsid wsp:val=&quot;008E6EA3&quot;/&gt;&lt;wsp:rsid wsp:val=&quot;008E71F7&quot;/&gt;&lt;wsp:rsid wsp:val=&quot;008F0916&quot;/&gt;&lt;wsp:rsid wsp:val=&quot;008F115D&quot;/&gt;&lt;wsp:rsid wsp:val=&quot;008F173E&quot;/&gt;&lt;wsp:rsid wsp:val=&quot;008F27EA&quot;/&gt;&lt;wsp:rsid wsp:val=&quot;008F2BEA&quot;/&gt;&lt;wsp:rsid wsp:val=&quot;008F3629&quot;/&gt;&lt;wsp:rsid wsp:val=&quot;008F39DD&quot;/&gt;&lt;wsp:rsid wsp:val=&quot;008F4286&quot;/&gt;&lt;wsp:rsid wsp:val=&quot;008F5A1A&quot;/&gt;&lt;wsp:rsid wsp:val=&quot;008F5E52&quot;/&gt;&lt;wsp:rsid wsp:val=&quot;008F6028&quot;/&gt;&lt;wsp:rsid wsp:val=&quot;008F6CFE&quot;/&gt;&lt;wsp:rsid wsp:val=&quot;008F6D79&quot;/&gt;&lt;wsp:rsid wsp:val=&quot;008F7B7E&quot;/&gt;&lt;wsp:rsid wsp:val=&quot;00900835&quot;/&gt;&lt;wsp:rsid wsp:val=&quot;00901A33&quot;/&gt;&lt;wsp:rsid wsp:val=&quot;00901EFB&quot;/&gt;&lt;wsp:rsid wsp:val=&quot;00902067&quot;/&gt;&lt;wsp:rsid wsp:val=&quot;009030CF&quot;/&gt;&lt;wsp:rsid wsp:val=&quot;00903252&quot;/&gt;&lt;wsp:rsid wsp:val=&quot;0090385F&quot;/&gt;&lt;wsp:rsid wsp:val=&quot;00903D36&quot;/&gt;&lt;wsp:rsid wsp:val=&quot;00903FF4&quot;/&gt;&lt;wsp:rsid wsp:val=&quot;009051F5&quot;/&gt;&lt;wsp:rsid wsp:val=&quot;0090526C&quot;/&gt;&lt;wsp:rsid wsp:val=&quot;0090626E&quot;/&gt;&lt;wsp:rsid wsp:val=&quot;009062BD&quot;/&gt;&lt;wsp:rsid wsp:val=&quot;00906C99&quot;/&gt;&lt;wsp:rsid wsp:val=&quot;00907618&quot;/&gt;&lt;wsp:rsid wsp:val=&quot;009109C7&quot;/&gt;&lt;wsp:rsid wsp:val=&quot;0091100D&quot;/&gt;&lt;wsp:rsid wsp:val=&quot;0091118E&quot;/&gt;&lt;wsp:rsid wsp:val=&quot;00911A17&quot;/&gt;&lt;wsp:rsid wsp:val=&quot;0091245C&quot;/&gt;&lt;wsp:rsid wsp:val=&quot;00913768&quot;/&gt;&lt;wsp:rsid wsp:val=&quot;00913B65&quot;/&gt;&lt;wsp:rsid wsp:val=&quot;0091439B&quot;/&gt;&lt;wsp:rsid wsp:val=&quot;009155C7&quot;/&gt;&lt;wsp:rsid wsp:val=&quot;00915632&quot;/&gt;&lt;wsp:rsid wsp:val=&quot;00915A8B&quot;/&gt;&lt;wsp:rsid wsp:val=&quot;00915ADF&quot;/&gt;&lt;wsp:rsid wsp:val=&quot;00915C0C&quot;/&gt;&lt;wsp:rsid wsp:val=&quot;00916338&quot;/&gt;&lt;wsp:rsid wsp:val=&quot;00916635&quot;/&gt;&lt;wsp:rsid wsp:val=&quot;00916DA0&quot;/&gt;&lt;wsp:rsid wsp:val=&quot;009170F8&quot;/&gt;&lt;wsp:rsid wsp:val=&quot;00920B2A&quot;/&gt;&lt;wsp:rsid wsp:val=&quot;0092107E&quot;/&gt;&lt;wsp:rsid wsp:val=&quot;00921629&quot;/&gt;&lt;wsp:rsid wsp:val=&quot;009237F2&quot;/&gt;&lt;wsp:rsid wsp:val=&quot;009239ED&quot;/&gt;&lt;wsp:rsid wsp:val=&quot;00923C62&quot;/&gt;&lt;wsp:rsid wsp:val=&quot;0092408F&quot;/&gt;&lt;wsp:rsid wsp:val=&quot;0092431B&quot;/&gt;&lt;wsp:rsid wsp:val=&quot;0092520E&quot;/&gt;&lt;wsp:rsid wsp:val=&quot;0092559B&quot;/&gt;&lt;wsp:rsid wsp:val=&quot;00925E6C&quot;/&gt;&lt;wsp:rsid wsp:val=&quot;009269B6&quot;/&gt;&lt;wsp:rsid wsp:val=&quot;00926A0B&quot;/&gt;&lt;wsp:rsid wsp:val=&quot;00926FF8&quot;/&gt;&lt;wsp:rsid wsp:val=&quot;00927963&quot;/&gt;&lt;wsp:rsid wsp:val=&quot;00927E17&quot;/&gt;&lt;wsp:rsid wsp:val=&quot;00930185&quot;/&gt;&lt;wsp:rsid wsp:val=&quot;0093107D&quot;/&gt;&lt;wsp:rsid wsp:val=&quot;009314AF&quot;/&gt;&lt;wsp:rsid wsp:val=&quot;00931561&quot;/&gt;&lt;wsp:rsid wsp:val=&quot;009319DB&quot;/&gt;&lt;wsp:rsid wsp:val=&quot;00932112&quot;/&gt;&lt;wsp:rsid wsp:val=&quot;00933EB9&quot;/&gt;&lt;wsp:rsid wsp:val=&quot;0093421A&quot;/&gt;&lt;wsp:rsid wsp:val=&quot;00934309&quot;/&gt;&lt;wsp:rsid wsp:val=&quot;0093526E&quot;/&gt;&lt;wsp:rsid wsp:val=&quot;009366FE&quot;/&gt;&lt;wsp:rsid wsp:val=&quot;00936A31&quot;/&gt;&lt;wsp:rsid wsp:val=&quot;00936F3F&quot;/&gt;&lt;wsp:rsid wsp:val=&quot;00937A71&quot;/&gt;&lt;wsp:rsid wsp:val=&quot;00937B22&quot;/&gt;&lt;wsp:rsid wsp:val=&quot;00937BFD&quot;/&gt;&lt;wsp:rsid wsp:val=&quot;00940931&quot;/&gt;&lt;wsp:rsid wsp:val=&quot;0094154F&quot;/&gt;&lt;wsp:rsid wsp:val=&quot;00943482&quot;/&gt;&lt;wsp:rsid wsp:val=&quot;00943621&quot;/&gt;&lt;wsp:rsid wsp:val=&quot;0094460B&quot;/&gt;&lt;wsp:rsid wsp:val=&quot;00944B10&quot;/&gt;&lt;wsp:rsid wsp:val=&quot;009452FE&quot;/&gt;&lt;wsp:rsid wsp:val=&quot;00945AE0&quot;/&gt;&lt;wsp:rsid wsp:val=&quot;0094661E&quot;/&gt;&lt;wsp:rsid wsp:val=&quot;00946A3C&quot;/&gt;&lt;wsp:rsid wsp:val=&quot;00946AF2&quot;/&gt;&lt;wsp:rsid wsp:val=&quot;00946D55&quot;/&gt;&lt;wsp:rsid wsp:val=&quot;009477DE&quot;/&gt;&lt;wsp:rsid wsp:val=&quot;0094788D&quot;/&gt;&lt;wsp:rsid wsp:val=&quot;0095075F&quot;/&gt;&lt;wsp:rsid wsp:val=&quot;00950BB5&quot;/&gt;&lt;wsp:rsid wsp:val=&quot;009516B0&quot;/&gt;&lt;wsp:rsid wsp:val=&quot;00951AD3&quot;/&gt;&lt;wsp:rsid wsp:val=&quot;00951E6C&quot;/&gt;&lt;wsp:rsid wsp:val=&quot;009522C2&quot;/&gt;&lt;wsp:rsid wsp:val=&quot;00952A44&quot;/&gt;&lt;wsp:rsid wsp:val=&quot;00952B2E&quot;/&gt;&lt;wsp:rsid wsp:val=&quot;00952F4E&quot;/&gt;&lt;wsp:rsid wsp:val=&quot;00953AA4&quot;/&gt;&lt;wsp:rsid wsp:val=&quot;009549EA&quot;/&gt;&lt;wsp:rsid wsp:val=&quot;0095565F&quot;/&gt;&lt;wsp:rsid wsp:val=&quot;00955A57&quot;/&gt;&lt;wsp:rsid wsp:val=&quot;00956031&quot;/&gt;&lt;wsp:rsid wsp:val=&quot;00956698&quot;/&gt;&lt;wsp:rsid wsp:val=&quot;00956987&quot;/&gt;&lt;wsp:rsid wsp:val=&quot;009569DB&quot;/&gt;&lt;wsp:rsid wsp:val=&quot;00956C71&quot;/&gt;&lt;wsp:rsid wsp:val=&quot;00956E40&quot;/&gt;&lt;wsp:rsid wsp:val=&quot;00956FDA&quot;/&gt;&lt;wsp:rsid wsp:val=&quot;00957367&quot;/&gt;&lt;wsp:rsid wsp:val=&quot;00957890&quot;/&gt;&lt;wsp:rsid wsp:val=&quot;00957E1E&quot;/&gt;&lt;wsp:rsid wsp:val=&quot;00960110&quot;/&gt;&lt;wsp:rsid wsp:val=&quot;00960DC2&quot;/&gt;&lt;wsp:rsid wsp:val=&quot;009610A0&quot;/&gt;&lt;wsp:rsid wsp:val=&quot;00961569&quot;/&gt;&lt;wsp:rsid wsp:val=&quot;00962FAF&quot;/&gt;&lt;wsp:rsid wsp:val=&quot;009643D9&quot;/&gt;&lt;wsp:rsid wsp:val=&quot;00964535&quot;/&gt;&lt;wsp:rsid wsp:val=&quot;00965033&quot;/&gt;&lt;wsp:rsid wsp:val=&quot;0096533F&quot;/&gt;&lt;wsp:rsid wsp:val=&quot;009662D5&quot;/&gt;&lt;wsp:rsid wsp:val=&quot;00966571&quot;/&gt;&lt;wsp:rsid wsp:val=&quot;00967A1F&quot;/&gt;&lt;wsp:rsid wsp:val=&quot;00967B2F&quot;/&gt;&lt;wsp:rsid wsp:val=&quot;00967D99&quot;/&gt;&lt;wsp:rsid wsp:val=&quot;00967F5E&quot;/&gt;&lt;wsp:rsid wsp:val=&quot;00971016&quot;/&gt;&lt;wsp:rsid wsp:val=&quot;0097158F&quot;/&gt;&lt;wsp:rsid wsp:val=&quot;0097176A&quot;/&gt;&lt;wsp:rsid wsp:val=&quot;0097246C&quot;/&gt;&lt;wsp:rsid wsp:val=&quot;00972FF4&quot;/&gt;&lt;wsp:rsid wsp:val=&quot;009738AC&quot;/&gt;&lt;wsp:rsid wsp:val=&quot;00973A25&quot;/&gt;&lt;wsp:rsid wsp:val=&quot;00973AF5&quot;/&gt;&lt;wsp:rsid wsp:val=&quot;00974641&quot;/&gt;&lt;wsp:rsid wsp:val=&quot;00975729&quot;/&gt;&lt;wsp:rsid wsp:val=&quot;00975E5B&quot;/&gt;&lt;wsp:rsid wsp:val=&quot;00976528&quot;/&gt;&lt;wsp:rsid wsp:val=&quot;009772B1&quot;/&gt;&lt;wsp:rsid wsp:val=&quot;0097771A&quot;/&gt;&lt;wsp:rsid wsp:val=&quot;00977C77&quot;/&gt;&lt;wsp:rsid wsp:val=&quot;00977D18&quot;/&gt;&lt;wsp:rsid wsp:val=&quot;00980111&quot;/&gt;&lt;wsp:rsid wsp:val=&quot;00980AF5&quot;/&gt;&lt;wsp:rsid wsp:val=&quot;009819CC&quot;/&gt;&lt;wsp:rsid wsp:val=&quot;00981E30&quot;/&gt;&lt;wsp:rsid wsp:val=&quot;009826D1&quot;/&gt;&lt;wsp:rsid wsp:val=&quot;0098279F&quot;/&gt;&lt;wsp:rsid wsp:val=&quot;00982909&quot;/&gt;&lt;wsp:rsid wsp:val=&quot;0098312D&quot;/&gt;&lt;wsp:rsid wsp:val=&quot;009836A4&quot;/&gt;&lt;wsp:rsid wsp:val=&quot;00983899&quot;/&gt;&lt;wsp:rsid wsp:val=&quot;00983C80&quot;/&gt;&lt;wsp:rsid wsp:val=&quot;0098415D&quot;/&gt;&lt;wsp:rsid wsp:val=&quot;009841D3&quot;/&gt;&lt;wsp:rsid wsp:val=&quot;00984739&quot;/&gt;&lt;wsp:rsid wsp:val=&quot;0098486B&quot;/&gt;&lt;wsp:rsid wsp:val=&quot;00984DDB&quot;/&gt;&lt;wsp:rsid wsp:val=&quot;0098504F&quot;/&gt;&lt;wsp:rsid wsp:val=&quot;009851B9&quot;/&gt;&lt;wsp:rsid wsp:val=&quot;009852CD&quot;/&gt;&lt;wsp:rsid wsp:val=&quot;00985B49&quot;/&gt;&lt;wsp:rsid wsp:val=&quot;009900AE&quot;/&gt;&lt;wsp:rsid wsp:val=&quot;00990796&quot;/&gt;&lt;wsp:rsid wsp:val=&quot;00991064&quot;/&gt;&lt;wsp:rsid wsp:val=&quot;009917B6&quot;/&gt;&lt;wsp:rsid wsp:val=&quot;00993A3F&quot;/&gt;&lt;wsp:rsid wsp:val=&quot;00993E6A&quot;/&gt;&lt;wsp:rsid wsp:val=&quot;00995A99&quot;/&gt;&lt;wsp:rsid wsp:val=&quot;00997BCA&quot;/&gt;&lt;wsp:rsid wsp:val=&quot;009A0A04&quot;/&gt;&lt;wsp:rsid wsp:val=&quot;009A1CE9&quot;/&gt;&lt;wsp:rsid wsp:val=&quot;009A1EFC&quot;/&gt;&lt;wsp:rsid wsp:val=&quot;009A267F&quot;/&gt;&lt;wsp:rsid wsp:val=&quot;009A2C85&quot;/&gt;&lt;wsp:rsid wsp:val=&quot;009A2DED&quot;/&gt;&lt;wsp:rsid wsp:val=&quot;009A3029&quot;/&gt;&lt;wsp:rsid wsp:val=&quot;009A37DC&quot;/&gt;&lt;wsp:rsid wsp:val=&quot;009A53EA&quot;/&gt;&lt;wsp:rsid wsp:val=&quot;009A56A7&quot;/&gt;&lt;wsp:rsid wsp:val=&quot;009A7AB2&quot;/&gt;&lt;wsp:rsid wsp:val=&quot;009B0144&quot;/&gt;&lt;wsp:rsid wsp:val=&quot;009B17AE&quot;/&gt;&lt;wsp:rsid wsp:val=&quot;009B19CD&quot;/&gt;&lt;wsp:rsid wsp:val=&quot;009B1B85&quot;/&gt;&lt;wsp:rsid wsp:val=&quot;009B1D1C&quot;/&gt;&lt;wsp:rsid wsp:val=&quot;009B5BE1&quot;/&gt;&lt;wsp:rsid wsp:val=&quot;009B7B39&quot;/&gt;&lt;wsp:rsid wsp:val=&quot;009C06DD&quot;/&gt;&lt;wsp:rsid wsp:val=&quot;009C0874&quot;/&gt;&lt;wsp:rsid wsp:val=&quot;009C1344&quot;/&gt;&lt;wsp:rsid wsp:val=&quot;009C240C&quot;/&gt;&lt;wsp:rsid wsp:val=&quot;009C2467&quot;/&gt;&lt;wsp:rsid wsp:val=&quot;009C346B&quot;/&gt;&lt;wsp:rsid wsp:val=&quot;009C36A0&quot;/&gt;&lt;wsp:rsid wsp:val=&quot;009C3ADC&quot;/&gt;&lt;wsp:rsid wsp:val=&quot;009C4F30&quot;/&gt;&lt;wsp:rsid wsp:val=&quot;009C54F1&quot;/&gt;&lt;wsp:rsid wsp:val=&quot;009C5AAD&quot;/&gt;&lt;wsp:rsid wsp:val=&quot;009C5D14&quot;/&gt;&lt;wsp:rsid wsp:val=&quot;009C607D&quot;/&gt;&lt;wsp:rsid wsp:val=&quot;009C61C2&quot;/&gt;&lt;wsp:rsid wsp:val=&quot;009C6297&quot;/&gt;&lt;wsp:rsid wsp:val=&quot;009C63C3&quot;/&gt;&lt;wsp:rsid wsp:val=&quot;009C68CA&quot;/&gt;&lt;wsp:rsid wsp:val=&quot;009C6D18&quot;/&gt;&lt;wsp:rsid wsp:val=&quot;009D032A&quot;/&gt;&lt;wsp:rsid wsp:val=&quot;009D0396&quot;/&gt;&lt;wsp:rsid wsp:val=&quot;009D077C&quot;/&gt;&lt;wsp:rsid wsp:val=&quot;009D1E0F&quot;/&gt;&lt;wsp:rsid wsp:val=&quot;009D20DA&quot;/&gt;&lt;wsp:rsid wsp:val=&quot;009D21EA&quot;/&gt;&lt;wsp:rsid wsp:val=&quot;009D23DD&quot;/&gt;&lt;wsp:rsid wsp:val=&quot;009D26EE&quot;/&gt;&lt;wsp:rsid wsp:val=&quot;009D37A3&quot;/&gt;&lt;wsp:rsid wsp:val=&quot;009D3ED2&quot;/&gt;&lt;wsp:rsid wsp:val=&quot;009D4BDA&quot;/&gt;&lt;wsp:rsid wsp:val=&quot;009D6527&quot;/&gt;&lt;wsp:rsid wsp:val=&quot;009D65AC&quot;/&gt;&lt;wsp:rsid wsp:val=&quot;009D6D95&quot;/&gt;&lt;wsp:rsid wsp:val=&quot;009D6FF6&quot;/&gt;&lt;wsp:rsid wsp:val=&quot;009D720A&quot;/&gt;&lt;wsp:rsid wsp:val=&quot;009D789E&quot;/&gt;&lt;wsp:rsid wsp:val=&quot;009D7C77&quot;/&gt;&lt;wsp:rsid wsp:val=&quot;009E0C8D&quot;/&gt;&lt;wsp:rsid wsp:val=&quot;009E13E1&quot;/&gt;&lt;wsp:rsid wsp:val=&quot;009E19D6&quot;/&gt;&lt;wsp:rsid wsp:val=&quot;009E1E02&quot;/&gt;&lt;wsp:rsid wsp:val=&quot;009E484C&quot;/&gt;&lt;wsp:rsid wsp:val=&quot;009E4C45&quot;/&gt;&lt;wsp:rsid wsp:val=&quot;009E51AF&quot;/&gt;&lt;wsp:rsid wsp:val=&quot;009E5608&quot;/&gt;&lt;wsp:rsid wsp:val=&quot;009E574B&quot;/&gt;&lt;wsp:rsid wsp:val=&quot;009E58F5&quot;/&gt;&lt;wsp:rsid wsp:val=&quot;009E640F&quot;/&gt;&lt;wsp:rsid wsp:val=&quot;009E66FE&quot;/&gt;&lt;wsp:rsid wsp:val=&quot;009E702A&quot;/&gt;&lt;wsp:rsid wsp:val=&quot;009F0E32&quot;/&gt;&lt;wsp:rsid wsp:val=&quot;009F1E97&quot;/&gt;&lt;wsp:rsid wsp:val=&quot;009F2605&quot;/&gt;&lt;wsp:rsid wsp:val=&quot;009F27CA&quot;/&gt;&lt;wsp:rsid wsp:val=&quot;009F3075&quot;/&gt;&lt;wsp:rsid wsp:val=&quot;009F46B0&quot;/&gt;&lt;wsp:rsid wsp:val=&quot;009F5373&quot;/&gt;&lt;wsp:rsid wsp:val=&quot;009F5BB8&quot;/&gt;&lt;wsp:rsid wsp:val=&quot;009F6D75&quot;/&gt;&lt;wsp:rsid wsp:val=&quot;009F6F44&quot;/&gt;&lt;wsp:rsid wsp:val=&quot;009F7509&quot;/&gt;&lt;wsp:rsid wsp:val=&quot;009F7B68&quot;/&gt;&lt;wsp:rsid wsp:val=&quot;00A003D5&quot;/&gt;&lt;wsp:rsid wsp:val=&quot;00A0112B&quot;/&gt;&lt;wsp:rsid wsp:val=&quot;00A011C9&quot;/&gt;&lt;wsp:rsid wsp:val=&quot;00A01699&quot;/&gt;&lt;wsp:rsid wsp:val=&quot;00A01FD4&quot;/&gt;&lt;wsp:rsid wsp:val=&quot;00A02953&quot;/&gt;&lt;wsp:rsid wsp:val=&quot;00A02E62&quot;/&gt;&lt;wsp:rsid wsp:val=&quot;00A02F39&quot;/&gt;&lt;wsp:rsid wsp:val=&quot;00A0302E&quot;/&gt;&lt;wsp:rsid wsp:val=&quot;00A046C6&quot;/&gt;&lt;wsp:rsid wsp:val=&quot;00A04D08&quot;/&gt;&lt;wsp:rsid wsp:val=&quot;00A057B7&quot;/&gt;&lt;wsp:rsid wsp:val=&quot;00A05C63&quot;/&gt;&lt;wsp:rsid wsp:val=&quot;00A06D3E&quot;/&gt;&lt;wsp:rsid wsp:val=&quot;00A073B4&quot;/&gt;&lt;wsp:rsid wsp:val=&quot;00A101A9&quot;/&gt;&lt;wsp:rsid wsp:val=&quot;00A10ECF&quot;/&gt;&lt;wsp:rsid wsp:val=&quot;00A11988&quot;/&gt;&lt;wsp:rsid wsp:val=&quot;00A11B20&quot;/&gt;&lt;wsp:rsid wsp:val=&quot;00A11F64&quot;/&gt;&lt;wsp:rsid wsp:val=&quot;00A13110&quot;/&gt;&lt;wsp:rsid wsp:val=&quot;00A132D1&quot;/&gt;&lt;wsp:rsid wsp:val=&quot;00A13580&quot;/&gt;&lt;wsp:rsid wsp:val=&quot;00A13A49&quot;/&gt;&lt;wsp:rsid wsp:val=&quot;00A1401E&quot;/&gt;&lt;wsp:rsid wsp:val=&quot;00A14583&quot;/&gt;&lt;wsp:rsid wsp:val=&quot;00A14794&quot;/&gt;&lt;wsp:rsid wsp:val=&quot;00A14945&quot;/&gt;&lt;wsp:rsid wsp:val=&quot;00A14F11&quot;/&gt;&lt;wsp:rsid wsp:val=&quot;00A16755&quot;/&gt;&lt;wsp:rsid wsp:val=&quot;00A16A31&quot;/&gt;&lt;wsp:rsid wsp:val=&quot;00A16B80&quot;/&gt;&lt;wsp:rsid wsp:val=&quot;00A17149&quot;/&gt;&lt;wsp:rsid wsp:val=&quot;00A173EC&quot;/&gt;&lt;wsp:rsid wsp:val=&quot;00A20B28&quot;/&gt;&lt;wsp:rsid wsp:val=&quot;00A2107A&quot;/&gt;&lt;wsp:rsid wsp:val=&quot;00A21601&quot;/&gt;&lt;wsp:rsid wsp:val=&quot;00A221B7&quot;/&gt;&lt;wsp:rsid wsp:val=&quot;00A22DDD&quot;/&gt;&lt;wsp:rsid wsp:val=&quot;00A23F3C&quot;/&gt;&lt;wsp:rsid wsp:val=&quot;00A24484&quot;/&gt;&lt;wsp:rsid wsp:val=&quot;00A24FB9&quot;/&gt;&lt;wsp:rsid wsp:val=&quot;00A2546D&quot;/&gt;&lt;wsp:rsid wsp:val=&quot;00A2650C&quot;/&gt;&lt;wsp:rsid wsp:val=&quot;00A26999&quot;/&gt;&lt;wsp:rsid wsp:val=&quot;00A27F65&quot;/&gt;&lt;wsp:rsid wsp:val=&quot;00A3082B&quot;/&gt;&lt;wsp:rsid wsp:val=&quot;00A3108F&quot;/&gt;&lt;wsp:rsid wsp:val=&quot;00A32815&quot;/&gt;&lt;wsp:rsid wsp:val=&quot;00A32978&quot;/&gt;&lt;wsp:rsid wsp:val=&quot;00A32CDE&quot;/&gt;&lt;wsp:rsid wsp:val=&quot;00A3309B&quot;/&gt;&lt;wsp:rsid wsp:val=&quot;00A33351&quot;/&gt;&lt;wsp:rsid wsp:val=&quot;00A34718&quot;/&gt;&lt;wsp:rsid wsp:val=&quot;00A347D7&quot;/&gt;&lt;wsp:rsid wsp:val=&quot;00A3523C&quot;/&gt;&lt;wsp:rsid wsp:val=&quot;00A35C74&quot;/&gt;&lt;wsp:rsid wsp:val=&quot;00A35E02&quot;/&gt;&lt;wsp:rsid wsp:val=&quot;00A36B39&quot;/&gt;&lt;wsp:rsid wsp:val=&quot;00A36DD2&quot;/&gt;&lt;wsp:rsid wsp:val=&quot;00A37147&quot;/&gt;&lt;wsp:rsid wsp:val=&quot;00A37398&quot;/&gt;&lt;wsp:rsid wsp:val=&quot;00A411D8&quot;/&gt;&lt;wsp:rsid wsp:val=&quot;00A42A30&quot;/&gt;&lt;wsp:rsid wsp:val=&quot;00A42D20&quot;/&gt;&lt;wsp:rsid wsp:val=&quot;00A44E8B&quot;/&gt;&lt;wsp:rsid wsp:val=&quot;00A472D9&quot;/&gt;&lt;wsp:rsid wsp:val=&quot;00A47D86&quot;/&gt;&lt;wsp:rsid wsp:val=&quot;00A47F22&quot;/&gt;&lt;wsp:rsid wsp:val=&quot;00A503CA&quot;/&gt;&lt;wsp:rsid wsp:val=&quot;00A505EF&quot;/&gt;&lt;wsp:rsid wsp:val=&quot;00A5246E&quot;/&gt;&lt;wsp:rsid wsp:val=&quot;00A531D6&quot;/&gt;&lt;wsp:rsid wsp:val=&quot;00A53665&quot;/&gt;&lt;wsp:rsid wsp:val=&quot;00A54B4C&quot;/&gt;&lt;wsp:rsid wsp:val=&quot;00A5634E&quot;/&gt;&lt;wsp:rsid wsp:val=&quot;00A566F4&quot;/&gt;&lt;wsp:rsid wsp:val=&quot;00A56BBB&quot;/&gt;&lt;wsp:rsid wsp:val=&quot;00A5711D&quot;/&gt;&lt;wsp:rsid wsp:val=&quot;00A5718F&quot;/&gt;&lt;wsp:rsid wsp:val=&quot;00A57E05&quot;/&gt;&lt;wsp:rsid wsp:val=&quot;00A607CA&quot;/&gt;&lt;wsp:rsid wsp:val=&quot;00A62314&quot;/&gt;&lt;wsp:rsid wsp:val=&quot;00A634B8&quot;/&gt;&lt;wsp:rsid wsp:val=&quot;00A643CA&quot;/&gt;&lt;wsp:rsid wsp:val=&quot;00A64E18&quot;/&gt;&lt;wsp:rsid wsp:val=&quot;00A65227&quot;/&gt;&lt;wsp:rsid wsp:val=&quot;00A660EF&quot;/&gt;&lt;wsp:rsid wsp:val=&quot;00A672F4&quot;/&gt;&lt;wsp:rsid wsp:val=&quot;00A675A1&quot;/&gt;&lt;wsp:rsid wsp:val=&quot;00A67FBC&quot;/&gt;&lt;wsp:rsid wsp:val=&quot;00A7047F&quot;/&gt;&lt;wsp:rsid wsp:val=&quot;00A72903&quot;/&gt;&lt;wsp:rsid wsp:val=&quot;00A73360&quot;/&gt;&lt;wsp:rsid wsp:val=&quot;00A734E2&quot;/&gt;&lt;wsp:rsid wsp:val=&quot;00A73640&quot;/&gt;&lt;wsp:rsid wsp:val=&quot;00A74729&quot;/&gt;&lt;wsp:rsid wsp:val=&quot;00A74DD1&quot;/&gt;&lt;wsp:rsid wsp:val=&quot;00A74E18&quot;/&gt;&lt;wsp:rsid wsp:val=&quot;00A756F2&quot;/&gt;&lt;wsp:rsid wsp:val=&quot;00A76073&quot;/&gt;&lt;wsp:rsid wsp:val=&quot;00A76243&quot;/&gt;&lt;wsp:rsid wsp:val=&quot;00A768C5&quot;/&gt;&lt;wsp:rsid wsp:val=&quot;00A77212&quot;/&gt;&lt;wsp:rsid wsp:val=&quot;00A80907&quot;/&gt;&lt;wsp:rsid wsp:val=&quot;00A81E19&quot;/&gt;&lt;wsp:rsid wsp:val=&quot;00A81F6D&quot;/&gt;&lt;wsp:rsid wsp:val=&quot;00A82428&quot;/&gt;&lt;wsp:rsid wsp:val=&quot;00A8299A&quot;/&gt;&lt;wsp:rsid wsp:val=&quot;00A82C1F&quot;/&gt;&lt;wsp:rsid wsp:val=&quot;00A82F5D&quot;/&gt;&lt;wsp:rsid wsp:val=&quot;00A8348B&quot;/&gt;&lt;wsp:rsid wsp:val=&quot;00A84999&quot;/&gt;&lt;wsp:rsid wsp:val=&quot;00A861CE&quot;/&gt;&lt;wsp:rsid wsp:val=&quot;00A865D3&quot;/&gt;&lt;wsp:rsid wsp:val=&quot;00A86E87&quot;/&gt;&lt;wsp:rsid wsp:val=&quot;00A8779F&quot;/&gt;&lt;wsp:rsid wsp:val=&quot;00A87961&quot;/&gt;&lt;wsp:rsid wsp:val=&quot;00A87D4B&quot;/&gt;&lt;wsp:rsid wsp:val=&quot;00A90974&quot;/&gt;&lt;wsp:rsid wsp:val=&quot;00A90D50&quot;/&gt;&lt;wsp:rsid wsp:val=&quot;00A90EE5&quot;/&gt;&lt;wsp:rsid wsp:val=&quot;00A90EE6&quot;/&gt;&lt;wsp:rsid wsp:val=&quot;00A91913&quot;/&gt;&lt;wsp:rsid wsp:val=&quot;00A92C50&quot;/&gt;&lt;wsp:rsid wsp:val=&quot;00A93947&quot;/&gt;&lt;wsp:rsid wsp:val=&quot;00A9451D&quot;/&gt;&lt;wsp:rsid wsp:val=&quot;00A948AC&quot;/&gt;&lt;wsp:rsid wsp:val=&quot;00A95439&quot;/&gt;&lt;wsp:rsid wsp:val=&quot;00A95C7A&quot;/&gt;&lt;wsp:rsid wsp:val=&quot;00A961F5&quot;/&gt;&lt;wsp:rsid wsp:val=&quot;00A962AD&quot;/&gt;&lt;wsp:rsid wsp:val=&quot;00A97B60&quot;/&gt;&lt;wsp:rsid wsp:val=&quot;00AA0BAA&quot;/&gt;&lt;wsp:rsid wsp:val=&quot;00AA14D7&quot;/&gt;&lt;wsp:rsid wsp:val=&quot;00AA15BD&quot;/&gt;&lt;wsp:rsid wsp:val=&quot;00AA1F2D&quot;/&gt;&lt;wsp:rsid wsp:val=&quot;00AA1FEF&quot;/&gt;&lt;wsp:rsid wsp:val=&quot;00AA29F0&quot;/&gt;&lt;wsp:rsid wsp:val=&quot;00AA5338&quot;/&gt;&lt;wsp:rsid wsp:val=&quot;00AA5B17&quot;/&gt;&lt;wsp:rsid wsp:val=&quot;00AA5BD7&quot;/&gt;&lt;wsp:rsid wsp:val=&quot;00AA613D&quot;/&gt;&lt;wsp:rsid wsp:val=&quot;00AA6162&quot;/&gt;&lt;wsp:rsid wsp:val=&quot;00AA67B5&quot;/&gt;&lt;wsp:rsid wsp:val=&quot;00AB0280&quot;/&gt;&lt;wsp:rsid wsp:val=&quot;00AB07C5&quot;/&gt;&lt;wsp:rsid wsp:val=&quot;00AB0D86&quot;/&gt;&lt;wsp:rsid wsp:val=&quot;00AB18CA&quot;/&gt;&lt;wsp:rsid wsp:val=&quot;00AB1928&quot;/&gt;&lt;wsp:rsid wsp:val=&quot;00AB1CFE&quot;/&gt;&lt;wsp:rsid wsp:val=&quot;00AB24CE&quot;/&gt;&lt;wsp:rsid wsp:val=&quot;00AB2F7C&quot;/&gt;&lt;wsp:rsid wsp:val=&quot;00AB3096&quot;/&gt;&lt;wsp:rsid wsp:val=&quot;00AB39C7&quot;/&gt;&lt;wsp:rsid wsp:val=&quot;00AB474B&quot;/&gt;&lt;wsp:rsid wsp:val=&quot;00AB50F5&quot;/&gt;&lt;wsp:rsid wsp:val=&quot;00AB628C&quot;/&gt;&lt;wsp:rsid wsp:val=&quot;00AB6786&quot;/&gt;&lt;wsp:rsid wsp:val=&quot;00AB680D&quot;/&gt;&lt;wsp:rsid wsp:val=&quot;00AB7532&quot;/&gt;&lt;wsp:rsid wsp:val=&quot;00AB793D&quot;/&gt;&lt;wsp:rsid wsp:val=&quot;00AB7A55&quot;/&gt;&lt;wsp:rsid wsp:val=&quot;00AB7D41&quot;/&gt;&lt;wsp:rsid wsp:val=&quot;00AC0199&quot;/&gt;&lt;wsp:rsid wsp:val=&quot;00AC0882&quot;/&gt;&lt;wsp:rsid wsp:val=&quot;00AC10B8&quot;/&gt;&lt;wsp:rsid wsp:val=&quot;00AC145D&quot;/&gt;&lt;wsp:rsid wsp:val=&quot;00AC1898&quot;/&gt;&lt;wsp:rsid wsp:val=&quot;00AC195C&quot;/&gt;&lt;wsp:rsid wsp:val=&quot;00AC1A25&quot;/&gt;&lt;wsp:rsid wsp:val=&quot;00AC233E&quot;/&gt;&lt;wsp:rsid wsp:val=&quot;00AC2B9D&quot;/&gt;&lt;wsp:rsid wsp:val=&quot;00AC3107&quot;/&gt;&lt;wsp:rsid wsp:val=&quot;00AC378F&quot;/&gt;&lt;wsp:rsid wsp:val=&quot;00AC37D5&quot;/&gt;&lt;wsp:rsid wsp:val=&quot;00AC3948&quot;/&gt;&lt;wsp:rsid wsp:val=&quot;00AC4168&quot;/&gt;&lt;wsp:rsid wsp:val=&quot;00AC44B3&quot;/&gt;&lt;wsp:rsid wsp:val=&quot;00AC450E&quot;/&gt;&lt;wsp:rsid wsp:val=&quot;00AC5149&quot;/&gt;&lt;wsp:rsid wsp:val=&quot;00AC6AF2&quot;/&gt;&lt;wsp:rsid wsp:val=&quot;00AC6C4A&quot;/&gt;&lt;wsp:rsid wsp:val=&quot;00AC6F70&quot;/&gt;&lt;wsp:rsid wsp:val=&quot;00AC7730&quot;/&gt;&lt;wsp:rsid wsp:val=&quot;00AC7CEB&quot;/&gt;&lt;wsp:rsid wsp:val=&quot;00AD0148&quot;/&gt;&lt;wsp:rsid wsp:val=&quot;00AD0B96&quot;/&gt;&lt;wsp:rsid wsp:val=&quot;00AD0CB0&quot;/&gt;&lt;wsp:rsid wsp:val=&quot;00AD12C4&quot;/&gt;&lt;wsp:rsid wsp:val=&quot;00AD12F9&quot;/&gt;&lt;wsp:rsid wsp:val=&quot;00AD217E&quot;/&gt;&lt;wsp:rsid wsp:val=&quot;00AD288B&quot;/&gt;&lt;wsp:rsid wsp:val=&quot;00AD2EC0&quot;/&gt;&lt;wsp:rsid wsp:val=&quot;00AD3AE7&quot;/&gt;&lt;wsp:rsid wsp:val=&quot;00AD3F83&quot;/&gt;&lt;wsp:rsid wsp:val=&quot;00AD4A39&quot;/&gt;&lt;wsp:rsid wsp:val=&quot;00AD4D3F&quot;/&gt;&lt;wsp:rsid wsp:val=&quot;00AD4F38&quot;/&gt;&lt;wsp:rsid wsp:val=&quot;00AD59EA&quot;/&gt;&lt;wsp:rsid wsp:val=&quot;00AD5C8B&quot;/&gt;&lt;wsp:rsid wsp:val=&quot;00AD5F6E&quot;/&gt;&lt;wsp:rsid wsp:val=&quot;00AD6746&quot;/&gt;&lt;wsp:rsid wsp:val=&quot;00AD728E&quot;/&gt;&lt;wsp:rsid wsp:val=&quot;00AD7596&quot;/&gt;&lt;wsp:rsid wsp:val=&quot;00AD77B7&quot;/&gt;&lt;wsp:rsid wsp:val=&quot;00AD785B&quot;/&gt;&lt;wsp:rsid wsp:val=&quot;00AD7C0F&quot;/&gt;&lt;wsp:rsid wsp:val=&quot;00AD7C55&quot;/&gt;&lt;wsp:rsid wsp:val=&quot;00AD7C60&quot;/&gt;&lt;wsp:rsid wsp:val=&quot;00AD7CF1&quot;/&gt;&lt;wsp:rsid wsp:val=&quot;00AE061D&quot;/&gt;&lt;wsp:rsid wsp:val=&quot;00AE0B46&quot;/&gt;&lt;wsp:rsid wsp:val=&quot;00AE1346&quot;/&gt;&lt;wsp:rsid wsp:val=&quot;00AE1C2A&quot;/&gt;&lt;wsp:rsid wsp:val=&quot;00AE1EFC&quot;/&gt;&lt;wsp:rsid wsp:val=&quot;00AE2265&quot;/&gt;&lt;wsp:rsid wsp:val=&quot;00AE25CB&quot;/&gt;&lt;wsp:rsid wsp:val=&quot;00AE29B7&quot;/&gt;&lt;wsp:rsid wsp:val=&quot;00AE378C&quot;/&gt;&lt;wsp:rsid wsp:val=&quot;00AE436C&quot;/&gt;&lt;wsp:rsid wsp:val=&quot;00AE49DD&quot;/&gt;&lt;wsp:rsid wsp:val=&quot;00AE577A&quot;/&gt;&lt;wsp:rsid wsp:val=&quot;00AE5859&quot;/&gt;&lt;wsp:rsid wsp:val=&quot;00AE58B1&quot;/&gt;&lt;wsp:rsid wsp:val=&quot;00AE58EF&quot;/&gt;&lt;wsp:rsid wsp:val=&quot;00AE5BA7&quot;/&gt;&lt;wsp:rsid wsp:val=&quot;00AE6153&quot;/&gt;&lt;wsp:rsid wsp:val=&quot;00AE6EC5&quot;/&gt;&lt;wsp:rsid wsp:val=&quot;00AE7263&quot;/&gt;&lt;wsp:rsid wsp:val=&quot;00AE7CAD&quot;/&gt;&lt;wsp:rsid wsp:val=&quot;00AF27AE&quot;/&gt;&lt;wsp:rsid wsp:val=&quot;00AF2B3B&quot;/&gt;&lt;wsp:rsid wsp:val=&quot;00AF2F85&quot;/&gt;&lt;wsp:rsid wsp:val=&quot;00AF335D&quot;/&gt;&lt;wsp:rsid wsp:val=&quot;00AF3B88&quot;/&gt;&lt;wsp:rsid wsp:val=&quot;00AF4736&quot;/&gt;&lt;wsp:rsid wsp:val=&quot;00AF473B&quot;/&gt;&lt;wsp:rsid wsp:val=&quot;00AF4F59&quot;/&gt;&lt;wsp:rsid wsp:val=&quot;00AF5136&quot;/&gt;&lt;wsp:rsid wsp:val=&quot;00AF52FF&quot;/&gt;&lt;wsp:rsid wsp:val=&quot;00AF6889&quot;/&gt;&lt;wsp:rsid wsp:val=&quot;00B00A27&quot;/&gt;&lt;wsp:rsid wsp:val=&quot;00B0123F&quot;/&gt;&lt;wsp:rsid wsp:val=&quot;00B01398&quot;/&gt;&lt;wsp:rsid wsp:val=&quot;00B01508&quot;/&gt;&lt;wsp:rsid wsp:val=&quot;00B019E1&quot;/&gt;&lt;wsp:rsid wsp:val=&quot;00B02CF2&quot;/&gt;&lt;wsp:rsid wsp:val=&quot;00B02E73&quot;/&gt;&lt;wsp:rsid wsp:val=&quot;00B04347&quot;/&gt;&lt;wsp:rsid wsp:val=&quot;00B04799&quot;/&gt;&lt;wsp:rsid wsp:val=&quot;00B04AE5&quot;/&gt;&lt;wsp:rsid wsp:val=&quot;00B04B28&quot;/&gt;&lt;wsp:rsid wsp:val=&quot;00B05F63&quot;/&gt;&lt;wsp:rsid wsp:val=&quot;00B06BE3&quot;/&gt;&lt;wsp:rsid wsp:val=&quot;00B07D7A&quot;/&gt;&lt;wsp:rsid wsp:val=&quot;00B07F45&quot;/&gt;&lt;wsp:rsid wsp:val=&quot;00B07FE4&quot;/&gt;&lt;wsp:rsid wsp:val=&quot;00B10C76&quot;/&gt;&lt;wsp:rsid wsp:val=&quot;00B1101F&quot;/&gt;&lt;wsp:rsid wsp:val=&quot;00B1267A&quot;/&gt;&lt;wsp:rsid wsp:val=&quot;00B12AE3&quot;/&gt;&lt;wsp:rsid wsp:val=&quot;00B13713&quot;/&gt;&lt;wsp:rsid wsp:val=&quot;00B1407B&quot;/&gt;&lt;wsp:rsid wsp:val=&quot;00B140DC&quot;/&gt;&lt;wsp:rsid wsp:val=&quot;00B145E7&quot;/&gt;&lt;wsp:rsid wsp:val=&quot;00B1602A&quot;/&gt;&lt;wsp:rsid wsp:val=&quot;00B16A89&quot;/&gt;&lt;wsp:rsid wsp:val=&quot;00B1713F&quot;/&gt;&lt;wsp:rsid wsp:val=&quot;00B17207&quot;/&gt;&lt;wsp:rsid wsp:val=&quot;00B17926&quot;/&gt;&lt;wsp:rsid wsp:val=&quot;00B2044B&quot;/&gt;&lt;wsp:rsid wsp:val=&quot;00B206C0&quot;/&gt;&lt;wsp:rsid wsp:val=&quot;00B21110&quot;/&gt;&lt;wsp:rsid wsp:val=&quot;00B21710&quot;/&gt;&lt;wsp:rsid wsp:val=&quot;00B21CA8&quot;/&gt;&lt;wsp:rsid wsp:val=&quot;00B21DAC&quot;/&gt;&lt;wsp:rsid wsp:val=&quot;00B236C5&quot;/&gt;&lt;wsp:rsid wsp:val=&quot;00B23BD0&quot;/&gt;&lt;wsp:rsid wsp:val=&quot;00B23ECD&quot;/&gt;&lt;wsp:rsid wsp:val=&quot;00B25139&quot;/&gt;&lt;wsp:rsid wsp:val=&quot;00B252B3&quot;/&gt;&lt;wsp:rsid wsp:val=&quot;00B25350&quot;/&gt;&lt;wsp:rsid wsp:val=&quot;00B258FD&quot;/&gt;&lt;wsp:rsid wsp:val=&quot;00B2683D&quot;/&gt;&lt;wsp:rsid wsp:val=&quot;00B275E3&quot;/&gt;&lt;wsp:rsid wsp:val=&quot;00B27C2F&quot;/&gt;&lt;wsp:rsid wsp:val=&quot;00B27C44&quot;/&gt;&lt;wsp:rsid wsp:val=&quot;00B27D92&quot;/&gt;&lt;wsp:rsid wsp:val=&quot;00B30256&quot;/&gt;&lt;wsp:rsid wsp:val=&quot;00B309F2&quot;/&gt;&lt;wsp:rsid wsp:val=&quot;00B3139A&quot;/&gt;&lt;wsp:rsid wsp:val=&quot;00B31658&quot;/&gt;&lt;wsp:rsid wsp:val=&quot;00B31771&quot;/&gt;&lt;wsp:rsid wsp:val=&quot;00B318B7&quot;/&gt;&lt;wsp:rsid wsp:val=&quot;00B32066&quot;/&gt;&lt;wsp:rsid wsp:val=&quot;00B32367&quot;/&gt;&lt;wsp:rsid wsp:val=&quot;00B32655&quot;/&gt;&lt;wsp:rsid wsp:val=&quot;00B3300B&quot;/&gt;&lt;wsp:rsid wsp:val=&quot;00B333B9&quot;/&gt;&lt;wsp:rsid wsp:val=&quot;00B334B8&quot;/&gt;&lt;wsp:rsid wsp:val=&quot;00B35294&quot;/&gt;&lt;wsp:rsid wsp:val=&quot;00B365A0&quot;/&gt;&lt;wsp:rsid wsp:val=&quot;00B36C50&quot;/&gt;&lt;wsp:rsid wsp:val=&quot;00B36EC6&quot;/&gt;&lt;wsp:rsid wsp:val=&quot;00B37269&quot;/&gt;&lt;wsp:rsid wsp:val=&quot;00B378C8&quot;/&gt;&lt;wsp:rsid wsp:val=&quot;00B40693&quot;/&gt;&lt;wsp:rsid wsp:val=&quot;00B4298E&quot;/&gt;&lt;wsp:rsid wsp:val=&quot;00B4317F&quot;/&gt;&lt;wsp:rsid wsp:val=&quot;00B46066&quot;/&gt;&lt;wsp:rsid wsp:val=&quot;00B469D9&quot;/&gt;&lt;wsp:rsid wsp:val=&quot;00B47496&quot;/&gt;&lt;wsp:rsid wsp:val=&quot;00B47B2C&quot;/&gt;&lt;wsp:rsid wsp:val=&quot;00B47D6C&quot;/&gt;&lt;wsp:rsid wsp:val=&quot;00B5038D&quot;/&gt;&lt;wsp:rsid wsp:val=&quot;00B507CB&quot;/&gt;&lt;wsp:rsid wsp:val=&quot;00B50C30&quot;/&gt;&lt;wsp:rsid wsp:val=&quot;00B50EC7&quot;/&gt;&lt;wsp:rsid wsp:val=&quot;00B5125A&quot;/&gt;&lt;wsp:rsid wsp:val=&quot;00B517BA&quot;/&gt;&lt;wsp:rsid wsp:val=&quot;00B51AFF&quot;/&gt;&lt;wsp:rsid wsp:val=&quot;00B52D19&quot;/&gt;&lt;wsp:rsid wsp:val=&quot;00B52E79&quot;/&gt;&lt;wsp:rsid wsp:val=&quot;00B542D6&quot;/&gt;&lt;wsp:rsid wsp:val=&quot;00B543A6&quot;/&gt;&lt;wsp:rsid wsp:val=&quot;00B54AFC&quot;/&gt;&lt;wsp:rsid wsp:val=&quot;00B55B34&quot;/&gt;&lt;wsp:rsid wsp:val=&quot;00B55D28&quot;/&gt;&lt;wsp:rsid wsp:val=&quot;00B55FCC&quot;/&gt;&lt;wsp:rsid wsp:val=&quot;00B5688E&quot;/&gt;&lt;wsp:rsid wsp:val=&quot;00B569B8&quot;/&gt;&lt;wsp:rsid wsp:val=&quot;00B56F0A&quot;/&gt;&lt;wsp:rsid wsp:val=&quot;00B575F1&quot;/&gt;&lt;wsp:rsid wsp:val=&quot;00B57F20&quot;/&gt;&lt;wsp:rsid wsp:val=&quot;00B60ABF&quot;/&gt;&lt;wsp:rsid wsp:val=&quot;00B60C37&quot;/&gt;&lt;wsp:rsid wsp:val=&quot;00B62653&quot;/&gt;&lt;wsp:rsid wsp:val=&quot;00B635CC&quot;/&gt;&lt;wsp:rsid wsp:val=&quot;00B63676&quot;/&gt;&lt;wsp:rsid wsp:val=&quot;00B6402C&quot;/&gt;&lt;wsp:rsid wsp:val=&quot;00B64FC8&quot;/&gt;&lt;wsp:rsid wsp:val=&quot;00B65D4D&quot;/&gt;&lt;wsp:rsid wsp:val=&quot;00B6684F&quot;/&gt;&lt;wsp:rsid wsp:val=&quot;00B66F64&quot;/&gt;&lt;wsp:rsid wsp:val=&quot;00B67141&quot;/&gt;&lt;wsp:rsid wsp:val=&quot;00B67211&quot;/&gt;&lt;wsp:rsid wsp:val=&quot;00B678F2&quot;/&gt;&lt;wsp:rsid wsp:val=&quot;00B67BD0&quot;/&gt;&lt;wsp:rsid wsp:val=&quot;00B702CC&quot;/&gt;&lt;wsp:rsid wsp:val=&quot;00B70744&quot;/&gt;&lt;wsp:rsid wsp:val=&quot;00B722A3&quot;/&gt;&lt;wsp:rsid wsp:val=&quot;00B724AB&quot;/&gt;&lt;wsp:rsid wsp:val=&quot;00B72CA3&quot;/&gt;&lt;wsp:rsid wsp:val=&quot;00B73714&quot;/&gt;&lt;wsp:rsid wsp:val=&quot;00B73FC0&quot;/&gt;&lt;wsp:rsid wsp:val=&quot;00B7467B&quot;/&gt;&lt;wsp:rsid wsp:val=&quot;00B754A5&quot;/&gt;&lt;wsp:rsid wsp:val=&quot;00B760BB&quot;/&gt;&lt;wsp:rsid wsp:val=&quot;00B77973&quot;/&gt;&lt;wsp:rsid wsp:val=&quot;00B77BD3&quot;/&gt;&lt;wsp:rsid wsp:val=&quot;00B77F0B&quot;/&gt;&lt;wsp:rsid wsp:val=&quot;00B801B7&quot;/&gt;&lt;wsp:rsid wsp:val=&quot;00B804FD&quot;/&gt;&lt;wsp:rsid wsp:val=&quot;00B807D7&quot;/&gt;&lt;wsp:rsid wsp:val=&quot;00B8160C&quot;/&gt;&lt;wsp:rsid wsp:val=&quot;00B82558&quot;/&gt;&lt;wsp:rsid wsp:val=&quot;00B832DC&quot;/&gt;&lt;wsp:rsid wsp:val=&quot;00B84F82&quot;/&gt;&lt;wsp:rsid wsp:val=&quot;00B85451&quot;/&gt;&lt;wsp:rsid wsp:val=&quot;00B858D2&quot;/&gt;&lt;wsp:rsid wsp:val=&quot;00B85A6A&quot;/&gt;&lt;wsp:rsid wsp:val=&quot;00B873C0&quot;/&gt;&lt;wsp:rsid wsp:val=&quot;00B87AB2&quot;/&gt;&lt;wsp:rsid wsp:val=&quot;00B90169&quot;/&gt;&lt;wsp:rsid wsp:val=&quot;00B907A6&quot;/&gt;&lt;wsp:rsid wsp:val=&quot;00B90FEE&quot;/&gt;&lt;wsp:rsid wsp:val=&quot;00B9123F&quot;/&gt;&lt;wsp:rsid wsp:val=&quot;00B91B97&quot;/&gt;&lt;wsp:rsid wsp:val=&quot;00B93265&quot;/&gt;&lt;wsp:rsid wsp:val=&quot;00B947D8&quot;/&gt;&lt;wsp:rsid wsp:val=&quot;00B95F41&quot;/&gt;&lt;wsp:rsid wsp:val=&quot;00B961DD&quot;/&gt;&lt;wsp:rsid wsp:val=&quot;00B96748&quot;/&gt;&lt;wsp:rsid wsp:val=&quot;00B9699C&quot;/&gt;&lt;wsp:rsid wsp:val=&quot;00B97060&quot;/&gt;&lt;wsp:rsid wsp:val=&quot;00BA004B&quot;/&gt;&lt;wsp:rsid wsp:val=&quot;00BA0220&quot;/&gt;&lt;wsp:rsid wsp:val=&quot;00BA1083&quot;/&gt;&lt;wsp:rsid wsp:val=&quot;00BA1A36&quot;/&gt;&lt;wsp:rsid wsp:val=&quot;00BA210F&quot;/&gt;&lt;wsp:rsid wsp:val=&quot;00BA2581&quot;/&gt;&lt;wsp:rsid wsp:val=&quot;00BA3443&quot;/&gt;&lt;wsp:rsid wsp:val=&quot;00BA3D68&quot;/&gt;&lt;wsp:rsid wsp:val=&quot;00BA4542&quot;/&gt;&lt;wsp:rsid wsp:val=&quot;00BA475F&quot;/&gt;&lt;wsp:rsid wsp:val=&quot;00BA4CEF&quot;/&gt;&lt;wsp:rsid wsp:val=&quot;00BA5A05&quot;/&gt;&lt;wsp:rsid wsp:val=&quot;00BA612C&quot;/&gt;&lt;wsp:rsid wsp:val=&quot;00BA6287&quot;/&gt;&lt;wsp:rsid wsp:val=&quot;00BA74A2&quot;/&gt;&lt;wsp:rsid wsp:val=&quot;00BA7A7F&quot;/&gt;&lt;wsp:rsid wsp:val=&quot;00BA7B1E&quot;/&gt;&lt;wsp:rsid wsp:val=&quot;00BB0A58&quot;/&gt;&lt;wsp:rsid wsp:val=&quot;00BB0E7C&quot;/&gt;&lt;wsp:rsid wsp:val=&quot;00BB19A0&quot;/&gt;&lt;wsp:rsid wsp:val=&quot;00BB2607&quot;/&gt;&lt;wsp:rsid wsp:val=&quot;00BB2658&quot;/&gt;&lt;wsp:rsid wsp:val=&quot;00BB2D3F&quot;/&gt;&lt;wsp:rsid wsp:val=&quot;00BB47AB&quot;/&gt;&lt;wsp:rsid wsp:val=&quot;00BB4D45&quot;/&gt;&lt;wsp:rsid wsp:val=&quot;00BB4D6F&quot;/&gt;&lt;wsp:rsid wsp:val=&quot;00BB5BF2&quot;/&gt;&lt;wsp:rsid wsp:val=&quot;00BB67DA&quot;/&gt;&lt;wsp:rsid wsp:val=&quot;00BB7AB5&quot;/&gt;&lt;wsp:rsid wsp:val=&quot;00BC1453&quot;/&gt;&lt;wsp:rsid wsp:val=&quot;00BC1A32&quot;/&gt;&lt;wsp:rsid wsp:val=&quot;00BC1E76&quot;/&gt;&lt;wsp:rsid wsp:val=&quot;00BC2392&quot;/&gt;&lt;wsp:rsid wsp:val=&quot;00BC2E71&quot;/&gt;&lt;wsp:rsid wsp:val=&quot;00BC333C&quot;/&gt;&lt;wsp:rsid wsp:val=&quot;00BC36F8&quot;/&gt;&lt;wsp:rsid wsp:val=&quot;00BC42F8&quot;/&gt;&lt;wsp:rsid wsp:val=&quot;00BC4352&quot;/&gt;&lt;wsp:rsid wsp:val=&quot;00BC48ED&quot;/&gt;&lt;wsp:rsid wsp:val=&quot;00BC4DAD&quot;/&gt;&lt;wsp:rsid wsp:val=&quot;00BC581F&quot;/&gt;&lt;wsp:rsid wsp:val=&quot;00BC66FB&quot;/&gt;&lt;wsp:rsid wsp:val=&quot;00BC6CE1&quot;/&gt;&lt;wsp:rsid wsp:val=&quot;00BC715D&quot;/&gt;&lt;wsp:rsid wsp:val=&quot;00BC727B&quot;/&gt;&lt;wsp:rsid wsp:val=&quot;00BC79F5&quot;/&gt;&lt;wsp:rsid wsp:val=&quot;00BC7A29&quot;/&gt;&lt;wsp:rsid wsp:val=&quot;00BC7AC4&quot;/&gt;&lt;wsp:rsid wsp:val=&quot;00BD078B&quot;/&gt;&lt;wsp:rsid wsp:val=&quot;00BD0B53&quot;/&gt;&lt;wsp:rsid wsp:val=&quot;00BD0D03&quot;/&gt;&lt;wsp:rsid wsp:val=&quot;00BD0E39&quot;/&gt;&lt;wsp:rsid wsp:val=&quot;00BD1B9D&quot;/&gt;&lt;wsp:rsid wsp:val=&quot;00BD1F16&quot;/&gt;&lt;wsp:rsid wsp:val=&quot;00BD20A3&quot;/&gt;&lt;wsp:rsid wsp:val=&quot;00BD22DB&quot;/&gt;&lt;wsp:rsid wsp:val=&quot;00BD23A5&quot;/&gt;&lt;wsp:rsid wsp:val=&quot;00BD248C&quot;/&gt;&lt;wsp:rsid wsp:val=&quot;00BD24DC&quot;/&gt;&lt;wsp:rsid wsp:val=&quot;00BD27A7&quot;/&gt;&lt;wsp:rsid wsp:val=&quot;00BD324F&quot;/&gt;&lt;wsp:rsid wsp:val=&quot;00BD4549&quot;/&gt;&lt;wsp:rsid wsp:val=&quot;00BD4712&quot;/&gt;&lt;wsp:rsid wsp:val=&quot;00BD4B62&quot;/&gt;&lt;wsp:rsid wsp:val=&quot;00BD62A0&quot;/&gt;&lt;wsp:rsid wsp:val=&quot;00BD677C&quot;/&gt;&lt;wsp:rsid wsp:val=&quot;00BD6EE1&quot;/&gt;&lt;wsp:rsid wsp:val=&quot;00BD735D&quot;/&gt;&lt;wsp:rsid wsp:val=&quot;00BE09C7&quot;/&gt;&lt;wsp:rsid wsp:val=&quot;00BE1185&quot;/&gt;&lt;wsp:rsid wsp:val=&quot;00BE213C&quot;/&gt;&lt;wsp:rsid wsp:val=&quot;00BE237D&quot;/&gt;&lt;wsp:rsid wsp:val=&quot;00BE448A&quot;/&gt;&lt;wsp:rsid wsp:val=&quot;00BE4E79&quot;/&gt;&lt;wsp:rsid wsp:val=&quot;00BE53CE&quot;/&gt;&lt;wsp:rsid wsp:val=&quot;00BE53F2&quot;/&gt;&lt;wsp:rsid wsp:val=&quot;00BE58BB&quot;/&gt;&lt;wsp:rsid wsp:val=&quot;00BE5CA8&quot;/&gt;&lt;wsp:rsid wsp:val=&quot;00BE6954&quot;/&gt;&lt;wsp:rsid wsp:val=&quot;00BE6C42&quot;/&gt;&lt;wsp:rsid wsp:val=&quot;00BE7838&quot;/&gt;&lt;wsp:rsid wsp:val=&quot;00BE7959&quot;/&gt;&lt;wsp:rsid wsp:val=&quot;00BE7FC1&quot;/&gt;&lt;wsp:rsid wsp:val=&quot;00BF0F0E&quot;/&gt;&lt;wsp:rsid wsp:val=&quot;00BF0FC3&quot;/&gt;&lt;wsp:rsid wsp:val=&quot;00BF1904&quot;/&gt;&lt;wsp:rsid wsp:val=&quot;00BF1921&quot;/&gt;&lt;wsp:rsid wsp:val=&quot;00BF1D13&quot;/&gt;&lt;wsp:rsid wsp:val=&quot;00BF3381&quot;/&gt;&lt;wsp:rsid wsp:val=&quot;00BF3980&quot;/&gt;&lt;wsp:rsid wsp:val=&quot;00BF6008&quot;/&gt;&lt;wsp:rsid wsp:val=&quot;00BF67E5&quot;/&gt;&lt;wsp:rsid wsp:val=&quot;00C00C2B&quot;/&gt;&lt;wsp:rsid wsp:val=&quot;00C01111&quot;/&gt;&lt;wsp:rsid wsp:val=&quot;00C01719&quot;/&gt;&lt;wsp:rsid wsp:val=&quot;00C01768&quot;/&gt;&lt;wsp:rsid wsp:val=&quot;00C01C0D&quot;/&gt;&lt;wsp:rsid wsp:val=&quot;00C0248B&quot;/&gt;&lt;wsp:rsid wsp:val=&quot;00C026AC&quot;/&gt;&lt;wsp:rsid wsp:val=&quot;00C03D56&quot;/&gt;&lt;wsp:rsid wsp:val=&quot;00C045C4&quot;/&gt;&lt;wsp:rsid wsp:val=&quot;00C04CFF&quot;/&gt;&lt;wsp:rsid wsp:val=&quot;00C04D40&quot;/&gt;&lt;wsp:rsid wsp:val=&quot;00C05243&quot;/&gt;&lt;wsp:rsid wsp:val=&quot;00C05762&quot;/&gt;&lt;wsp:rsid wsp:val=&quot;00C0586E&quot;/&gt;&lt;wsp:rsid wsp:val=&quot;00C058B3&quot;/&gt;&lt;wsp:rsid wsp:val=&quot;00C07E33&quot;/&gt;&lt;wsp:rsid wsp:val=&quot;00C07FD8&quot;/&gt;&lt;wsp:rsid wsp:val=&quot;00C1031A&quot;/&gt;&lt;wsp:rsid wsp:val=&quot;00C1114E&quot;/&gt;&lt;wsp:rsid wsp:val=&quot;00C111B8&quot;/&gt;&lt;wsp:rsid wsp:val=&quot;00C11768&quot;/&gt;&lt;wsp:rsid wsp:val=&quot;00C117F6&quot;/&gt;&lt;wsp:rsid wsp:val=&quot;00C1276E&quot;/&gt;&lt;wsp:rsid wsp:val=&quot;00C12FC9&quot;/&gt;&lt;wsp:rsid wsp:val=&quot;00C1376D&quot;/&gt;&lt;wsp:rsid wsp:val=&quot;00C13CE5&quot;/&gt;&lt;wsp:rsid wsp:val=&quot;00C154FB&quot;/&gt;&lt;wsp:rsid wsp:val=&quot;00C156D0&quot;/&gt;&lt;wsp:rsid wsp:val=&quot;00C1613F&quot;/&gt;&lt;wsp:rsid wsp:val=&quot;00C16F0E&quot;/&gt;&lt;wsp:rsid wsp:val=&quot;00C17639&quot;/&gt;&lt;wsp:rsid wsp:val=&quot;00C17D84&quot;/&gt;&lt;wsp:rsid wsp:val=&quot;00C20E9A&quot;/&gt;&lt;wsp:rsid wsp:val=&quot;00C2118C&quot;/&gt;&lt;wsp:rsid wsp:val=&quot;00C218E2&quot;/&gt;&lt;wsp:rsid wsp:val=&quot;00C21E4C&quot;/&gt;&lt;wsp:rsid wsp:val=&quot;00C22209&quot;/&gt;&lt;wsp:rsid wsp:val=&quot;00C238F1&quot;/&gt;&lt;wsp:rsid wsp:val=&quot;00C2400E&quot;/&gt;&lt;wsp:rsid wsp:val=&quot;00C256EC&quot;/&gt;&lt;wsp:rsid wsp:val=&quot;00C257A5&quot;/&gt;&lt;wsp:rsid wsp:val=&quot;00C25AF3&quot;/&gt;&lt;wsp:rsid wsp:val=&quot;00C25B20&quot;/&gt;&lt;wsp:rsid wsp:val=&quot;00C2634E&quot;/&gt;&lt;wsp:rsid wsp:val=&quot;00C27404&quot;/&gt;&lt;wsp:rsid wsp:val=&quot;00C27886&quot;/&gt;&lt;wsp:rsid wsp:val=&quot;00C3079D&quot;/&gt;&lt;wsp:rsid wsp:val=&quot;00C3092E&quot;/&gt;&lt;wsp:rsid wsp:val=&quot;00C3102B&quot;/&gt;&lt;wsp:rsid wsp:val=&quot;00C3127C&quot;/&gt;&lt;wsp:rsid wsp:val=&quot;00C31ACE&quot;/&gt;&lt;wsp:rsid wsp:val=&quot;00C31F6A&quot;/&gt;&lt;wsp:rsid wsp:val=&quot;00C3222C&quot;/&gt;&lt;wsp:rsid wsp:val=&quot;00C327B1&quot;/&gt;&lt;wsp:rsid wsp:val=&quot;00C32983&quot;/&gt;&lt;wsp:rsid wsp:val=&quot;00C3382D&quot;/&gt;&lt;wsp:rsid wsp:val=&quot;00C342D2&quot;/&gt;&lt;wsp:rsid wsp:val=&quot;00C35EC5&quot;/&gt;&lt;wsp:rsid wsp:val=&quot;00C36167&quot;/&gt;&lt;wsp:rsid wsp:val=&quot;00C365FA&quot;/&gt;&lt;wsp:rsid wsp:val=&quot;00C3746E&quot;/&gt;&lt;wsp:rsid wsp:val=&quot;00C374BA&quot;/&gt;&lt;wsp:rsid wsp:val=&quot;00C37628&quot;/&gt;&lt;wsp:rsid wsp:val=&quot;00C40D3F&quot;/&gt;&lt;wsp:rsid wsp:val=&quot;00C413E3&quot;/&gt;&lt;wsp:rsid wsp:val=&quot;00C419BC&quot;/&gt;&lt;wsp:rsid wsp:val=&quot;00C42A82&quot;/&gt;&lt;wsp:rsid wsp:val=&quot;00C42F31&quot;/&gt;&lt;wsp:rsid wsp:val=&quot;00C44333&quot;/&gt;&lt;wsp:rsid wsp:val=&quot;00C44CDD&quot;/&gt;&lt;wsp:rsid wsp:val=&quot;00C45286&quot;/&gt;&lt;wsp:rsid wsp:val=&quot;00C45906&quot;/&gt;&lt;wsp:rsid wsp:val=&quot;00C46A59&quot;/&gt;&lt;wsp:rsid wsp:val=&quot;00C46CCB&quot;/&gt;&lt;wsp:rsid wsp:val=&quot;00C46E9B&quot;/&gt;&lt;wsp:rsid wsp:val=&quot;00C47CC6&quot;/&gt;&lt;wsp:rsid wsp:val=&quot;00C50175&quot;/&gt;&lt;wsp:rsid wsp:val=&quot;00C505A8&quot;/&gt;&lt;wsp:rsid wsp:val=&quot;00C5192D&quot;/&gt;&lt;wsp:rsid wsp:val=&quot;00C51A13&quot;/&gt;&lt;wsp:rsid wsp:val=&quot;00C51C15&quot;/&gt;&lt;wsp:rsid wsp:val=&quot;00C51EEB&quot;/&gt;&lt;wsp:rsid wsp:val=&quot;00C525C6&quot;/&gt;&lt;wsp:rsid wsp:val=&quot;00C5290E&quot;/&gt;&lt;wsp:rsid wsp:val=&quot;00C53E01&quot;/&gt;&lt;wsp:rsid wsp:val=&quot;00C53EEF&quot;/&gt;&lt;wsp:rsid wsp:val=&quot;00C5473D&quot;/&gt;&lt;wsp:rsid wsp:val=&quot;00C55130&quot;/&gt;&lt;wsp:rsid wsp:val=&quot;00C55DA3&quot;/&gt;&lt;wsp:rsid wsp:val=&quot;00C5611A&quot;/&gt;&lt;wsp:rsid wsp:val=&quot;00C567B8&quot;/&gt;&lt;wsp:rsid wsp:val=&quot;00C57D53&quot;/&gt;&lt;wsp:rsid wsp:val=&quot;00C57E8F&quot;/&gt;&lt;wsp:rsid wsp:val=&quot;00C601D2&quot;/&gt;&lt;wsp:rsid wsp:val=&quot;00C6020A&quot;/&gt;&lt;wsp:rsid wsp:val=&quot;00C6057D&quot;/&gt;&lt;wsp:rsid wsp:val=&quot;00C60F22&quot;/&gt;&lt;wsp:rsid wsp:val=&quot;00C6227B&quot;/&gt;&lt;wsp:rsid wsp:val=&quot;00C62808&quot;/&gt;&lt;wsp:rsid wsp:val=&quot;00C62939&quot;/&gt;&lt;wsp:rsid wsp:val=&quot;00C63C93&quot;/&gt;&lt;wsp:rsid wsp:val=&quot;00C6401A&quot;/&gt;&lt;wsp:rsid wsp:val=&quot;00C6423B&quot;/&gt;&lt;wsp:rsid wsp:val=&quot;00C652C3&quot;/&gt;&lt;wsp:rsid wsp:val=&quot;00C663B0&quot;/&gt;&lt;wsp:rsid wsp:val=&quot;00C66B9B&quot;/&gt;&lt;wsp:rsid wsp:val=&quot;00C677DF&quot;/&gt;&lt;wsp:rsid wsp:val=&quot;00C678A5&quot;/&gt;&lt;wsp:rsid wsp:val=&quot;00C67991&quot;/&gt;&lt;wsp:rsid wsp:val=&quot;00C70221&quot;/&gt;&lt;wsp:rsid wsp:val=&quot;00C702BA&quot;/&gt;&lt;wsp:rsid wsp:val=&quot;00C70741&quot;/&gt;&lt;wsp:rsid wsp:val=&quot;00C70749&quot;/&gt;&lt;wsp:rsid wsp:val=&quot;00C70DB9&quot;/&gt;&lt;wsp:rsid wsp:val=&quot;00C70F2C&quot;/&gt;&lt;wsp:rsid wsp:val=&quot;00C71245&quot;/&gt;&lt;wsp:rsid wsp:val=&quot;00C71A58&quot;/&gt;&lt;wsp:rsid wsp:val=&quot;00C725B1&quot;/&gt;&lt;wsp:rsid wsp:val=&quot;00C72D00&quot;/&gt;&lt;wsp:rsid wsp:val=&quot;00C7312E&quot;/&gt;&lt;wsp:rsid wsp:val=&quot;00C73176&quot;/&gt;&lt;wsp:rsid wsp:val=&quot;00C7549E&quot;/&gt;&lt;wsp:rsid wsp:val=&quot;00C755B5&quot;/&gt;&lt;wsp:rsid wsp:val=&quot;00C75C31&quot;/&gt;&lt;wsp:rsid wsp:val=&quot;00C76052&quot;/&gt;&lt;wsp:rsid wsp:val=&quot;00C7695E&quot;/&gt;&lt;wsp:rsid wsp:val=&quot;00C77C28&quot;/&gt;&lt;wsp:rsid wsp:val=&quot;00C77F24&quot;/&gt;&lt;wsp:rsid wsp:val=&quot;00C8029B&quot;/&gt;&lt;wsp:rsid wsp:val=&quot;00C80528&quot;/&gt;&lt;wsp:rsid wsp:val=&quot;00C80580&quot;/&gt;&lt;wsp:rsid wsp:val=&quot;00C80D8D&quot;/&gt;&lt;wsp:rsid wsp:val=&quot;00C81574&quot;/&gt;&lt;wsp:rsid wsp:val=&quot;00C81C5F&quot;/&gt;&lt;wsp:rsid wsp:val=&quot;00C827BA&quot;/&gt;&lt;wsp:rsid wsp:val=&quot;00C82A0E&quot;/&gt;&lt;wsp:rsid wsp:val=&quot;00C82B23&quot;/&gt;&lt;wsp:rsid wsp:val=&quot;00C8395F&quot;/&gt;&lt;wsp:rsid wsp:val=&quot;00C83E01&quot;/&gt;&lt;wsp:rsid wsp:val=&quot;00C8485B&quot;/&gt;&lt;wsp:rsid wsp:val=&quot;00C84876&quot;/&gt;&lt;wsp:rsid wsp:val=&quot;00C86205&quot;/&gt;&lt;wsp:rsid wsp:val=&quot;00C86700&quot;/&gt;&lt;wsp:rsid wsp:val=&quot;00C87142&quot;/&gt;&lt;wsp:rsid wsp:val=&quot;00C875F6&quot;/&gt;&lt;wsp:rsid wsp:val=&quot;00C87819&quot;/&gt;&lt;wsp:rsid wsp:val=&quot;00C879AD&quot;/&gt;&lt;wsp:rsid wsp:val=&quot;00C90A5D&quot;/&gt;&lt;wsp:rsid wsp:val=&quot;00C91262&quot;/&gt;&lt;wsp:rsid wsp:val=&quot;00C91445&quot;/&gt;&lt;wsp:rsid wsp:val=&quot;00C916A4&quot;/&gt;&lt;wsp:rsid wsp:val=&quot;00C92E70&quot;/&gt;&lt;wsp:rsid wsp:val=&quot;00C931FA&quot;/&gt;&lt;wsp:rsid wsp:val=&quot;00C93B18&quot;/&gt;&lt;wsp:rsid wsp:val=&quot;00C93C9D&quot;/&gt;&lt;wsp:rsid wsp:val=&quot;00C93D01&quot;/&gt;&lt;wsp:rsid wsp:val=&quot;00C93F39&quot;/&gt;&lt;wsp:rsid wsp:val=&quot;00C94169&quot;/&gt;&lt;wsp:rsid wsp:val=&quot;00C943B7&quot;/&gt;&lt;wsp:rsid wsp:val=&quot;00C9460B&quot;/&gt;&lt;wsp:rsid wsp:val=&quot;00C9609A&quot;/&gt;&lt;wsp:rsid wsp:val=&quot;00C964ED&quot;/&gt;&lt;wsp:rsid wsp:val=&quot;00C96515&quot;/&gt;&lt;wsp:rsid wsp:val=&quot;00C9654E&quot;/&gt;&lt;wsp:rsid wsp:val=&quot;00C965B9&quot;/&gt;&lt;wsp:rsid wsp:val=&quot;00C97B99&quot;/&gt;&lt;wsp:rsid wsp:val=&quot;00CA0A39&quot;/&gt;&lt;wsp:rsid wsp:val=&quot;00CA0C3C&quot;/&gt;&lt;wsp:rsid wsp:val=&quot;00CA0CD5&quot;/&gt;&lt;wsp:rsid wsp:val=&quot;00CA132F&quot;/&gt;&lt;wsp:rsid wsp:val=&quot;00CA149B&quot;/&gt;&lt;wsp:rsid wsp:val=&quot;00CA1503&quot;/&gt;&lt;wsp:rsid wsp:val=&quot;00CA1F4B&quot;/&gt;&lt;wsp:rsid wsp:val=&quot;00CA2502&quot;/&gt;&lt;wsp:rsid wsp:val=&quot;00CA2BAB&quot;/&gt;&lt;wsp:rsid wsp:val=&quot;00CA3254&quot;/&gt;&lt;wsp:rsid wsp:val=&quot;00CA3FA9&quot;/&gt;&lt;wsp:rsid wsp:val=&quot;00CA4319&quot;/&gt;&lt;wsp:rsid wsp:val=&quot;00CA4508&quot;/&gt;&lt;wsp:rsid wsp:val=&quot;00CA5142&quot;/&gt;&lt;wsp:rsid wsp:val=&quot;00CA5DF1&quot;/&gt;&lt;wsp:rsid wsp:val=&quot;00CA6DB4&quot;/&gt;&lt;wsp:rsid wsp:val=&quot;00CB028B&quot;/&gt;&lt;wsp:rsid wsp:val=&quot;00CB04B3&quot;/&gt;&lt;wsp:rsid wsp:val=&quot;00CB0FA6&quot;/&gt;&lt;wsp:rsid wsp:val=&quot;00CB1928&quot;/&gt;&lt;wsp:rsid wsp:val=&quot;00CB28A0&quot;/&gt;&lt;wsp:rsid wsp:val=&quot;00CB3411&quot;/&gt;&lt;wsp:rsid wsp:val=&quot;00CB4328&quot;/&gt;&lt;wsp:rsid wsp:val=&quot;00CB5E3F&quot;/&gt;&lt;wsp:rsid wsp:val=&quot;00CB62B2&quot;/&gt;&lt;wsp:rsid wsp:val=&quot;00CB68E6&quot;/&gt;&lt;wsp:rsid wsp:val=&quot;00CB6ADE&quot;/&gt;&lt;wsp:rsid wsp:val=&quot;00CB7DAD&quot;/&gt;&lt;wsp:rsid wsp:val=&quot;00CC0371&quot;/&gt;&lt;wsp:rsid wsp:val=&quot;00CC0455&quot;/&gt;&lt;wsp:rsid wsp:val=&quot;00CC0E7E&quot;/&gt;&lt;wsp:rsid wsp:val=&quot;00CC0FAA&quot;/&gt;&lt;wsp:rsid wsp:val=&quot;00CC12C9&quot;/&gt;&lt;wsp:rsid wsp:val=&quot;00CC15D7&quot;/&gt;&lt;wsp:rsid wsp:val=&quot;00CC1B8A&quot;/&gt;&lt;wsp:rsid wsp:val=&quot;00CC21EA&quot;/&gt;&lt;wsp:rsid wsp:val=&quot;00CC2EE9&quot;/&gt;&lt;wsp:rsid wsp:val=&quot;00CC3159&quot;/&gt;&lt;wsp:rsid wsp:val=&quot;00CC3BAD&quot;/&gt;&lt;wsp:rsid wsp:val=&quot;00CC44EB&quot;/&gt;&lt;wsp:rsid wsp:val=&quot;00CC4537&quot;/&gt;&lt;wsp:rsid wsp:val=&quot;00CC613A&quot;/&gt;&lt;wsp:rsid wsp:val=&quot;00CC67B0&quot;/&gt;&lt;wsp:rsid wsp:val=&quot;00CC683B&quot;/&gt;&lt;wsp:rsid wsp:val=&quot;00CC6C3F&quot;/&gt;&lt;wsp:rsid wsp:val=&quot;00CD08D1&quot;/&gt;&lt;wsp:rsid wsp:val=&quot;00CD0A85&quot;/&gt;&lt;wsp:rsid wsp:val=&quot;00CD1170&quot;/&gt;&lt;wsp:rsid wsp:val=&quot;00CD12C5&quot;/&gt;&lt;wsp:rsid wsp:val=&quot;00CD1AED&quot;/&gt;&lt;wsp:rsid wsp:val=&quot;00CD23CE&quot;/&gt;&lt;wsp:rsid wsp:val=&quot;00CD2DFB&quot;/&gt;&lt;wsp:rsid wsp:val=&quot;00CD34AD&quot;/&gt;&lt;wsp:rsid wsp:val=&quot;00CD36E1&quot;/&gt;&lt;wsp:rsid wsp:val=&quot;00CD499F&quot;/&gt;&lt;wsp:rsid wsp:val=&quot;00CD537E&quot;/&gt;&lt;wsp:rsid wsp:val=&quot;00CD58E2&quot;/&gt;&lt;wsp:rsid wsp:val=&quot;00CD79C9&quot;/&gt;&lt;wsp:rsid wsp:val=&quot;00CD7F4B&quot;/&gt;&lt;wsp:rsid wsp:val=&quot;00CE0F9A&quot;/&gt;&lt;wsp:rsid wsp:val=&quot;00CE12E0&quot;/&gt;&lt;wsp:rsid wsp:val=&quot;00CE278A&quot;/&gt;&lt;wsp:rsid wsp:val=&quot;00CE279F&quot;/&gt;&lt;wsp:rsid wsp:val=&quot;00CE2A75&quot;/&gt;&lt;wsp:rsid wsp:val=&quot;00CE319E&quot;/&gt;&lt;wsp:rsid wsp:val=&quot;00CE3D82&quot;/&gt;&lt;wsp:rsid wsp:val=&quot;00CE5131&quot;/&gt;&lt;wsp:rsid wsp:val=&quot;00CE57C7&quot;/&gt;&lt;wsp:rsid wsp:val=&quot;00CE63B9&quot;/&gt;&lt;wsp:rsid wsp:val=&quot;00CE6454&quot;/&gt;&lt;wsp:rsid wsp:val=&quot;00CE6576&quot;/&gt;&lt;wsp:rsid wsp:val=&quot;00CE6917&quot;/&gt;&lt;wsp:rsid wsp:val=&quot;00CE7299&quot;/&gt;&lt;wsp:rsid wsp:val=&quot;00CE7A42&quot;/&gt;&lt;wsp:rsid wsp:val=&quot;00CE7D0C&quot;/&gt;&lt;wsp:rsid wsp:val=&quot;00CF00BE&quot;/&gt;&lt;wsp:rsid wsp:val=&quot;00CF0F3C&quot;/&gt;&lt;wsp:rsid wsp:val=&quot;00CF1473&quot;/&gt;&lt;wsp:rsid wsp:val=&quot;00CF1F99&quot;/&gt;&lt;wsp:rsid wsp:val=&quot;00CF25B8&quot;/&gt;&lt;wsp:rsid wsp:val=&quot;00CF3819&quot;/&gt;&lt;wsp:rsid wsp:val=&quot;00CF38AB&quot;/&gt;&lt;wsp:rsid wsp:val=&quot;00CF3DC4&quot;/&gt;&lt;wsp:rsid wsp:val=&quot;00CF43C5&quot;/&gt;&lt;wsp:rsid wsp:val=&quot;00CF4569&quot;/&gt;&lt;wsp:rsid wsp:val=&quot;00CF518A&quot;/&gt;&lt;wsp:rsid wsp:val=&quot;00CF53EE&quot;/&gt;&lt;wsp:rsid wsp:val=&quot;00CF5C48&quot;/&gt;&lt;wsp:rsid wsp:val=&quot;00CF6A25&quot;/&gt;&lt;wsp:rsid wsp:val=&quot;00CF7128&quot;/&gt;&lt;wsp:rsid wsp:val=&quot;00CF7D89&quot;/&gt;&lt;wsp:rsid wsp:val=&quot;00D000D7&quot;/&gt;&lt;wsp:rsid wsp:val=&quot;00D0016B&quot;/&gt;&lt;wsp:rsid wsp:val=&quot;00D015DC&quot;/&gt;&lt;wsp:rsid wsp:val=&quot;00D0174E&quot;/&gt;&lt;wsp:rsid wsp:val=&quot;00D019CF&quot;/&gt;&lt;wsp:rsid wsp:val=&quot;00D01CEB&quot;/&gt;&lt;wsp:rsid wsp:val=&quot;00D01E17&quot;/&gt;&lt;wsp:rsid wsp:val=&quot;00D02AA3&quot;/&gt;&lt;wsp:rsid wsp:val=&quot;00D02E90&quot;/&gt;&lt;wsp:rsid wsp:val=&quot;00D02E9A&quot;/&gt;&lt;wsp:rsid wsp:val=&quot;00D03215&quot;/&gt;&lt;wsp:rsid wsp:val=&quot;00D0398B&quot;/&gt;&lt;wsp:rsid wsp:val=&quot;00D03CD6&quot;/&gt;&lt;wsp:rsid wsp:val=&quot;00D05ECF&quot;/&gt;&lt;wsp:rsid wsp:val=&quot;00D06167&quot;/&gt;&lt;wsp:rsid wsp:val=&quot;00D06433&quot;/&gt;&lt;wsp:rsid wsp:val=&quot;00D06439&quot;/&gt;&lt;wsp:rsid wsp:val=&quot;00D064DA&quot;/&gt;&lt;wsp:rsid wsp:val=&quot;00D07AEF&quot;/&gt;&lt;wsp:rsid wsp:val=&quot;00D07E3B&quot;/&gt;&lt;wsp:rsid wsp:val=&quot;00D10136&quot;/&gt;&lt;wsp:rsid wsp:val=&quot;00D11729&quot;/&gt;&lt;wsp:rsid wsp:val=&quot;00D11923&quot;/&gt;&lt;wsp:rsid wsp:val=&quot;00D11D90&quot;/&gt;&lt;wsp:rsid wsp:val=&quot;00D12F9C&quot;/&gt;&lt;wsp:rsid wsp:val=&quot;00D132B5&quot;/&gt;&lt;wsp:rsid wsp:val=&quot;00D13AC3&quot;/&gt;&lt;wsp:rsid wsp:val=&quot;00D13CF5&quot;/&gt;&lt;wsp:rsid wsp:val=&quot;00D149DA&quot;/&gt;&lt;wsp:rsid wsp:val=&quot;00D15228&quot;/&gt;&lt;wsp:rsid wsp:val=&quot;00D15491&quot;/&gt;&lt;wsp:rsid wsp:val=&quot;00D15611&quot;/&gt;&lt;wsp:rsid wsp:val=&quot;00D164DD&quot;/&gt;&lt;wsp:rsid wsp:val=&quot;00D16745&quot;/&gt;&lt;wsp:rsid wsp:val=&quot;00D179BE&quot;/&gt;&lt;wsp:rsid wsp:val=&quot;00D201D5&quot;/&gt;&lt;wsp:rsid wsp:val=&quot;00D20A0C&quot;/&gt;&lt;wsp:rsid wsp:val=&quot;00D20C39&quot;/&gt;&lt;wsp:rsid wsp:val=&quot;00D21F04&quot;/&gt;&lt;wsp:rsid wsp:val=&quot;00D22634&quot;/&gt;&lt;wsp:rsid wsp:val=&quot;00D22774&quot;/&gt;&lt;wsp:rsid wsp:val=&quot;00D22A29&quot;/&gt;&lt;wsp:rsid wsp:val=&quot;00D23546&quot;/&gt;&lt;wsp:rsid wsp:val=&quot;00D2778B&quot;/&gt;&lt;wsp:rsid wsp:val=&quot;00D27AEF&quot;/&gt;&lt;wsp:rsid wsp:val=&quot;00D3040C&quot;/&gt;&lt;wsp:rsid wsp:val=&quot;00D32CFC&quot;/&gt;&lt;wsp:rsid wsp:val=&quot;00D32F4C&quot;/&gt;&lt;wsp:rsid wsp:val=&quot;00D32F98&quot;/&gt;&lt;wsp:rsid wsp:val=&quot;00D32FF2&quot;/&gt;&lt;wsp:rsid wsp:val=&quot;00D3322F&quot;/&gt;&lt;wsp:rsid wsp:val=&quot;00D33447&quot;/&gt;&lt;wsp:rsid wsp:val=&quot;00D35AF0&quot;/&gt;&lt;wsp:rsid wsp:val=&quot;00D36419&quot;/&gt;&lt;wsp:rsid wsp:val=&quot;00D36C74&quot;/&gt;&lt;wsp:rsid wsp:val=&quot;00D42061&quot;/&gt;&lt;wsp:rsid wsp:val=&quot;00D428C0&quot;/&gt;&lt;wsp:rsid wsp:val=&quot;00D43F95&quot;/&gt;&lt;wsp:rsid wsp:val=&quot;00D44AF5&quot;/&gt;&lt;wsp:rsid wsp:val=&quot;00D44D9D&quot;/&gt;&lt;wsp:rsid wsp:val=&quot;00D44DCB&quot;/&gt;&lt;wsp:rsid wsp:val=&quot;00D459BF&quot;/&gt;&lt;wsp:rsid wsp:val=&quot;00D45FBD&quot;/&gt;&lt;wsp:rsid wsp:val=&quot;00D465F0&quot;/&gt;&lt;wsp:rsid wsp:val=&quot;00D508B1&quot;/&gt;&lt;wsp:rsid wsp:val=&quot;00D50E39&quot;/&gt;&lt;wsp:rsid wsp:val=&quot;00D51316&quot;/&gt;&lt;wsp:rsid wsp:val=&quot;00D5280D&quot;/&gt;&lt;wsp:rsid wsp:val=&quot;00D53768&quot;/&gt;&lt;wsp:rsid wsp:val=&quot;00D53BE8&quot;/&gt;&lt;wsp:rsid wsp:val=&quot;00D54519&quot;/&gt;&lt;wsp:rsid wsp:val=&quot;00D555D8&quot;/&gt;&lt;wsp:rsid wsp:val=&quot;00D55637&quot;/&gt;&lt;wsp:rsid wsp:val=&quot;00D55803&quot;/&gt;&lt;wsp:rsid wsp:val=&quot;00D55DD9&quot;/&gt;&lt;wsp:rsid wsp:val=&quot;00D55E64&quot;/&gt;&lt;wsp:rsid wsp:val=&quot;00D564E3&quot;/&gt;&lt;wsp:rsid wsp:val=&quot;00D56575&quot;/&gt;&lt;wsp:rsid wsp:val=&quot;00D56A1B&quot;/&gt;&lt;wsp:rsid wsp:val=&quot;00D578A9&quot;/&gt;&lt;wsp:rsid wsp:val=&quot;00D608C1&quot;/&gt;&lt;wsp:rsid wsp:val=&quot;00D60D32&quot;/&gt;&lt;wsp:rsid wsp:val=&quot;00D61465&quot;/&gt;&lt;wsp:rsid wsp:val=&quot;00D615BF&quot;/&gt;&lt;wsp:rsid wsp:val=&quot;00D618ED&quot;/&gt;&lt;wsp:rsid wsp:val=&quot;00D61C01&quot;/&gt;&lt;wsp:rsid wsp:val=&quot;00D61F8C&quot;/&gt;&lt;wsp:rsid wsp:val=&quot;00D6253B&quot;/&gt;&lt;wsp:rsid wsp:val=&quot;00D62A6E&quot;/&gt;&lt;wsp:rsid wsp:val=&quot;00D63065&quot;/&gt;&lt;wsp:rsid wsp:val=&quot;00D63614&quot;/&gt;&lt;wsp:rsid wsp:val=&quot;00D63646&quot;/&gt;&lt;wsp:rsid wsp:val=&quot;00D65433&quot;/&gt;&lt;wsp:rsid wsp:val=&quot;00D6552B&quot;/&gt;&lt;wsp:rsid wsp:val=&quot;00D6609C&quot;/&gt;&lt;wsp:rsid wsp:val=&quot;00D66181&quot;/&gt;&lt;wsp:rsid wsp:val=&quot;00D6781B&quot;/&gt;&lt;wsp:rsid wsp:val=&quot;00D67B6C&quot;/&gt;&lt;wsp:rsid wsp:val=&quot;00D70422&quot;/&gt;&lt;wsp:rsid wsp:val=&quot;00D71618&quot;/&gt;&lt;wsp:rsid wsp:val=&quot;00D72039&quot;/&gt;&lt;wsp:rsid wsp:val=&quot;00D721B9&quot;/&gt;&lt;wsp:rsid wsp:val=&quot;00D7589B&quot;/&gt;&lt;wsp:rsid wsp:val=&quot;00D75966&quot;/&gt;&lt;wsp:rsid wsp:val=&quot;00D75BC7&quot;/&gt;&lt;wsp:rsid wsp:val=&quot;00D76F82&quot;/&gt;&lt;wsp:rsid wsp:val=&quot;00D80035&quot;/&gt;&lt;wsp:rsid wsp:val=&quot;00D801EE&quot;/&gt;&lt;wsp:rsid wsp:val=&quot;00D8067D&quot;/&gt;&lt;wsp:rsid wsp:val=&quot;00D80733&quot;/&gt;&lt;wsp:rsid wsp:val=&quot;00D810A2&quot;/&gt;&lt;wsp:rsid wsp:val=&quot;00D816DF&quot;/&gt;&lt;wsp:rsid wsp:val=&quot;00D82B26&quot;/&gt;&lt;wsp:rsid wsp:val=&quot;00D83396&quot;/&gt;&lt;wsp:rsid wsp:val=&quot;00D838C4&quot;/&gt;&lt;wsp:rsid wsp:val=&quot;00D83E0C&quot;/&gt;&lt;wsp:rsid wsp:val=&quot;00D841B6&quot;/&gt;&lt;wsp:rsid wsp:val=&quot;00D84AEA&quot;/&gt;&lt;wsp:rsid wsp:val=&quot;00D84B65&quot;/&gt;&lt;wsp:rsid wsp:val=&quot;00D8682B&quot;/&gt;&lt;wsp:rsid wsp:val=&quot;00D87B14&quot;/&gt;&lt;wsp:rsid wsp:val=&quot;00D87C1A&quot;/&gt;&lt;wsp:rsid wsp:val=&quot;00D9038D&quot;/&gt;&lt;wsp:rsid wsp:val=&quot;00D9081F&quot;/&gt;&lt;wsp:rsid wsp:val=&quot;00D90BA5&quot;/&gt;&lt;wsp:rsid wsp:val=&quot;00D918F2&quot;/&gt;&lt;wsp:rsid wsp:val=&quot;00D92045&quot;/&gt;&lt;wsp:rsid wsp:val=&quot;00D9266B&quot;/&gt;&lt;wsp:rsid wsp:val=&quot;00D92736&quot;/&gt;&lt;wsp:rsid wsp:val=&quot;00D92936&quot;/&gt;&lt;wsp:rsid wsp:val=&quot;00D9327E&quot;/&gt;&lt;wsp:rsid wsp:val=&quot;00D939E7&quot;/&gt;&lt;wsp:rsid wsp:val=&quot;00D93AFD&quot;/&gt;&lt;wsp:rsid wsp:val=&quot;00D93C10&quot;/&gt;&lt;wsp:rsid wsp:val=&quot;00D9434C&quot;/&gt;&lt;wsp:rsid wsp:val=&quot;00D94866&quot;/&gt;&lt;wsp:rsid wsp:val=&quot;00D94A3B&quot;/&gt;&lt;wsp:rsid wsp:val=&quot;00D94AF0&quot;/&gt;&lt;wsp:rsid wsp:val=&quot;00D95A0A&quot;/&gt;&lt;wsp:rsid wsp:val=&quot;00D96349&quot;/&gt;&lt;wsp:rsid wsp:val=&quot;00D96A80&quot;/&gt;&lt;wsp:rsid wsp:val=&quot;00D96C0C&quot;/&gt;&lt;wsp:rsid wsp:val=&quot;00D97012&quot;/&gt;&lt;wsp:rsid wsp:val=&quot;00D9764A&quot;/&gt;&lt;wsp:rsid wsp:val=&quot;00D97EB0&quot;/&gt;&lt;wsp:rsid wsp:val=&quot;00DA0A68&quot;/&gt;&lt;wsp:rsid wsp:val=&quot;00DA118D&quot;/&gt;&lt;wsp:rsid wsp:val=&quot;00DA122D&quot;/&gt;&lt;wsp:rsid wsp:val=&quot;00DA134F&quot;/&gt;&lt;wsp:rsid wsp:val=&quot;00DA2BFE&quot;/&gt;&lt;wsp:rsid wsp:val=&quot;00DA2D1B&quot;/&gt;&lt;wsp:rsid wsp:val=&quot;00DA356E&quot;/&gt;&lt;wsp:rsid wsp:val=&quot;00DA3A18&quot;/&gt;&lt;wsp:rsid wsp:val=&quot;00DA3B49&quot;/&gt;&lt;wsp:rsid wsp:val=&quot;00DA3D3E&quot;/&gt;&lt;wsp:rsid wsp:val=&quot;00DA3EED&quot;/&gt;&lt;wsp:rsid wsp:val=&quot;00DA4A77&quot;/&gt;&lt;wsp:rsid wsp:val=&quot;00DA5249&quot;/&gt;&lt;wsp:rsid wsp:val=&quot;00DA548E&quot;/&gt;&lt;wsp:rsid wsp:val=&quot;00DA5A17&quot;/&gt;&lt;wsp:rsid wsp:val=&quot;00DA5B98&quot;/&gt;&lt;wsp:rsid wsp:val=&quot;00DA61BA&quot;/&gt;&lt;wsp:rsid wsp:val=&quot;00DA6604&quot;/&gt;&lt;wsp:rsid wsp:val=&quot;00DA6786&quot;/&gt;&lt;wsp:rsid wsp:val=&quot;00DA6E16&quot;/&gt;&lt;wsp:rsid wsp:val=&quot;00DA729D&quot;/&gt;&lt;wsp:rsid wsp:val=&quot;00DA7A54&quot;/&gt;&lt;wsp:rsid wsp:val=&quot;00DB0322&quot;/&gt;&lt;wsp:rsid wsp:val=&quot;00DB07B5&quot;/&gt;&lt;wsp:rsid wsp:val=&quot;00DB195A&quot;/&gt;&lt;wsp:rsid wsp:val=&quot;00DB2EB2&quot;/&gt;&lt;wsp:rsid wsp:val=&quot;00DB30F6&quot;/&gt;&lt;wsp:rsid wsp:val=&quot;00DB340C&quot;/&gt;&lt;wsp:rsid wsp:val=&quot;00DB3FF2&quot;/&gt;&lt;wsp:rsid wsp:val=&quot;00DB5347&quot;/&gt;&lt;wsp:rsid wsp:val=&quot;00DB560A&quot;/&gt;&lt;wsp:rsid wsp:val=&quot;00DB5659&quot;/&gt;&lt;wsp:rsid wsp:val=&quot;00DB56F3&quot;/&gt;&lt;wsp:rsid wsp:val=&quot;00DB6FFD&quot;/&gt;&lt;wsp:rsid wsp:val=&quot;00DB75FA&quot;/&gt;&lt;wsp:rsid wsp:val=&quot;00DC1214&quot;/&gt;&lt;wsp:rsid wsp:val=&quot;00DC13FD&quot;/&gt;&lt;wsp:rsid wsp:val=&quot;00DC1440&quot;/&gt;&lt;wsp:rsid wsp:val=&quot;00DC1EDE&quot;/&gt;&lt;wsp:rsid wsp:val=&quot;00DC35D0&quot;/&gt;&lt;wsp:rsid wsp:val=&quot;00DC3DF8&quot;/&gt;&lt;wsp:rsid wsp:val=&quot;00DC3E52&quot;/&gt;&lt;wsp:rsid wsp:val=&quot;00DC42BC&quot;/&gt;&lt;wsp:rsid wsp:val=&quot;00DC476E&quot;/&gt;&lt;wsp:rsid wsp:val=&quot;00DC5048&quot;/&gt;&lt;wsp:rsid wsp:val=&quot;00DC568D&quot;/&gt;&lt;wsp:rsid wsp:val=&quot;00DC581E&quot;/&gt;&lt;wsp:rsid wsp:val=&quot;00DC6B02&quot;/&gt;&lt;wsp:rsid wsp:val=&quot;00DC6DCB&quot;/&gt;&lt;wsp:rsid wsp:val=&quot;00DC7913&quot;/&gt;&lt;wsp:rsid wsp:val=&quot;00DC7BD2&quot;/&gt;&lt;wsp:rsid wsp:val=&quot;00DD0104&quot;/&gt;&lt;wsp:rsid wsp:val=&quot;00DD04CF&quot;/&gt;&lt;wsp:rsid wsp:val=&quot;00DD1033&quot;/&gt;&lt;wsp:rsid wsp:val=&quot;00DD18C9&quot;/&gt;&lt;wsp:rsid wsp:val=&quot;00DD25A2&quot;/&gt;&lt;wsp:rsid wsp:val=&quot;00DD3AC0&quot;/&gt;&lt;wsp:rsid wsp:val=&quot;00DD42EB&quot;/&gt;&lt;wsp:rsid wsp:val=&quot;00DD4363&quot;/&gt;&lt;wsp:rsid wsp:val=&quot;00DD5AA0&quot;/&gt;&lt;wsp:rsid wsp:val=&quot;00DD5C22&quot;/&gt;&lt;wsp:rsid wsp:val=&quot;00DD5C5A&quot;/&gt;&lt;wsp:rsid wsp:val=&quot;00DD5CB0&quot;/&gt;&lt;wsp:rsid wsp:val=&quot;00DD6D24&quot;/&gt;&lt;wsp:rsid wsp:val=&quot;00DD6FFE&quot;/&gt;&lt;wsp:rsid wsp:val=&quot;00DD7D6F&quot;/&gt;&lt;wsp:rsid wsp:val=&quot;00DE08DD&quot;/&gt;&lt;wsp:rsid wsp:val=&quot;00DE1110&quot;/&gt;&lt;wsp:rsid wsp:val=&quot;00DE1EF4&quot;/&gt;&lt;wsp:rsid wsp:val=&quot;00DE2873&quot;/&gt;&lt;wsp:rsid wsp:val=&quot;00DE2D94&quot;/&gt;&lt;wsp:rsid wsp:val=&quot;00DE3A7A&quot;/&gt;&lt;wsp:rsid wsp:val=&quot;00DE3EA5&quot;/&gt;&lt;wsp:rsid wsp:val=&quot;00DE42FE&quot;/&gt;&lt;wsp:rsid wsp:val=&quot;00DE4C34&quot;/&gt;&lt;wsp:rsid wsp:val=&quot;00DE667F&quot;/&gt;&lt;wsp:rsid wsp:val=&quot;00DE6874&quot;/&gt;&lt;wsp:rsid wsp:val=&quot;00DF08FA&quot;/&gt;&lt;wsp:rsid wsp:val=&quot;00DF15F8&quot;/&gt;&lt;wsp:rsid wsp:val=&quot;00DF1793&quot;/&gt;&lt;wsp:rsid wsp:val=&quot;00DF2DC0&quot;/&gt;&lt;wsp:rsid wsp:val=&quot;00DF2FC6&quot;/&gt;&lt;wsp:rsid wsp:val=&quot;00DF4626&quot;/&gt;&lt;wsp:rsid wsp:val=&quot;00DF4BE8&quot;/&gt;&lt;wsp:rsid wsp:val=&quot;00DF573F&quot;/&gt;&lt;wsp:rsid wsp:val=&quot;00DF6136&quot;/&gt;&lt;wsp:rsid wsp:val=&quot;00DF6514&quot;/&gt;&lt;wsp:rsid wsp:val=&quot;00DF66B7&quot;/&gt;&lt;wsp:rsid wsp:val=&quot;00DF6DA7&quot;/&gt;&lt;wsp:rsid wsp:val=&quot;00DF711C&quot;/&gt;&lt;wsp:rsid wsp:val=&quot;00DF75F3&quot;/&gt;&lt;wsp:rsid wsp:val=&quot;00DF76DE&quot;/&gt;&lt;wsp:rsid wsp:val=&quot;00DF798A&quot;/&gt;&lt;wsp:rsid wsp:val=&quot;00DF7D15&quot;/&gt;&lt;wsp:rsid wsp:val=&quot;00DF7E25&quot;/&gt;&lt;wsp:rsid wsp:val=&quot;00E002DA&quot;/&gt;&lt;wsp:rsid wsp:val=&quot;00E0058F&quot;/&gt;&lt;wsp:rsid wsp:val=&quot;00E01D5F&quot;/&gt;&lt;wsp:rsid wsp:val=&quot;00E0207D&quot;/&gt;&lt;wsp:rsid wsp:val=&quot;00E02195&quot;/&gt;&lt;wsp:rsid wsp:val=&quot;00E023FD&quot;/&gt;&lt;wsp:rsid wsp:val=&quot;00E0341E&quot;/&gt;&lt;wsp:rsid wsp:val=&quot;00E04384&quot;/&gt;&lt;wsp:rsid wsp:val=&quot;00E050DE&quot;/&gt;&lt;wsp:rsid wsp:val=&quot;00E0583E&quot;/&gt;&lt;wsp:rsid wsp:val=&quot;00E06211&quot;/&gt;&lt;wsp:rsid wsp:val=&quot;00E06C08&quot;/&gt;&lt;wsp:rsid wsp:val=&quot;00E07E85&quot;/&gt;&lt;wsp:rsid wsp:val=&quot;00E10400&quot;/&gt;&lt;wsp:rsid wsp:val=&quot;00E10A54&quot;/&gt;&lt;wsp:rsid wsp:val=&quot;00E11056&quot;/&gt;&lt;wsp:rsid wsp:val=&quot;00E118B7&quot;/&gt;&lt;wsp:rsid wsp:val=&quot;00E11B0B&quot;/&gt;&lt;wsp:rsid wsp:val=&quot;00E1232B&quot;/&gt;&lt;wsp:rsid wsp:val=&quot;00E12BF8&quot;/&gt;&lt;wsp:rsid wsp:val=&quot;00E1335D&quot;/&gt;&lt;wsp:rsid wsp:val=&quot;00E13B35&quot;/&gt;&lt;wsp:rsid wsp:val=&quot;00E14C5D&quot;/&gt;&lt;wsp:rsid wsp:val=&quot;00E15159&quot;/&gt;&lt;wsp:rsid wsp:val=&quot;00E16082&quot;/&gt;&lt;wsp:rsid wsp:val=&quot;00E16B4C&quot;/&gt;&lt;wsp:rsid wsp:val=&quot;00E1793F&quot;/&gt;&lt;wsp:rsid wsp:val=&quot;00E179CB&quot;/&gt;&lt;wsp:rsid wsp:val=&quot;00E201FE&quot;/&gt;&lt;wsp:rsid wsp:val=&quot;00E202C9&quot;/&gt;&lt;wsp:rsid wsp:val=&quot;00E2067F&quot;/&gt;&lt;wsp:rsid wsp:val=&quot;00E20A83&quot;/&gt;&lt;wsp:rsid wsp:val=&quot;00E218A9&quot;/&gt;&lt;wsp:rsid wsp:val=&quot;00E21F2A&quot;/&gt;&lt;wsp:rsid wsp:val=&quot;00E229D1&quot;/&gt;&lt;wsp:rsid wsp:val=&quot;00E2649D&quot;/&gt;&lt;wsp:rsid wsp:val=&quot;00E26881&quot;/&gt;&lt;wsp:rsid wsp:val=&quot;00E26F7C&quot;/&gt;&lt;wsp:rsid wsp:val=&quot;00E27034&quot;/&gt;&lt;wsp:rsid wsp:val=&quot;00E275C4&quot;/&gt;&lt;wsp:rsid wsp:val=&quot;00E30B65&quot;/&gt;&lt;wsp:rsid wsp:val=&quot;00E32876&quot;/&gt;&lt;wsp:rsid wsp:val=&quot;00E328BB&quot;/&gt;&lt;wsp:rsid wsp:val=&quot;00E32B92&quot;/&gt;&lt;wsp:rsid wsp:val=&quot;00E33C7F&quot;/&gt;&lt;wsp:rsid wsp:val=&quot;00E33E89&quot;/&gt;&lt;wsp:rsid wsp:val=&quot;00E34424&quot;/&gt;&lt;wsp:rsid wsp:val=&quot;00E348E4&quot;/&gt;&lt;wsp:rsid wsp:val=&quot;00E34B35&quot;/&gt;&lt;wsp:rsid wsp:val=&quot;00E35748&quot;/&gt;&lt;wsp:rsid wsp:val=&quot;00E35BD8&quot;/&gt;&lt;wsp:rsid wsp:val=&quot;00E36288&quot;/&gt;&lt;wsp:rsid wsp:val=&quot;00E36B47&quot;/&gt;&lt;wsp:rsid wsp:val=&quot;00E37B6A&quot;/&gt;&lt;wsp:rsid wsp:val=&quot;00E4005F&quot;/&gt;&lt;wsp:rsid wsp:val=&quot;00E406E8&quot;/&gt;&lt;wsp:rsid wsp:val=&quot;00E41364&quot;/&gt;&lt;wsp:rsid wsp:val=&quot;00E41FFD&quot;/&gt;&lt;wsp:rsid wsp:val=&quot;00E42ACC&quot;/&gt;&lt;wsp:rsid wsp:val=&quot;00E42AE7&quot;/&gt;&lt;wsp:rsid wsp:val=&quot;00E42E36&quot;/&gt;&lt;wsp:rsid wsp:val=&quot;00E434FE&quot;/&gt;&lt;wsp:rsid wsp:val=&quot;00E436E6&quot;/&gt;&lt;wsp:rsid wsp:val=&quot;00E44DB6&quot;/&gt;&lt;wsp:rsid wsp:val=&quot;00E453EF&quot;/&gt;&lt;wsp:rsid wsp:val=&quot;00E4593E&quot;/&gt;&lt;wsp:rsid wsp:val=&quot;00E46004&quot;/&gt;&lt;wsp:rsid wsp:val=&quot;00E463BB&quot;/&gt;&lt;wsp:rsid wsp:val=&quot;00E464C4&quot;/&gt;&lt;wsp:rsid wsp:val=&quot;00E468CE&quot;/&gt;&lt;wsp:rsid wsp:val=&quot;00E46D25&quot;/&gt;&lt;wsp:rsid wsp:val=&quot;00E46D91&quot;/&gt;&lt;wsp:rsid wsp:val=&quot;00E47175&quot;/&gt;&lt;wsp:rsid wsp:val=&quot;00E47B44&quot;/&gt;&lt;wsp:rsid wsp:val=&quot;00E50BEE&quot;/&gt;&lt;wsp:rsid wsp:val=&quot;00E518A4&quot;/&gt;&lt;wsp:rsid wsp:val=&quot;00E51F22&quot;/&gt;&lt;wsp:rsid wsp:val=&quot;00E53A9E&quot;/&gt;&lt;wsp:rsid wsp:val=&quot;00E53DFB&quot;/&gt;&lt;wsp:rsid wsp:val=&quot;00E54A32&quot;/&gt;&lt;wsp:rsid wsp:val=&quot;00E56418&quot;/&gt;&lt;wsp:rsid wsp:val=&quot;00E5650B&quot;/&gt;&lt;wsp:rsid wsp:val=&quot;00E56CB6&quot;/&gt;&lt;wsp:rsid wsp:val=&quot;00E570FB&quot;/&gt;&lt;wsp:rsid wsp:val=&quot;00E57175&quot;/&gt;&lt;wsp:rsid wsp:val=&quot;00E5725F&quot;/&gt;&lt;wsp:rsid wsp:val=&quot;00E57E20&quot;/&gt;&lt;wsp:rsid wsp:val=&quot;00E615AC&quot;/&gt;&lt;wsp:rsid wsp:val=&quot;00E6196D&quot;/&gt;&lt;wsp:rsid wsp:val=&quot;00E620B1&quot;/&gt;&lt;wsp:rsid wsp:val=&quot;00E62262&quot;/&gt;&lt;wsp:rsid wsp:val=&quot;00E62BED&quot;/&gt;&lt;wsp:rsid wsp:val=&quot;00E6351D&quot;/&gt;&lt;wsp:rsid wsp:val=&quot;00E63E53&quot;/&gt;&lt;wsp:rsid wsp:val=&quot;00E645A3&quot;/&gt;&lt;wsp:rsid wsp:val=&quot;00E64DA7&quot;/&gt;&lt;wsp:rsid wsp:val=&quot;00E6512B&quot;/&gt;&lt;wsp:rsid wsp:val=&quot;00E65AB8&quot;/&gt;&lt;wsp:rsid wsp:val=&quot;00E65E5C&quot;/&gt;&lt;wsp:rsid wsp:val=&quot;00E66056&quot;/&gt;&lt;wsp:rsid wsp:val=&quot;00E66AD8&quot;/&gt;&lt;wsp:rsid wsp:val=&quot;00E672A5&quot;/&gt;&lt;wsp:rsid wsp:val=&quot;00E70B0B&quot;/&gt;&lt;wsp:rsid wsp:val=&quot;00E70D8F&quot;/&gt;&lt;wsp:rsid wsp:val=&quot;00E70F86&quot;/&gt;&lt;wsp:rsid wsp:val=&quot;00E71227&quot;/&gt;&lt;wsp:rsid wsp:val=&quot;00E7162D&quot;/&gt;&lt;wsp:rsid wsp:val=&quot;00E71910&quot;/&gt;&lt;wsp:rsid wsp:val=&quot;00E71CD1&quot;/&gt;&lt;wsp:rsid wsp:val=&quot;00E72046&quot;/&gt;&lt;wsp:rsid wsp:val=&quot;00E722AC&quot;/&gt;&lt;wsp:rsid wsp:val=&quot;00E72324&quot;/&gt;&lt;wsp:rsid wsp:val=&quot;00E72A40&quot;/&gt;&lt;wsp:rsid wsp:val=&quot;00E72B01&quot;/&gt;&lt;wsp:rsid wsp:val=&quot;00E736FA&quot;/&gt;&lt;wsp:rsid wsp:val=&quot;00E73A0B&quot;/&gt;&lt;wsp:rsid wsp:val=&quot;00E73B2A&quot;/&gt;&lt;wsp:rsid wsp:val=&quot;00E7452A&quot;/&gt;&lt;wsp:rsid wsp:val=&quot;00E747B4&quot;/&gt;&lt;wsp:rsid wsp:val=&quot;00E74C80&quot;/&gt;&lt;wsp:rsid wsp:val=&quot;00E74D02&quot;/&gt;&lt;wsp:rsid wsp:val=&quot;00E75295&quot;/&gt;&lt;wsp:rsid wsp:val=&quot;00E75F0B&quot;/&gt;&lt;wsp:rsid wsp:val=&quot;00E767A7&quot;/&gt;&lt;wsp:rsid wsp:val=&quot;00E77659&quot;/&gt;&lt;wsp:rsid wsp:val=&quot;00E778D0&quot;/&gt;&lt;wsp:rsid wsp:val=&quot;00E8018C&quot;/&gt;&lt;wsp:rsid wsp:val=&quot;00E81928&quot;/&gt;&lt;wsp:rsid wsp:val=&quot;00E82334&quot;/&gt;&lt;wsp:rsid wsp:val=&quot;00E825FF&quot;/&gt;&lt;wsp:rsid wsp:val=&quot;00E832F8&quot;/&gt;&lt;wsp:rsid wsp:val=&quot;00E83634&quot;/&gt;&lt;wsp:rsid wsp:val=&quot;00E83BD3&quot;/&gt;&lt;wsp:rsid wsp:val=&quot;00E84217&quot;/&gt;&lt;wsp:rsid wsp:val=&quot;00E84699&quot;/&gt;&lt;wsp:rsid wsp:val=&quot;00E84A2D&quot;/&gt;&lt;wsp:rsid wsp:val=&quot;00E8601A&quot;/&gt;&lt;wsp:rsid wsp:val=&quot;00E86852&quot;/&gt;&lt;wsp:rsid wsp:val=&quot;00E87665&quot;/&gt;&lt;wsp:rsid wsp:val=&quot;00E8792F&quot;/&gt;&lt;wsp:rsid wsp:val=&quot;00E87BEE&quot;/&gt;&lt;wsp:rsid wsp:val=&quot;00E87EF8&quot;/&gt;&lt;wsp:rsid wsp:val=&quot;00E87F9A&quot;/&gt;&lt;wsp:rsid wsp:val=&quot;00E9074F&quot;/&gt;&lt;wsp:rsid wsp:val=&quot;00E90CB2&quot;/&gt;&lt;wsp:rsid wsp:val=&quot;00E90F42&quot;/&gt;&lt;wsp:rsid wsp:val=&quot;00E918A2&quot;/&gt;&lt;wsp:rsid wsp:val=&quot;00E91988&quot;/&gt;&lt;wsp:rsid wsp:val=&quot;00E91DA7&quot;/&gt;&lt;wsp:rsid wsp:val=&quot;00E9203A&quot;/&gt;&lt;wsp:rsid wsp:val=&quot;00E92EF1&quot;/&gt;&lt;wsp:rsid wsp:val=&quot;00E93698&quot;/&gt;&lt;wsp:rsid wsp:val=&quot;00E93EE9&quot;/&gt;&lt;wsp:rsid wsp:val=&quot;00E941AB&quot;/&gt;&lt;wsp:rsid wsp:val=&quot;00E94B34&quot;/&gt;&lt;wsp:rsid wsp:val=&quot;00E94CFF&quot;/&gt;&lt;wsp:rsid wsp:val=&quot;00E94FEF&quot;/&gt;&lt;wsp:rsid wsp:val=&quot;00E9518F&quot;/&gt;&lt;wsp:rsid wsp:val=&quot;00E951BA&quot;/&gt;&lt;wsp:rsid wsp:val=&quot;00E953D3&quot;/&gt;&lt;wsp:rsid wsp:val=&quot;00E95538&quot;/&gt;&lt;wsp:rsid wsp:val=&quot;00E955A6&quot;/&gt;&lt;wsp:rsid wsp:val=&quot;00E95E5D&quot;/&gt;&lt;wsp:rsid wsp:val=&quot;00E961A4&quot;/&gt;&lt;wsp:rsid wsp:val=&quot;00E9645C&quot;/&gt;&lt;wsp:rsid wsp:val=&quot;00E97B42&quot;/&gt;&lt;wsp:rsid wsp:val=&quot;00EA1B78&quot;/&gt;&lt;wsp:rsid wsp:val=&quot;00EA1BAD&quot;/&gt;&lt;wsp:rsid wsp:val=&quot;00EA23B4&quot;/&gt;&lt;wsp:rsid wsp:val=&quot;00EA27F6&quot;/&gt;&lt;wsp:rsid wsp:val=&quot;00EA315F&quot;/&gt;&lt;wsp:rsid wsp:val=&quot;00EA3C0C&quot;/&gt;&lt;wsp:rsid wsp:val=&quot;00EA4302&quot;/&gt;&lt;wsp:rsid wsp:val=&quot;00EA4608&quot;/&gt;&lt;wsp:rsid wsp:val=&quot;00EA5575&quot;/&gt;&lt;wsp:rsid wsp:val=&quot;00EA59B7&quot;/&gt;&lt;wsp:rsid wsp:val=&quot;00EA5B8E&quot;/&gt;&lt;wsp:rsid wsp:val=&quot;00EA5D5B&quot;/&gt;&lt;wsp:rsid wsp:val=&quot;00EA6D99&quot;/&gt;&lt;wsp:rsid wsp:val=&quot;00EA6E0D&quot;/&gt;&lt;wsp:rsid wsp:val=&quot;00EA7CF6&quot;/&gt;&lt;wsp:rsid wsp:val=&quot;00EB1AED&quot;/&gt;&lt;wsp:rsid wsp:val=&quot;00EB1D19&quot;/&gt;&lt;wsp:rsid wsp:val=&quot;00EB24D1&quot;/&gt;&lt;wsp:rsid wsp:val=&quot;00EB2A3F&quot;/&gt;&lt;wsp:rsid wsp:val=&quot;00EB2B02&quot;/&gt;&lt;wsp:rsid wsp:val=&quot;00EB3528&quot;/&gt;&lt;wsp:rsid wsp:val=&quot;00EB463E&quot;/&gt;&lt;wsp:rsid wsp:val=&quot;00EB4E24&quot;/&gt;&lt;wsp:rsid wsp:val=&quot;00EB4F22&quot;/&gt;&lt;wsp:rsid wsp:val=&quot;00EB513B&quot;/&gt;&lt;wsp:rsid wsp:val=&quot;00EB550C&quot;/&gt;&lt;wsp:rsid wsp:val=&quot;00EB6D52&quot;/&gt;&lt;wsp:rsid wsp:val=&quot;00EB719D&quot;/&gt;&lt;wsp:rsid wsp:val=&quot;00EB7442&quot;/&gt;&lt;wsp:rsid wsp:val=&quot;00EB755A&quot;/&gt;&lt;wsp:rsid wsp:val=&quot;00EB7AAF&quot;/&gt;&lt;wsp:rsid wsp:val=&quot;00EB7BC8&quot;/&gt;&lt;wsp:rsid wsp:val=&quot;00EC08B2&quot;/&gt;&lt;wsp:rsid wsp:val=&quot;00EC1910&quot;/&gt;&lt;wsp:rsid wsp:val=&quot;00EC1B43&quot;/&gt;&lt;wsp:rsid wsp:val=&quot;00EC21FE&quot;/&gt;&lt;wsp:rsid wsp:val=&quot;00EC23B6&quot;/&gt;&lt;wsp:rsid wsp:val=&quot;00EC2572&quot;/&gt;&lt;wsp:rsid wsp:val=&quot;00EC2760&quot;/&gt;&lt;wsp:rsid wsp:val=&quot;00EC35E8&quot;/&gt;&lt;wsp:rsid wsp:val=&quot;00EC418F&quot;/&gt;&lt;wsp:rsid wsp:val=&quot;00EC6075&quot;/&gt;&lt;wsp:rsid wsp:val=&quot;00EC6487&quot;/&gt;&lt;wsp:rsid wsp:val=&quot;00EC73F4&quot;/&gt;&lt;wsp:rsid wsp:val=&quot;00EC770C&quot;/&gt;&lt;wsp:rsid wsp:val=&quot;00ED10E3&quot;/&gt;&lt;wsp:rsid wsp:val=&quot;00ED13F5&quot;/&gt;&lt;wsp:rsid wsp:val=&quot;00ED2094&quot;/&gt;&lt;wsp:rsid wsp:val=&quot;00ED274E&quot;/&gt;&lt;wsp:rsid wsp:val=&quot;00ED295D&quot;/&gt;&lt;wsp:rsid wsp:val=&quot;00ED2D9B&quot;/&gt;&lt;wsp:rsid wsp:val=&quot;00ED3F1B&quot;/&gt;&lt;wsp:rsid wsp:val=&quot;00ED48C9&quot;/&gt;&lt;wsp:rsid wsp:val=&quot;00ED4BFC&quot;/&gt;&lt;wsp:rsid wsp:val=&quot;00ED4DA9&quot;/&gt;&lt;wsp:rsid wsp:val=&quot;00ED62C7&quot;/&gt;&lt;wsp:rsid wsp:val=&quot;00ED67A2&quot;/&gt;&lt;wsp:rsid wsp:val=&quot;00ED6D95&quot;/&gt;&lt;wsp:rsid wsp:val=&quot;00EE017C&quot;/&gt;&lt;wsp:rsid wsp:val=&quot;00EE042D&quot;/&gt;&lt;wsp:rsid wsp:val=&quot;00EE0EF5&quot;/&gt;&lt;wsp:rsid wsp:val=&quot;00EE1EAB&quot;/&gt;&lt;wsp:rsid wsp:val=&quot;00EE2D7F&quot;/&gt;&lt;wsp:rsid wsp:val=&quot;00EE2F17&quot;/&gt;&lt;wsp:rsid wsp:val=&quot;00EE32EC&quot;/&gt;&lt;wsp:rsid wsp:val=&quot;00EE3573&quot;/&gt;&lt;wsp:rsid wsp:val=&quot;00EE3622&quot;/&gt;&lt;wsp:rsid wsp:val=&quot;00EE3CB2&quot;/&gt;&lt;wsp:rsid wsp:val=&quot;00EE4342&quot;/&gt;&lt;wsp:rsid wsp:val=&quot;00EE4F6A&quot;/&gt;&lt;wsp:rsid wsp:val=&quot;00EE527D&quot;/&gt;&lt;wsp:rsid wsp:val=&quot;00EE5972&quot;/&gt;&lt;wsp:rsid wsp:val=&quot;00EE5D30&quot;/&gt;&lt;wsp:rsid wsp:val=&quot;00EE5F68&quot;/&gt;&lt;wsp:rsid wsp:val=&quot;00EE6723&quot;/&gt;&lt;wsp:rsid wsp:val=&quot;00EE6FC7&quot;/&gt;&lt;wsp:rsid wsp:val=&quot;00EE7011&quot;/&gt;&lt;wsp:rsid wsp:val=&quot;00EE7ED3&quot;/&gt;&lt;wsp:rsid wsp:val=&quot;00EF0DF0&quot;/&gt;&lt;wsp:rsid wsp:val=&quot;00EF1956&quot;/&gt;&lt;wsp:rsid wsp:val=&quot;00EF20EB&quot;/&gt;&lt;wsp:rsid wsp:val=&quot;00EF318F&quot;/&gt;&lt;wsp:rsid wsp:val=&quot;00EF328D&quot;/&gt;&lt;wsp:rsid wsp:val=&quot;00EF4FF1&quot;/&gt;&lt;wsp:rsid wsp:val=&quot;00EF6208&quot;/&gt;&lt;wsp:rsid wsp:val=&quot;00EF78DC&quot;/&gt;&lt;wsp:rsid wsp:val=&quot;00F01CE9&quot;/&gt;&lt;wsp:rsid wsp:val=&quot;00F01D6F&quot;/&gt;&lt;wsp:rsid wsp:val=&quot;00F02144&quot;/&gt;&lt;wsp:rsid wsp:val=&quot;00F02902&quot;/&gt;&lt;wsp:rsid wsp:val=&quot;00F048E4&quot;/&gt;&lt;wsp:rsid wsp:val=&quot;00F04F80&quot;/&gt;&lt;wsp:rsid wsp:val=&quot;00F066F0&quot;/&gt;&lt;wsp:rsid wsp:val=&quot;00F06743&quot;/&gt;&lt;wsp:rsid wsp:val=&quot;00F06849&quot;/&gt;&lt;wsp:rsid wsp:val=&quot;00F06C8E&quot;/&gt;&lt;wsp:rsid wsp:val=&quot;00F07632&quot;/&gt;&lt;wsp:rsid wsp:val=&quot;00F0790A&quot;/&gt;&lt;wsp:rsid wsp:val=&quot;00F1080C&quot;/&gt;&lt;wsp:rsid wsp:val=&quot;00F10F5F&quot;/&gt;&lt;wsp:rsid wsp:val=&quot;00F1170A&quot;/&gt;&lt;wsp:rsid wsp:val=&quot;00F12735&quot;/&gt;&lt;wsp:rsid wsp:val=&quot;00F12D5A&quot;/&gt;&lt;wsp:rsid wsp:val=&quot;00F14A0B&quot;/&gt;&lt;wsp:rsid wsp:val=&quot;00F15269&quot;/&gt;&lt;wsp:rsid wsp:val=&quot;00F16340&quot;/&gt;&lt;wsp:rsid wsp:val=&quot;00F1748A&quot;/&gt;&lt;wsp:rsid wsp:val=&quot;00F177F0&quot;/&gt;&lt;wsp:rsid wsp:val=&quot;00F1785D&quot;/&gt;&lt;wsp:rsid wsp:val=&quot;00F20BC8&quot;/&gt;&lt;wsp:rsid wsp:val=&quot;00F21729&quot;/&gt;&lt;wsp:rsid wsp:val=&quot;00F2174F&quot;/&gt;&lt;wsp:rsid wsp:val=&quot;00F21ADD&quot;/&gt;&lt;wsp:rsid wsp:val=&quot;00F22018&quot;/&gt;&lt;wsp:rsid wsp:val=&quot;00F22035&quot;/&gt;&lt;wsp:rsid wsp:val=&quot;00F240E0&quot;/&gt;&lt;wsp:rsid wsp:val=&quot;00F244A8&quot;/&gt;&lt;wsp:rsid wsp:val=&quot;00F24B17&quot;/&gt;&lt;wsp:rsid wsp:val=&quot;00F252B8&quot;/&gt;&lt;wsp:rsid wsp:val=&quot;00F25509&quot;/&gt;&lt;wsp:rsid wsp:val=&quot;00F26EE5&quot;/&gt;&lt;wsp:rsid wsp:val=&quot;00F27EBE&quot;/&gt;&lt;wsp:rsid wsp:val=&quot;00F303E0&quot;/&gt;&lt;wsp:rsid wsp:val=&quot;00F30439&quot;/&gt;&lt;wsp:rsid wsp:val=&quot;00F30F9A&quot;/&gt;&lt;wsp:rsid wsp:val=&quot;00F327DB&quot;/&gt;&lt;wsp:rsid wsp:val=&quot;00F327DC&quot;/&gt;&lt;wsp:rsid wsp:val=&quot;00F32E2E&quot;/&gt;&lt;wsp:rsid wsp:val=&quot;00F34C4A&quot;/&gt;&lt;wsp:rsid wsp:val=&quot;00F35383&quot;/&gt;&lt;wsp:rsid wsp:val=&quot;00F369D5&quot;/&gt;&lt;wsp:rsid wsp:val=&quot;00F377D7&quot;/&gt;&lt;wsp:rsid wsp:val=&quot;00F37A36&quot;/&gt;&lt;wsp:rsid wsp:val=&quot;00F404DF&quot;/&gt;&lt;wsp:rsid wsp:val=&quot;00F40FCF&quot;/&gt;&lt;wsp:rsid wsp:val=&quot;00F4118F&quot;/&gt;&lt;wsp:rsid wsp:val=&quot;00F4133C&quot;/&gt;&lt;wsp:rsid wsp:val=&quot;00F41B8B&quot;/&gt;&lt;wsp:rsid wsp:val=&quot;00F42225&quot;/&gt;&lt;wsp:rsid wsp:val=&quot;00F423F8&quot;/&gt;&lt;wsp:rsid wsp:val=&quot;00F434E4&quot;/&gt;&lt;wsp:rsid wsp:val=&quot;00F4367D&quot;/&gt;&lt;wsp:rsid wsp:val=&quot;00F4394A&quot;/&gt;&lt;wsp:rsid wsp:val=&quot;00F43A44&quot;/&gt;&lt;wsp:rsid wsp:val=&quot;00F45FDD&quot;/&gt;&lt;wsp:rsid wsp:val=&quot;00F4666A&quot;/&gt;&lt;wsp:rsid wsp:val=&quot;00F472B3&quot;/&gt;&lt;wsp:rsid wsp:val=&quot;00F4799D&quot;/&gt;&lt;wsp:rsid wsp:val=&quot;00F50504&quot;/&gt;&lt;wsp:rsid wsp:val=&quot;00F50E69&quot;/&gt;&lt;wsp:rsid wsp:val=&quot;00F51039&quot;/&gt;&lt;wsp:rsid wsp:val=&quot;00F514A2&quot;/&gt;&lt;wsp:rsid wsp:val=&quot;00F52458&quot;/&gt;&lt;wsp:rsid wsp:val=&quot;00F52903&quot;/&gt;&lt;wsp:rsid wsp:val=&quot;00F53E40&quot;/&gt;&lt;wsp:rsid wsp:val=&quot;00F54655&quot;/&gt;&lt;wsp:rsid wsp:val=&quot;00F54AA3&quot;/&gt;&lt;wsp:rsid wsp:val=&quot;00F551A4&quot;/&gt;&lt;wsp:rsid wsp:val=&quot;00F554A0&quot;/&gt;&lt;wsp:rsid wsp:val=&quot;00F56AFB&quot;/&gt;&lt;wsp:rsid wsp:val=&quot;00F56EC2&quot;/&gt;&lt;wsp:rsid wsp:val=&quot;00F57495&quot;/&gt;&lt;wsp:rsid wsp:val=&quot;00F6041A&quot;/&gt;&lt;wsp:rsid wsp:val=&quot;00F605E8&quot;/&gt;&lt;wsp:rsid wsp:val=&quot;00F60840&quot;/&gt;&lt;wsp:rsid wsp:val=&quot;00F60B50&quot;/&gt;&lt;wsp:rsid wsp:val=&quot;00F60FD5&quot;/&gt;&lt;wsp:rsid wsp:val=&quot;00F618B7&quot;/&gt;&lt;wsp:rsid wsp:val=&quot;00F61952&quot;/&gt;&lt;wsp:rsid wsp:val=&quot;00F63485&quot;/&gt;&lt;wsp:rsid wsp:val=&quot;00F63B08&quot;/&gt;&lt;wsp:rsid wsp:val=&quot;00F643FC&quot;/&gt;&lt;wsp:rsid wsp:val=&quot;00F646BB&quot;/&gt;&lt;wsp:rsid wsp:val=&quot;00F655A9&quot;/&gt;&lt;wsp:rsid wsp:val=&quot;00F65A02&quot;/&gt;&lt;wsp:rsid wsp:val=&quot;00F66028&quot;/&gt;&lt;wsp:rsid wsp:val=&quot;00F662C3&quot;/&gt;&lt;wsp:rsid wsp:val=&quot;00F67051&quot;/&gt;&lt;wsp:rsid wsp:val=&quot;00F6741E&quot;/&gt;&lt;wsp:rsid wsp:val=&quot;00F67749&quot;/&gt;&lt;wsp:rsid wsp:val=&quot;00F67E3E&quot;/&gt;&lt;wsp:rsid wsp:val=&quot;00F71FBB&quot;/&gt;&lt;wsp:rsid wsp:val=&quot;00F72CA6&quot;/&gt;&lt;wsp:rsid wsp:val=&quot;00F738F7&quot;/&gt;&lt;wsp:rsid wsp:val=&quot;00F73C09&quot;/&gt;&lt;wsp:rsid wsp:val=&quot;00F73E31&quot;/&gt;&lt;wsp:rsid wsp:val=&quot;00F74C85&quot;/&gt;&lt;wsp:rsid wsp:val=&quot;00F75095&quot;/&gt;&lt;wsp:rsid wsp:val=&quot;00F7526A&quot;/&gt;&lt;wsp:rsid wsp:val=&quot;00F75D2E&quot;/&gt;&lt;wsp:rsid wsp:val=&quot;00F764C0&quot;/&gt;&lt;wsp:rsid wsp:val=&quot;00F76B03&quot;/&gt;&lt;wsp:rsid wsp:val=&quot;00F77A16&quot;/&gt;&lt;wsp:rsid wsp:val=&quot;00F77A4C&quot;/&gt;&lt;wsp:rsid wsp:val=&quot;00F77B3C&quot;/&gt;&lt;wsp:rsid wsp:val=&quot;00F80A94&quot;/&gt;&lt;wsp:rsid wsp:val=&quot;00F81EA8&quot;/&gt;&lt;wsp:rsid wsp:val=&quot;00F82740&quot;/&gt;&lt;wsp:rsid wsp:val=&quot;00F83C80&quot;/&gt;&lt;wsp:rsid wsp:val=&quot;00F83D4E&quot;/&gt;&lt;wsp:rsid wsp:val=&quot;00F84BAF&quot;/&gt;&lt;wsp:rsid wsp:val=&quot;00F85830&quot;/&gt;&lt;wsp:rsid wsp:val=&quot;00F861AF&quot;/&gt;&lt;wsp:rsid wsp:val=&quot;00F86702&quot;/&gt;&lt;wsp:rsid wsp:val=&quot;00F870CC&quot;/&gt;&lt;wsp:rsid wsp:val=&quot;00F872BC&quot;/&gt;&lt;wsp:rsid wsp:val=&quot;00F873B8&quot;/&gt;&lt;wsp:rsid wsp:val=&quot;00F879F1&quot;/&gt;&lt;wsp:rsid wsp:val=&quot;00F87E17&quot;/&gt;&lt;wsp:rsid wsp:val=&quot;00F9035C&quot;/&gt;&lt;wsp:rsid wsp:val=&quot;00F90E63&quot;/&gt;&lt;wsp:rsid wsp:val=&quot;00F91B44&quot;/&gt;&lt;wsp:rsid wsp:val=&quot;00F925AB&quot;/&gt;&lt;wsp:rsid wsp:val=&quot;00F92B36&quot;/&gt;&lt;wsp:rsid wsp:val=&quot;00F93B62&quot;/&gt;&lt;wsp:rsid wsp:val=&quot;00F949C0&quot;/&gt;&lt;wsp:rsid wsp:val=&quot;00F95093&quot;/&gt;&lt;wsp:rsid wsp:val=&quot;00F962CC&quot;/&gt;&lt;wsp:rsid wsp:val=&quot;00F96D6B&quot;/&gt;&lt;wsp:rsid wsp:val=&quot;00F96FFE&quot;/&gt;&lt;wsp:rsid wsp:val=&quot;00FA0697&quot;/&gt;&lt;wsp:rsid wsp:val=&quot;00FA0C6D&quot;/&gt;&lt;wsp:rsid wsp:val=&quot;00FA10FD&quot;/&gt;&lt;wsp:rsid wsp:val=&quot;00FA1829&quot;/&gt;&lt;wsp:rsid wsp:val=&quot;00FA312B&quot;/&gt;&lt;wsp:rsid wsp:val=&quot;00FA3F11&quot;/&gt;&lt;wsp:rsid wsp:val=&quot;00FA3F83&quot;/&gt;&lt;wsp:rsid wsp:val=&quot;00FA5DC4&quot;/&gt;&lt;wsp:rsid wsp:val=&quot;00FA6003&quot;/&gt;&lt;wsp:rsid wsp:val=&quot;00FA6A0C&quot;/&gt;&lt;wsp:rsid wsp:val=&quot;00FA6B11&quot;/&gt;&lt;wsp:rsid wsp:val=&quot;00FA7526&quot;/&gt;&lt;wsp:rsid wsp:val=&quot;00FA75FB&quot;/&gt;&lt;wsp:rsid wsp:val=&quot;00FB086B&quot;/&gt;&lt;wsp:rsid wsp:val=&quot;00FB0F82&quot;/&gt;&lt;wsp:rsid wsp:val=&quot;00FB19A1&quot;/&gt;&lt;wsp:rsid wsp:val=&quot;00FB344E&quot;/&gt;&lt;wsp:rsid wsp:val=&quot;00FB3F32&quot;/&gt;&lt;wsp:rsid wsp:val=&quot;00FB496B&quot;/&gt;&lt;wsp:rsid wsp:val=&quot;00FB5624&quot;/&gt;&lt;wsp:rsid wsp:val=&quot;00FB5A87&quot;/&gt;&lt;wsp:rsid wsp:val=&quot;00FB6000&quot;/&gt;&lt;wsp:rsid wsp:val=&quot;00FB6684&quot;/&gt;&lt;wsp:rsid wsp:val=&quot;00FB6C3B&quot;/&gt;&lt;wsp:rsid wsp:val=&quot;00FB776B&quot;/&gt;&lt;wsp:rsid wsp:val=&quot;00FC1109&quot;/&gt;&lt;wsp:rsid wsp:val=&quot;00FC1AEE&quot;/&gt;&lt;wsp:rsid wsp:val=&quot;00FC23A5&quot;/&gt;&lt;wsp:rsid wsp:val=&quot;00FC3066&quot;/&gt;&lt;wsp:rsid wsp:val=&quot;00FC3293&quot;/&gt;&lt;wsp:rsid wsp:val=&quot;00FC3916&quot;/&gt;&lt;wsp:rsid wsp:val=&quot;00FC3BE3&quot;/&gt;&lt;wsp:rsid wsp:val=&quot;00FC3E32&quot;/&gt;&lt;wsp:rsid wsp:val=&quot;00FC59E9&quot;/&gt;&lt;wsp:rsid wsp:val=&quot;00FC6766&quot;/&gt;&lt;wsp:rsid wsp:val=&quot;00FC7AB9&quot;/&gt;&lt;wsp:rsid wsp:val=&quot;00FC7D48&quot;/&gt;&lt;wsp:rsid wsp:val=&quot;00FD0DD6&quot;/&gt;&lt;wsp:rsid wsp:val=&quot;00FD19AD&quot;/&gt;&lt;wsp:rsid wsp:val=&quot;00FD3494&quot;/&gt;&lt;wsp:rsid wsp:val=&quot;00FD3E24&quot;/&gt;&lt;wsp:rsid wsp:val=&quot;00FD4856&quot;/&gt;&lt;wsp:rsid wsp:val=&quot;00FD5050&quot;/&gt;&lt;wsp:rsid wsp:val=&quot;00FD5068&quot;/&gt;&lt;wsp:rsid wsp:val=&quot;00FD5A19&quot;/&gt;&lt;wsp:rsid wsp:val=&quot;00FD5CD9&quot;/&gt;&lt;wsp:rsid wsp:val=&quot;00FD6004&quot;/&gt;&lt;wsp:rsid wsp:val=&quot;00FD62BC&quot;/&gt;&lt;wsp:rsid wsp:val=&quot;00FD6B4A&quot;/&gt;&lt;wsp:rsid wsp:val=&quot;00FD7141&quot;/&gt;&lt;wsp:rsid wsp:val=&quot;00FD7936&quot;/&gt;&lt;wsp:rsid wsp:val=&quot;00FD7E88&quot;/&gt;&lt;wsp:rsid wsp:val=&quot;00FE0261&quot;/&gt;&lt;wsp:rsid wsp:val=&quot;00FE107E&quot;/&gt;&lt;wsp:rsid wsp:val=&quot;00FE1EA7&quot;/&gt;&lt;wsp:rsid wsp:val=&quot;00FE231E&quot;/&gt;&lt;wsp:rsid wsp:val=&quot;00FE2697&quot;/&gt;&lt;wsp:rsid wsp:val=&quot;00FE2B98&quot;/&gt;&lt;wsp:rsid wsp:val=&quot;00FE2DF7&quot;/&gt;&lt;wsp:rsid wsp:val=&quot;00FE3A9B&quot;/&gt;&lt;wsp:rsid wsp:val=&quot;00FE3F46&quot;/&gt;&lt;wsp:rsid wsp:val=&quot;00FE4727&quot;/&gt;&lt;wsp:rsid wsp:val=&quot;00FE4779&quot;/&gt;&lt;wsp:rsid wsp:val=&quot;00FE4817&quot;/&gt;&lt;wsp:rsid wsp:val=&quot;00FE4CCE&quot;/&gt;&lt;wsp:rsid wsp:val=&quot;00FE5400&quot;/&gt;&lt;wsp:rsid wsp:val=&quot;00FE6FBF&quot;/&gt;&lt;wsp:rsid wsp:val=&quot;00FE7297&quot;/&gt;&lt;wsp:rsid wsp:val=&quot;00FE7520&quot;/&gt;&lt;wsp:rsid wsp:val=&quot;00FE756A&quot;/&gt;&lt;wsp:rsid wsp:val=&quot;00FF00DB&quot;/&gt;&lt;wsp:rsid wsp:val=&quot;00FF0BE9&quot;/&gt;&lt;wsp:rsid wsp:val=&quot;00FF1DB0&quot;/&gt;&lt;wsp:rsid wsp:val=&quot;00FF2506&quot;/&gt;&lt;wsp:rsid wsp:val=&quot;00FF2A05&quot;/&gt;&lt;wsp:rsid wsp:val=&quot;00FF3340&quot;/&gt;&lt;wsp:rsid wsp:val=&quot;00FF380D&quot;/&gt;&lt;wsp:rsid wsp:val=&quot;00FF4405&quot;/&gt;&lt;wsp:rsid wsp:val=&quot;00FF462E&quot;/&gt;&lt;wsp:rsid wsp:val=&quot;00FF4922&quot;/&gt;&lt;wsp:rsid wsp:val=&quot;00FF4976&quot;/&gt;&lt;wsp:rsid wsp:val=&quot;00FF70E4&quot;/&gt;&lt;wsp:rsid wsp:val=&quot;00FF7279&quot;/&gt;&lt;wsp:rsid wsp:val=&quot;00FF73C4&quot;/&gt;&lt;wsp:rsid wsp:val=&quot;00FF7468&quot;/&gt;&lt;wsp:rsid wsp:val=&quot;00FF7A38&quot;/&gt;&lt;/wsp:rsids&gt;&lt;/w:docPr&gt;&lt;w:body&gt;&lt;wx:sect&gt;&lt;w:p wsp:rsidR=&quot;0020460C&quot; wsp:rsidRDefault=&quot;0020460C&quot; wsp:rsidP=&quot;0020460C&quot;&gt;&lt;m:oMathPara&gt;&lt;m:oMath&gt;&lt;m:r&gt;&lt;aml:annotation aml:id=&quot;0&quot; w:type=&quot;Word.Insertion&quot; aml:author=&quot;jq ??&quot; aml:createdate=&quot;2024-12-04T09:02:00Z&quot;&gt;&lt;aml:content&gt;&lt;w:rP&gt;&gt;&gt;&gt;r&gt;/&lt;w:rFonts w:ascii=&quot;Cambria Math&quot; w:h-ansi=&quot;????&quot;/&gt;&lt;wx:font wx:val=&quot;Cambria Math&quot;/&gt;&lt;w:b w:val=&quot;off&quot;/&gt;&lt;w:i/&gt;&lt;w:sz w:val=&quot;21&quot;/&gt;&lt;w:sz-cs w:val=&quot;21&quot;/&gt;&lt;/w:rPr&gt;&lt;m:t&gt;??=&lt;/m:t&gt;&lt;/aml:content&gt;&lt;/aml:annotation&gt;&lt;/m:r&gt;&lt;m:f&gt;&lt;m:fPr&gt;&lt;m:ctrlPr&gt;&lt;aml:annotation aml:id=rP&gt;&quot;rP&gt;1rP&gt;&quot;rP&gt; w:r&gt;/type=&quot;Word.Insertion&quot; aml:author=&quot;jq ??&quot; aml:createdate=&quot;2024-12-04T09:02:00Z&quot;&gt;&lt;aml:content&gt;&lt;w:rPr&gt;&lt;w:rFonts w:ascii=&quot;Cambria Math&quot; w:h-ansi=&quot;????&quot;/&gt;&lt;wx:font wx:val=&quot;Cambria Math&quot;/&gt;&lt;w:b w:val=&quot;off&quot;/&gt;&lt;w:i/&gt;&lt;w:sz w:val=&quot;21&quot;/&gt;&lt;w:sz-cs w:valrP&gt;=&quot;21rP&gt;&quot;/&gt;&lt;rP&gt;/w:rrP&gt;Pr&gt;&lt;/ar&gt;/ml:content&gt;&lt;/aml:annotation&gt;&lt;/m:ctrlPr&gt;&lt;/m:fPr&gt;&lt;m:num&gt;&lt;m:r&gt;&lt;aml:annotation aml:id=&quot;2&quot; w:type=&quot;Word.Insertion&quot; aml:author=&quot;jq ??&quot; aml:createdate=&quot;2024-12-04T09:02:00Z&quot;&gt;&lt;aml:content&gt;&lt;w:rPr&gt;&lt;w:rFonts w:ascii=&quot;Cambria Math&quot; w:h-a&gt;nsi=&quot;??P&gt;??&quot;/&gt;&lt;wrP&gt;x:font rP&gt;wx:val=&quot;Cr&gt;/ambria Math&quot;/&gt;&lt;w:b w:val=&quot;off&quot;/&gt;&lt;w:i/&gt;&lt;w:sz w:val=&quot;21&quot;/&gt;&lt;w:sz-cs w:val=&quot;21&quot;/&gt;&lt;/w:rPr&gt;&lt;m:t&gt;Q&lt;/m:t&gt;&lt;/aml:content&gt;&lt;/aml:annotation&gt;&lt;/m:r&gt;&lt;/m:num&gt;&lt;m:den&gt;&lt;m:r&gt;&lt;aml:annotation aml:id=&quot;3&quot; w:type=&quot;Word.Insertion&quot; aml:authoa&gt;r=&quot;jq ??&quot;P&gt; aml:creat&gt;edate=&quot;202&gt;4-12-04T09:0/2:00Z&quot;&gt;&lt;aml:content&gt;&lt;w:rPr&gt;&lt;w:rFonts w:ascii=&quot;Cambria Math&quot; w:h-ansi=&quot;????&quot;/&gt;&lt;wx:font wx:val=&quot;Cambria Math&quot;/&gt;&lt;w:b w:val=&quot;off&quot;/&gt;&lt;w:i/&gt;&lt;w:sz w:val=&quot;21&quot;/&gt;&lt;w:sz-cs w:val=&quot;21&quot;/&gt;&lt;/w:rPr&gt;&lt;m:t&gt;n??&lt;/m:t&gt;&lt;/aml:content&gt;&lt;hoa&gt;/aml:annota&quot;P&gt;tion&gt;&lt;/m:r&gt;at&gt;&lt;m:r&gt;&lt;aml:a02&gt;nnotation aml:0/:id=&quot;4&quot; w:type=&quot;Word.Insertion&quot; aml:author=&quot;jq ??&quot; aml:createdate=&quot;2024-12-04T09:02:00Z&quot;&gt;&lt;aml:content&gt;&lt;w:rPr&gt;&lt;w:rFonts w:ascii=&quot;Cambria Math&quot; w:h-ansi=&quot;????&quot; w:hint=&quot;fareast&quot;/&gt;&lt;wx:font wx:val=&quot;????&lt;hoa&gt;&quot;/&gt;&lt;w:b w:val=ta&quot;P&gt;&quot;off&quot;/&gt;&lt;w:i/&gt;&lt;r&gt;at&gt;w:sz w:val=&quot;21:a02&gt;&quot;/&gt;&lt;w:sz-cs w:vaml:0/l=&quot;21&quot;/&gt;&lt;/w:rPr&gt;&lt;m:t&gt;??&lt;/m:t&gt;&lt;/aml:content&gt;&lt;/aml:annotation&gt;&lt;/m:r&gt;&lt;m:rad&gt;&lt;m:radPr&gt;&lt;m:degHide m:val=&quot;1&quot;/&gt;&lt;m:ctrlPr&gt;&lt;aml:annotation aml:id=&quot;5&quot; w:type=&quot;Word.Insertion&quot; aml:author=&quot;&gt;jq ??&quot; aml:createdaP&gt;te=&quot;2024-12-04T09:0t&gt;2:00Z&quot;&gt;&lt;aml:content2&gt;&gt;&lt;w:rPr&gt;&lt;w:rFonts w:a0/scii=&quot;Cambria Math&quot; w:h-ansi=&quot;????&quot;/&gt;&lt;wx:font wx:val=&quot;Cambria Math&quot;/&gt;&lt;w:b w:val=&quot;off&quot;/&gt;&lt;w:i/&gt;&lt;w:sz w:val=&quot;21&quot;/&gt;&lt;w:sz-cs w:val=&quot;21&quot;/&gt;&lt;/w:rPr&gt;&lt;/aml:content&gt;&lt;/aml:annotatio=&quot;&gt;n&gt;&lt;/m:ctrlPr&gt;&lt;/m:radPP&gt;r&gt;&lt;m:deg/&gt;&lt;m:e&gt;&lt;m:r&gt;&lt;t&gt;aml:annotation aml:id2&gt;=&quot;6&quot; w:type=&quot;Word.Inser0/tion&quot; aml:author=&quot;jq ??&quot; aml:createdate=&quot;2024-12-04T09:02:00Z&quot;&gt;&lt;aml:content&gt;&lt;w:rPr&gt;&lt;w:rFonts w:ascii=&quot;Cambria Math&quot; w:h-ansi=&quot;????&quot;/&gt;&lt;wx:font wx:val=&quot;Cambria Mat=&quot;&gt;h&quot;/&gt;&lt;w:b w:val=&quot;off&quot;/&gt;&lt;PP&gt;w:i/&gt;&lt;w:sz w:val=&quot;21&quot;/&gt;&lt;t&gt;&lt;w:sz-cs w:val=&quot;21&quot;/&gt;&lt;/d2&gt;w:rPr&gt;&lt;m:t&gt;2g&lt;/m:t&gt;&lt;/aml:r0/content&gt;&lt;/aml:annotation&gt;&lt;/m:r&gt;&lt;m:sSub&gt;&lt;m:sSubPr&gt;&lt;m:ctrlPr&gt;&lt;aml:annotation aml:id=&quot;7&quot; w:type=&quot;Word.Insertion&quot; aml:author=&quot;jq ??&quot; aml:createdate=&quot;2024&gt;-12-04T09:02:00Z&quot;&gt;&lt;aml:con&gt;tent&gt;&lt;w:rPr&gt;&lt;w:rFonts w:as&gt;cii=&quot;Cambria Math&quot; w:h-ans&gt;i=&quot;????&quot;/&gt;&lt;wx:font wx:val=&quot;Cr0/ambria Math&quot;/&gt;&lt;w:b w:val=&quot;off&quot;/&gt;&lt;w:i/&gt;&lt;w:sz w:val=&quot;21&quot;/&gt;&lt;w:sz-cs w:val=&quot;21&quot;/&gt;&lt;/w:rPr&gt;&lt;/aml:content&gt;&lt;/aml:annotation&gt;&lt;/m:ctrlPr&gt;&lt;/m:sSubPr&gt;&lt;m:e&gt;4&gt;&lt;m:r&gt;&lt;aml:annotation aml:idn&gt;=&quot;8&quot; w:type=&quot;Word.Insertions&gt;&quot; aml:author=&quot;jq ??&quot; aml:crns&gt;eatedate=&quot;2024-12-04T09:02:00Z&quot;/&gt;&lt;aml:content&gt;&lt;w:rPr&gt;&lt;w:rFonts w:ascii=&quot;Cambria Math&quot; w:h-ansi=&quot;????&quot;/&gt;&lt;wx:font wx:val=&quot;Cambria Math&quot;/&gt;&lt;w:b w:val=&quot;off&quot;/&gt;&lt;w:i/&gt;&lt;w:sz w:&gt;4&gt;val=&quot;21&quot;/&gt;&lt;w:sz-cs w:val=&quot;21&quot;dn&gt;/&gt;&lt;/w:rPr&gt;&lt;m:t&gt;H&lt;/m:t&gt;&lt;/aml:cns&gt;ontent&gt;&lt;/aml:annotation&gt;&lt;/m:r&gt;s&gt;&lt;/m:e&gt;&lt;m:sub&gt;&lt;m:r&gt;&lt;aml:annotatio&quot;/n aml:id=&quot;9&quot; w:type=&quot;Word.Insertion&quot; aml:author=&quot;jq ??&quot; aml:createdate=&quot;2024-12-04T09:02:00Z&quot;&gt;&lt;aml:content&gt;&lt;w:rPr&gt;&lt;w:rFonts w&gt;:ascii=&quot;Cambria Math&quot; w:h-ansi=&quot;&gt;????&quot;/&gt;&lt;wx:font wx:val=&quot;Cambria ns&gt;Math&quot;/&gt;&lt;w:b w:val=&quot;off&quot;/&gt;&lt;w:i/&gt;&lt;&gt;s&gt;w:sz w:val=&quot;21&quot;/&gt;&lt;w:sz-cs w:val=&quot;2o&quot;/1&quot;/&gt;&lt;/w:rPr&gt;&lt;m:t&gt;1&lt;/m:t&gt;&lt;/aml:content&gt;&lt;/aml:annotation&gt;&lt;/m:r&gt;&lt;/m:sub&gt;&lt;/m:sSub&gt;&lt;m:ctrlPr&gt;&lt;aml:annotation aml:id=&quot;10&quot;w&gt; w:type=&quot;Word.Insertion&quot; aml:auth&quot;&gt;or=&quot;jq ??&quot; aml:createdate=&quot;2024-12-&gt;04T09:02:00Z&quot;&gt;&lt;aml:content&gt;&lt;w:rPr&gt;&lt;&gt;w:rFonts w:ascii=&quot;Cambria Math&quot; w:h-a/nsi=&quot;Cambria Math&quot; w:hint=&quot;fareast&quot;/&gt;&lt;wx:font wx:val=&quot;Cambria Math&quot;/&gt;&lt;w:b w:val=&quot;off&quot;/&gt;&lt;w:i/&gt;&lt;w:sz w:val=&quot;21&quot;/&gt;&gt;&lt;w:sz-cs w:val=&quot;21&quot;/&gt;&lt;/w:rPr&gt;&lt;/aml&gt;:content&gt;&lt;/aml:annotation&gt;&lt;/m:ctrlPr&gt;&lt;/m:e&gt;&lt;/m:rad&gt;&lt;m:r&gt;&lt;aml:annotation aml:id=&quot;11&quot; w:type=&quot;Word.Insertion&quot; aml:author=&quot;jq ??&quot; aml:createdate=&quot;2024-12-04T09:02:00Z&quot;&gt;&lt;aml:content&gt;&lt;w:rPr&gt;&lt;w:rFonts w:ascii=&quot;Cambria Math&quot; w&gt;:h-ansi=&quot;????&quot;/&gt;&lt;wx:font wx:val=&quot;Camml&gt;bria Math&quot;/&gt;&lt;w:b w:val=&quot;off&quot;/&gt;&lt;w:i/&gt;lPr&lt;w:sz w:val=&quot;21&quot;/&gt;&lt;w:sz-cs w:val=&quot;21on &quot;/&gt;&lt;/w:rPr&gt;&lt;m:t&gt;+&lt;/m:t&gt;&lt;/aml:content&gt;&lt; am/aml:annotation&gt;&lt;/m:r&gt;&lt;m:rad&gt;&lt;m:radPr&gt;&lt;m:degHide m:val=&quot;1&quot;/&gt;&lt;m:ctrlPr&gt;&lt;aml:annotation aml:id=&quot;12&quot;w&gt; w:type=&quot;Word.Insertion&quot; aml:author=&quot;jq ??&quot; aml:createdate=&quot;2024-12-04T09:02:0r0Z&quot;&gt;&lt;aml:content&gt;&lt;w:rPr&gt;&lt;w:rFonts w:asc ii=&quot;Cambria Math&quot; w:h-ansi=&quot;????&quot;/&gt;&lt;wx:fo amnt wx:val=&quot;Cambria Math&quot;/&gt;&lt;w:b w:val=&quot;off&quot;/&gt;&lt;w:i/&gt;&lt;w:sz w:val=&quot;21&quot;/&gt;&lt;w:sz-cs w:val=&quot;21&quot;/&gt;&lt;/w&quot;w&gt;:rPr&gt;&lt;/aml:content&gt;&lt;/aml:annotation&gt;&lt;/m&quot;jq:ctrlPr&gt;&lt;/m:radPr&gt;&lt;m:deg/&gt;&lt;m:e&gt;&lt;m:r&gt;&lt;aml0r:annotation aml:id=&quot;13&quot; w:type=&quot;Word.Insc ertion&quot; aml:author=&quot;jq ??&quot; aml:createdate=&quot;2m024-12-04T09:02:00Z&quot;&gt;&lt;aml:content&gt;&lt;w:rPr&gt;&lt;w:rFonts w:ascii=&quot;Cambria Math&quot; w:h-ansi=&quot;&gt;????&quot;/&gt;&lt;wx:font wx:val=&quot;Cambria Math&quot;/&gt;&lt;w:&quot;jqb w:val=&quot;off&quot;/&gt;&lt;w:i/&gt;&lt;w:sz w:val=&quot;21&quot;/&gt;&lt;w:l0rsz-cs w:val=&quot;21&quot;/&gt;&lt;/w:rPr&gt;&lt;m:t&gt;2g&lt;/m:t&gt;&lt;/asc ml:content&gt;&lt;/aml:annotation&gt;&lt;/m:r&gt;&lt;m:sSub&gt;&lt;m:2msSubPr&gt;&lt;m:ctrlPr&gt;&lt;aml:annotation aml:id=&quot;14&quot; w:type=&quot;Word.Insertion&quot; aml:&quot;&gt;author=&quot;jq ??&quot; aml:createdate=&quot;2024-12-04T09:q02:00Z&quot;&gt;&lt;aml:content&gt;&lt;w:rPr&gt;&lt;w:rFonts w:asciir=&quot;Cambria Math&quot; w:h-ansi=&quot;????&quot;/&gt;&lt;wx:font wx:sc val=&quot;Cambria Math&quot;/&gt;&lt;w:b w:val=&quot;off&quot;/&gt;&lt;w:i/&gt;&lt;w::2msz w:val=&quot;21&quot;/&gt;&lt;w:sz-cs w:val=&quot;21&quot;/&gt;&lt;/w:rPr&gt;&lt;/aml:content&gt;&lt;/aml:a:&quot;&gt;nnotation&gt;&lt;/m:ctrlPr&gt;&lt;/m:sSubPr&gt;&lt;m:e&gt;&lt;m:r&gt;&lt;aml:q:annotation aml:id=&quot;15&quot; w:type=&quot;Word.Insertionir&quot; aml:author=&quot;jq ??&quot; aml:createdate=&quot;2024-12-04T 09:02:00Z&quot;&gt;&lt;aml:content&gt;&lt;w:rPr&gt;&lt;w:rFonts w:ascii=&quot;mCambria Math&quot; w:h-ansi=&quot;????&quot;/&gt;&lt;wx:font wx:val=&quot;Cambria Mat:&quot;&gt;h&quot;/&gt;&lt;w:b w:val=&quot;off&quot;/&gt;&lt;w:i/&gt;&lt;w:sz w:val=&quot;21&quot;/&gt;&lt;wl:q:sz-cs w:val=&quot;21&quot;/&gt;&lt;/w:rPr&gt;&lt;m:t&gt;H&lt;/m:t&gt;&lt;/aml:connirtent&gt;&lt;/aml:annotation&gt;&lt;/m:r&gt;&lt;/m:e&gt;&lt;m:sub&gt;&lt;m:r&gt;&lt;amT l:annotation aml:id=&quot;16&quot; w:type=&quot;Word.Insertion&quot; am&quot;ml:author=&quot;jq ??&quot; aml:createdate=&quot;2024-12-04T09:02&gt;:00Z&quot;&gt;&lt;aml:content&gt;&lt;w:rPr&gt;&lt;w:rFonts w:ascii=&quot;Cambriqa Math&quot; w:h-ansi=&quot;????&quot;/&gt;&lt;wx:font wx:val=&quot;Cambria Mnirath&quot;/&gt;&lt;w:b w:val=&quot;off&quot;/&gt;&lt;w:i/&gt;&lt;w:sz w:val=&quot;21&quot;/&gt;&lt;w:mT sz-cs w:val=&quot;21&quot;/&gt;&lt;/w:rPr&gt;&lt;m:t&gt;2&lt;/m:t&gt;&lt;/aml:content&gt;&lt;m&quot;m/aml:annotation&gt;&lt;/m:r&gt;&lt;/m:sub&gt;&lt;/m:sSub&gt;2&gt;&lt;m:ctrlPr&gt;&lt;aml:annotation aml:id=&quot;17&quot; w:type=&quot;Word.Iiqnsertion&quot; aml:author=&quot;jq ??&quot; aml:createdate=&quot;2024-12-0r4T09:02:00Z&quot;&gt;&lt;aml:content&gt;&lt;w:rPr&gt;&lt;w:rFonts w:ascii=&quot;Ca mbria Math&quot; w:h-ansi=&quot;Cambria Math&quot; w:hint=&quot;fareast&quot;/&gt;&lt;wmx:font wx:val=&quot;Cambria Math&quot;/&gt;&lt;w:b&gt; w:val=&quot;off&quot;/&gt;&lt;w:i/&gt;&lt;w:sz w:val=&quot;21&quot;/&gt;&lt;w:sz-cs w:val=&quot;q21&quot;/&gt;&lt;/w:rPr&gt;&lt;/aml:content&gt;&lt;/aml:annotation&gt;&lt;/m:ctrlPr&gt;&lt;/m:e&gt;&lt;/m:rad&gt;&lt;m:r&gt;&lt;aml:annotation aml:id=&quot;18&quot; w:type=&quot;Word.Insertion&quot; aml:author=&quot;jq ??&quot; aml:createdate=&quot;2024-1m2-04T09:02:00Z&quot;&gt;&lt;aml:content&gt;&lt;w:&gt;rPr&gt;&lt;w:rFonts w:ascii=&quot;Cambria Math&quot; w:h-ansi=&quot;Cambria qMath&quot; w:hint=&quot;fareast&quot;/&gt;&lt;wx:font wx:val=&quot;????&quot;/&gt;&lt;w:b w:Pr&gt;val=&quot;off&quot;/&gt;&lt;w:i/&gt;&lt;w:sz w:val=&quot;21&quot;/&gt;&lt;w:sz-cs w:val=&quot;21&quot;/e=&quot;&gt;&lt;/w:rPr&gt;&lt;m:t&gt;??&lt;/m:t&gt;&lt;/aml:content&gt;&lt;/aml:annotation&gt;&lt;/m:r-1m&gt;&lt;m:ctrlPr&gt;&lt;aml:annotaw:&gt;tion aml:id=&quot;19&quot; w:type=&quot;Word.Insertion&quot; aml:author=&quot;jq a q??&quot; aml:createdate=&quot;2024-12-04T09:02:00Z&quot;&gt;&lt;aml:content&gt;&lt;w:r&gt;rPr&gt;&lt;w:rFonts w:ascii=&quot;Cambria Math&quot; w:h-ansi=&quot;Cambria Mat=&quot;h&quot; w:hint=&quot;fareast&quot;/&gt;&lt;wx:font wx:val=&quot;Cambria Math&quot;/&gt;&lt;w:b w:vmal=&quot;off&quot;/&gt;&lt;w:i&gt;/&gt;&lt;w:sz w:val=&quot;21&quot;/&gt;&lt;w:sz-cs w:val=&quot;21&quot;/&gt;&lt;/w:rPr&gt;&lt;/aml:contqent&gt;&lt;/aml:annotation&gt;&lt;/m:ctrlP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
            <v:path/>
            <v:fill on="f" focussize="0,0"/>
            <v:stroke on="f" joinstyle="miter"/>
            <v:imagedata r:id="rId73" chromakey="#FFFFFF" o:title=""/>
            <o:lock v:ext="edit" aspectratio="t"/>
            <w10:wrap type="none"/>
            <w10:anchorlock/>
          </v:shape>
        </w:pict>
      </w:r>
      <w:r>
        <w:rPr>
          <w:rFonts w:ascii="Times New Roman" w:hAnsi="Times New Roman" w:cs="Times New Roman"/>
          <w:sz w:val="21"/>
          <w:szCs w:val="21"/>
        </w:rPr>
        <w:fldChar w:fldCharType="end"/>
      </w:r>
      <w:r>
        <w:rPr>
          <w:rFonts w:ascii="Times New Roman" w:hAnsi="Times New Roman" w:cs="Times New Roman"/>
          <w:sz w:val="21"/>
          <w:szCs w:val="21"/>
        </w:rPr>
        <w:t xml:space="preserve">                         （4.4.55-2）</w:t>
      </w:r>
    </w:p>
    <w:p w14:paraId="6A502017">
      <w:pPr>
        <w:adjustRightInd w:val="0"/>
        <w:snapToGrid w:val="0"/>
        <w:spacing w:line="360" w:lineRule="auto"/>
        <w:ind w:right="420" w:firstLine="435"/>
        <w:rPr>
          <w:rFonts w:ascii="Times New Roman" w:hAnsi="Times New Roman" w:cs="Times New Roman"/>
          <w:sz w:val="21"/>
          <w:szCs w:val="21"/>
        </w:rPr>
      </w:pPr>
      <w:r>
        <w:rPr>
          <w:rFonts w:ascii="Times New Roman" w:hAnsi="Times New Roman" w:cs="Times New Roman"/>
          <w:sz w:val="21"/>
          <w:szCs w:val="21"/>
        </w:rPr>
        <w:t xml:space="preserve">设三层放水孔放水： </w:t>
      </w:r>
      <w:r>
        <w:rPr>
          <w:rFonts w:ascii="Times New Roman" w:hAnsi="Times New Roman" w:cs="Times New Roman"/>
          <w:sz w:val="21"/>
          <w:szCs w:val="21"/>
        </w:rPr>
        <w:fldChar w:fldCharType="begin"/>
      </w:r>
      <w:r>
        <w:rPr>
          <w:rFonts w:ascii="Times New Roman" w:hAnsi="Times New Roman" w:cs="Times New Roman"/>
          <w:sz w:val="21"/>
          <w:szCs w:val="21"/>
        </w:rPr>
        <w:instrText xml:space="preserve"> QUOTE </w:instrText>
      </w:r>
      <w:r>
        <w:rPr>
          <w:rFonts w:ascii="Times New Roman" w:hAnsi="Times New Roman" w:cs="Times New Roman"/>
          <w:b/>
          <w:position w:val="-27"/>
          <w:sz w:val="24"/>
          <w:szCs w:val="24"/>
        </w:rPr>
        <w:pict>
          <v:shape id="_x0000_i1053" o:spt="75" type="#_x0000_t75" style="height:31.8pt;width:128.95pt;" filled="f" o:preferrelative="t" stroked="f" coordsize="21600,2160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0&quot;/&gt;&lt;w:doNotEmbedSystemFonts/&gt;&lt;w:bordersDontSurroundHeader/&gt;&lt;w:bordersDontSurroundFooter/&gt;&lt;w:hideSpellingErrors/&gt;&lt;w:hideGrammaticalErrors/&gt;&lt;w:stylePaneFormatFilter w:val=&quot;3F01&quot;/&gt;&lt;w:defaultTabStop w:val=&quot;420&quot;/&gt;&lt;w:drawingGridHorizontalSpacing w:val=&quot;241&quot;/&gt;&lt;w:drawingGridVerticalSpacing w:val=&quot;233&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A4E03&quot;/&gt;&lt;wsp:rsid wsp:val=&quot;000005D5&quot;/&gt;&lt;wsp:rsid wsp:val=&quot;000015F7&quot;/&gt;&lt;wsp:rsid wsp:val=&quot;00001DDF&quot;/&gt;&lt;wsp:rsid wsp:val=&quot;00001FA6&quot;/&gt;&lt;wsp:rsid wsp:val=&quot;00002D2F&quot;/&gt;&lt;wsp:rsid wsp:val=&quot;00002E12&quot;/&gt;&lt;wsp:rsid wsp:val=&quot;00003028&quot;/&gt;&lt;wsp:rsid wsp:val=&quot;00004463&quot;/&gt;&lt;wsp:rsid wsp:val=&quot;00005015&quot;/&gt;&lt;wsp:rsid wsp:val=&quot;00005E30&quot;/&gt;&lt;wsp:rsid wsp:val=&quot;00007713&quot;/&gt;&lt;wsp:rsid wsp:val=&quot;0001033B&quot;/&gt;&lt;wsp:rsid wsp:val=&quot;000103F8&quot;/&gt;&lt;wsp:rsid wsp:val=&quot;000108CF&quot;/&gt;&lt;wsp:rsid wsp:val=&quot;000108EE&quot;/&gt;&lt;wsp:rsid wsp:val=&quot;00011130&quot;/&gt;&lt;wsp:rsid wsp:val=&quot;00012F61&quot;/&gt;&lt;wsp:rsid wsp:val=&quot;00013530&quot;/&gt;&lt;wsp:rsid wsp:val=&quot;00015C25&quot;/&gt;&lt;wsp:rsid wsp:val=&quot;0001714F&quot;/&gt;&lt;wsp:rsid wsp:val=&quot;00017590&quot;/&gt;&lt;wsp:rsid wsp:val=&quot;00017C0C&quot;/&gt;&lt;wsp:rsid wsp:val=&quot;00017C23&quot;/&gt;&lt;wsp:rsid wsp:val=&quot;00020187&quot;/&gt;&lt;wsp:rsid wsp:val=&quot;00020469&quot;/&gt;&lt;wsp:rsid wsp:val=&quot;00020576&quot;/&gt;&lt;wsp:rsid wsp:val=&quot;0002076B&quot;/&gt;&lt;wsp:rsid wsp:val=&quot;00020DF2&quot;/&gt;&lt;wsp:rsid wsp:val=&quot;00020E26&quot;/&gt;&lt;wsp:rsid wsp:val=&quot;00020EDB&quot;/&gt;&lt;wsp:rsid wsp:val=&quot;000212EB&quot;/&gt;&lt;wsp:rsid wsp:val=&quot;00021F13&quot;/&gt;&lt;wsp:rsid wsp:val=&quot;0002264D&quot;/&gt;&lt;wsp:rsid wsp:val=&quot;00023258&quot;/&gt;&lt;wsp:rsid wsp:val=&quot;00023372&quot;/&gt;&lt;wsp:rsid wsp:val=&quot;00023C19&quot;/&gt;&lt;wsp:rsid wsp:val=&quot;000241BF&quot;/&gt;&lt;wsp:rsid wsp:val=&quot;0002454F&quot;/&gt;&lt;wsp:rsid wsp:val=&quot;0002512B&quot;/&gt;&lt;wsp:rsid wsp:val=&quot;00025419&quot;/&gt;&lt;wsp:rsid wsp:val=&quot;00025893&quot;/&gt;&lt;wsp:rsid wsp:val=&quot;0002760F&quot;/&gt;&lt;wsp:rsid wsp:val=&quot;00027CF0&quot;/&gt;&lt;wsp:rsid wsp:val=&quot;00030121&quot;/&gt;&lt;wsp:rsid wsp:val=&quot;000303E3&quot;/&gt;&lt;wsp:rsid wsp:val=&quot;000304DA&quot;/&gt;&lt;wsp:rsid wsp:val=&quot;00030A30&quot;/&gt;&lt;wsp:rsid wsp:val=&quot;00030A64&quot;/&gt;&lt;wsp:rsid wsp:val=&quot;00030DA5&quot;/&gt;&lt;wsp:rsid wsp:val=&quot;00030E77&quot;/&gt;&lt;wsp:rsid wsp:val=&quot;000322EA&quot;/&gt;&lt;wsp:rsid wsp:val=&quot;00032604&quot;/&gt;&lt;wsp:rsid wsp:val=&quot;00032C35&quot;/&gt;&lt;wsp:rsid wsp:val=&quot;00033E4E&quot;/&gt;&lt;wsp:rsid wsp:val=&quot;00034678&quot;/&gt;&lt;wsp:rsid wsp:val=&quot;00034954&quot;/&gt;&lt;wsp:rsid wsp:val=&quot;000349C6&quot;/&gt;&lt;wsp:rsid wsp:val=&quot;00035F74&quot;/&gt;&lt;wsp:rsid wsp:val=&quot;00035FC3&quot;/&gt;&lt;wsp:rsid wsp:val=&quot;0003753F&quot;/&gt;&lt;wsp:rsid wsp:val=&quot;000375D9&quot;/&gt;&lt;wsp:rsid wsp:val=&quot;00040E0E&quot;/&gt;&lt;wsp:rsid wsp:val=&quot;0004156C&quot;/&gt;&lt;wsp:rsid wsp:val=&quot;0004186F&quot;/&gt;&lt;wsp:rsid wsp:val=&quot;000419C4&quot;/&gt;&lt;wsp:rsid wsp:val=&quot;00041E59&quot;/&gt;&lt;wsp:rsid wsp:val=&quot;0004233D&quot;/&gt;&lt;wsp:rsid wsp:val=&quot;00042B66&quot;/&gt;&lt;wsp:rsid wsp:val=&quot;00043710&quot;/&gt;&lt;wsp:rsid wsp:val=&quot;0004394B&quot;/&gt;&lt;wsp:rsid wsp:val=&quot;000442BC&quot;/&gt;&lt;wsp:rsid wsp:val=&quot;00044B60&quot;/&gt;&lt;wsp:rsid wsp:val=&quot;000450E2&quot;/&gt;&lt;wsp:rsid wsp:val=&quot;0004645D&quot;/&gt;&lt;wsp:rsid wsp:val=&quot;00046EC6&quot;/&gt;&lt;wsp:rsid wsp:val=&quot;00050176&quot;/&gt;&lt;wsp:rsid wsp:val=&quot;00051E98&quot;/&gt;&lt;wsp:rsid wsp:val=&quot;000524CF&quot;/&gt;&lt;wsp:rsid wsp:val=&quot;000526FE&quot;/&gt;&lt;wsp:rsid wsp:val=&quot;000527B1&quot;/&gt;&lt;wsp:rsid wsp:val=&quot;00052815&quot;/&gt;&lt;wsp:rsid wsp:val=&quot;000542C8&quot;/&gt;&lt;wsp:rsid wsp:val=&quot;000545AF&quot;/&gt;&lt;wsp:rsid wsp:val=&quot;00054824&quot;/&gt;&lt;wsp:rsid wsp:val=&quot;000548D0&quot;/&gt;&lt;wsp:rsid wsp:val=&quot;00054922&quot;/&gt;&lt;wsp:rsid wsp:val=&quot;000559D1&quot;/&gt;&lt;wsp:rsid wsp:val=&quot;00056343&quot;/&gt;&lt;wsp:rsid wsp:val=&quot;000566FA&quot;/&gt;&lt;wsp:rsid wsp:val=&quot;000567C9&quot;/&gt;&lt;wsp:rsid wsp:val=&quot;00056817&quot;/&gt;&lt;wsp:rsid wsp:val=&quot;00057668&quot;/&gt;&lt;wsp:rsid wsp:val=&quot;00057C69&quot;/&gt;&lt;wsp:rsid wsp:val=&quot;00057C97&quot;/&gt;&lt;wsp:rsid wsp:val=&quot;000608A9&quot;/&gt;&lt;wsp:rsid wsp:val=&quot;00060C58&quot;/&gt;&lt;wsp:rsid wsp:val=&quot;00061017&quot;/&gt;&lt;wsp:rsid wsp:val=&quot;00061611&quot;/&gt;&lt;wsp:rsid wsp:val=&quot;00061BD5&quot;/&gt;&lt;wsp:rsid wsp:val=&quot;00061FDF&quot;/&gt;&lt;wsp:rsid wsp:val=&quot;000625BA&quot;/&gt;&lt;wsp:rsid wsp:val=&quot;00062D9B&quot;/&gt;&lt;wsp:rsid wsp:val=&quot;000638A7&quot;/&gt;&lt;wsp:rsid wsp:val=&quot;00063D6D&quot;/&gt;&lt;wsp:rsid wsp:val=&quot;00064A03&quot;/&gt;&lt;wsp:rsid wsp:val=&quot;00064F3B&quot;/&gt;&lt;wsp:rsid wsp:val=&quot;00064F87&quot;/&gt;&lt;wsp:rsid wsp:val=&quot;00065633&quot;/&gt;&lt;wsp:rsid wsp:val=&quot;00066D7B&quot;/&gt;&lt;wsp:rsid wsp:val=&quot;00067516&quot;/&gt;&lt;wsp:rsid wsp:val=&quot;00067EA5&quot;/&gt;&lt;wsp:rsid wsp:val=&quot;00070567&quot;/&gt;&lt;wsp:rsid wsp:val=&quot;00070D52&quot;/&gt;&lt;wsp:rsid wsp:val=&quot;000716AF&quot;/&gt;&lt;wsp:rsid wsp:val=&quot;00071DDC&quot;/&gt;&lt;wsp:rsid wsp:val=&quot;000723DE&quot;/&gt;&lt;wsp:rsid wsp:val=&quot;000724C1&quot;/&gt;&lt;wsp:rsid wsp:val=&quot;00072BB6&quot;/&gt;&lt;wsp:rsid wsp:val=&quot;00072F9D&quot;/&gt;&lt;wsp:rsid wsp:val=&quot;00073E89&quot;/&gt;&lt;wsp:rsid wsp:val=&quot;000747B5&quot;/&gt;&lt;wsp:rsid wsp:val=&quot;0007598A&quot;/&gt;&lt;wsp:rsid wsp:val=&quot;00077030&quot;/&gt;&lt;wsp:rsid wsp:val=&quot;00077A74&quot;/&gt;&lt;wsp:rsid wsp:val=&quot;00077AC4&quot;/&gt;&lt;wsp:rsid wsp:val=&quot;00077CE3&quot;/&gt;&lt;wsp:rsid wsp:val=&quot;00077D95&quot;/&gt;&lt;wsp:rsid wsp:val=&quot;00080E0F&quot;/&gt;&lt;wsp:rsid wsp:val=&quot;00081AE8&quot;/&gt;&lt;wsp:rsid wsp:val=&quot;0008307F&quot;/&gt;&lt;wsp:rsid wsp:val=&quot;000833C9&quot;/&gt;&lt;wsp:rsid wsp:val=&quot;00083821&quot;/&gt;&lt;wsp:rsid wsp:val=&quot;000838EF&quot;/&gt;&lt;wsp:rsid wsp:val=&quot;00084B9D&quot;/&gt;&lt;wsp:rsid wsp:val=&quot;00084D3B&quot;/&gt;&lt;wsp:rsid wsp:val=&quot;00090117&quot;/&gt;&lt;wsp:rsid wsp:val=&quot;00090B14&quot;/&gt;&lt;wsp:rsid wsp:val=&quot;00090EAB&quot;/&gt;&lt;wsp:rsid wsp:val=&quot;00090EEF&quot;/&gt;&lt;wsp:rsid wsp:val=&quot;000911F4&quot;/&gt;&lt;wsp:rsid wsp:val=&quot;00091E28&quot;/&gt;&lt;wsp:rsid wsp:val=&quot;00092541&quot;/&gt;&lt;wsp:rsid wsp:val=&quot;000928BD&quot;/&gt;&lt;wsp:rsid wsp:val=&quot;00092906&quot;/&gt;&lt;wsp:rsid wsp:val=&quot;00093E6E&quot;/&gt;&lt;wsp:rsid wsp:val=&quot;00094816&quot;/&gt;&lt;wsp:rsid wsp:val=&quot;00094B1A&quot;/&gt;&lt;wsp:rsid wsp:val=&quot;00095006&quot;/&gt;&lt;wsp:rsid wsp:val=&quot;0009701A&quot;/&gt;&lt;wsp:rsid wsp:val=&quot;00097324&quot;/&gt;&lt;wsp:rsid wsp:val=&quot;00097655&quot;/&gt;&lt;wsp:rsid wsp:val=&quot;0009793F&quot;/&gt;&lt;wsp:rsid wsp:val=&quot;000979E6&quot;/&gt;&lt;wsp:rsid wsp:val=&quot;000A1061&quot;/&gt;&lt;wsp:rsid wsp:val=&quot;000A1EE5&quot;/&gt;&lt;wsp:rsid wsp:val=&quot;000A2018&quot;/&gt;&lt;wsp:rsid wsp:val=&quot;000A2033&quot;/&gt;&lt;wsp:rsid wsp:val=&quot;000A2F2A&quot;/&gt;&lt;wsp:rsid wsp:val=&quot;000A30A4&quot;/&gt;&lt;wsp:rsid wsp:val=&quot;000A33AD&quot;/&gt;&lt;wsp:rsid wsp:val=&quot;000A46E9&quot;/&gt;&lt;wsp:rsid wsp:val=&quot;000A4E03&quot;/&gt;&lt;wsp:rsid wsp:val=&quot;000A572B&quot;/&gt;&lt;wsp:rsid wsp:val=&quot;000A64F8&quot;/&gt;&lt;wsp:rsid wsp:val=&quot;000A73BB&quot;/&gt;&lt;wsp:rsid wsp:val=&quot;000A78AC&quot;/&gt;&lt;wsp:rsid wsp:val=&quot;000A7A05&quot;/&gt;&lt;wsp:rsid wsp:val=&quot;000B0347&quot;/&gt;&lt;wsp:rsid wsp:val=&quot;000B05DC&quot;/&gt;&lt;wsp:rsid wsp:val=&quot;000B0BAA&quot;/&gt;&lt;wsp:rsid wsp:val=&quot;000B161E&quot;/&gt;&lt;wsp:rsid wsp:val=&quot;000B23EE&quot;/&gt;&lt;wsp:rsid wsp:val=&quot;000B2908&quot;/&gt;&lt;wsp:rsid wsp:val=&quot;000B2E5C&quot;/&gt;&lt;wsp:rsid wsp:val=&quot;000B3126&quot;/&gt;&lt;wsp:rsid wsp:val=&quot;000B3CBD&quot;/&gt;&lt;wsp:rsid wsp:val=&quot;000B442D&quot;/&gt;&lt;wsp:rsid wsp:val=&quot;000B4BD8&quot;/&gt;&lt;wsp:rsid wsp:val=&quot;000B547D&quot;/&gt;&lt;wsp:rsid wsp:val=&quot;000B576E&quot;/&gt;&lt;wsp:rsid wsp:val=&quot;000B595D&quot;/&gt;&lt;wsp:rsid wsp:val=&quot;000B5CBB&quot;/&gt;&lt;wsp:rsid wsp:val=&quot;000B612A&quot;/&gt;&lt;wsp:rsid wsp:val=&quot;000B6302&quot;/&gt;&lt;wsp:rsid wsp:val=&quot;000B7B6B&quot;/&gt;&lt;wsp:rsid wsp:val=&quot;000C0504&quot;/&gt;&lt;wsp:rsid wsp:val=&quot;000C0841&quot;/&gt;&lt;wsp:rsid wsp:val=&quot;000C17DC&quot;/&gt;&lt;wsp:rsid wsp:val=&quot;000C1968&quot;/&gt;&lt;wsp:rsid wsp:val=&quot;000C2D25&quot;/&gt;&lt;wsp:rsid wsp:val=&quot;000C3289&quot;/&gt;&lt;wsp:rsid wsp:val=&quot;000C3A0E&quot;/&gt;&lt;wsp:rsid wsp:val=&quot;000C51B7&quot;/&gt;&lt;wsp:rsid wsp:val=&quot;000C617F&quot;/&gt;&lt;wsp:rsid wsp:val=&quot;000C6591&quot;/&gt;&lt;wsp:rsid wsp:val=&quot;000D0629&quot;/&gt;&lt;wsp:rsid wsp:val=&quot;000D06A2&quot;/&gt;&lt;wsp:rsid wsp:val=&quot;000D0B9E&quot;/&gt;&lt;wsp:rsid wsp:val=&quot;000D0FE3&quot;/&gt;&lt;wsp:rsid wsp:val=&quot;000D20DB&quot;/&gt;&lt;wsp:rsid wsp:val=&quot;000D2875&quot;/&gt;&lt;wsp:rsid wsp:val=&quot;000D2EE4&quot;/&gt;&lt;wsp:rsid wsp:val=&quot;000D301C&quot;/&gt;&lt;wsp:rsid wsp:val=&quot;000D4594&quot;/&gt;&lt;wsp:rsid wsp:val=&quot;000D4AF3&quot;/&gt;&lt;wsp:rsid wsp:val=&quot;000D4B29&quot;/&gt;&lt;wsp:rsid wsp:val=&quot;000D5090&quot;/&gt;&lt;wsp:rsid wsp:val=&quot;000D5882&quot;/&gt;&lt;wsp:rsid wsp:val=&quot;000D7851&quot;/&gt;&lt;wsp:rsid wsp:val=&quot;000E0DA2&quot;/&gt;&lt;wsp:rsid wsp:val=&quot;000E1417&quot;/&gt;&lt;wsp:rsid wsp:val=&quot;000E152E&quot;/&gt;&lt;wsp:rsid wsp:val=&quot;000E1AAA&quot;/&gt;&lt;wsp:rsid wsp:val=&quot;000E2746&quot;/&gt;&lt;wsp:rsid wsp:val=&quot;000E30C5&quot;/&gt;&lt;wsp:rsid wsp:val=&quot;000E4123&quot;/&gt;&lt;wsp:rsid wsp:val=&quot;000E5052&quot;/&gt;&lt;wsp:rsid wsp:val=&quot;000E662C&quot;/&gt;&lt;wsp:rsid wsp:val=&quot;000E790C&quot;/&gt;&lt;wsp:rsid wsp:val=&quot;000F069F&quot;/&gt;&lt;wsp:rsid wsp:val=&quot;000F0E7C&quot;/&gt;&lt;wsp:rsid wsp:val=&quot;000F1285&quot;/&gt;&lt;wsp:rsid wsp:val=&quot;000F12ED&quot;/&gt;&lt;wsp:rsid wsp:val=&quot;000F30D7&quot;/&gt;&lt;wsp:rsid wsp:val=&quot;000F37CE&quot;/&gt;&lt;wsp:rsid wsp:val=&quot;000F3D45&quot;/&gt;&lt;wsp:rsid wsp:val=&quot;000F46EC&quot;/&gt;&lt;wsp:rsid wsp:val=&quot;000F4C2B&quot;/&gt;&lt;wsp:rsid wsp:val=&quot;000F7A6C&quot;/&gt;&lt;wsp:rsid wsp:val=&quot;000F7FBD&quot;/&gt;&lt;wsp:rsid wsp:val=&quot;001017D6&quot;/&gt;&lt;wsp:rsid wsp:val=&quot;00101C87&quot;/&gt;&lt;wsp:rsid wsp:val=&quot;00101F91&quot;/&gt;&lt;wsp:rsid wsp:val=&quot;00102C21&quot;/&gt;&lt;wsp:rsid wsp:val=&quot;00103B36&quot;/&gt;&lt;wsp:rsid wsp:val=&quot;00103F5C&quot;/&gt;&lt;wsp:rsid wsp:val=&quot;00104622&quot;/&gt;&lt;wsp:rsid wsp:val=&quot;00104699&quot;/&gt;&lt;wsp:rsid wsp:val=&quot;0010479E&quot;/&gt;&lt;wsp:rsid wsp:val=&quot;00105016&quot;/&gt;&lt;wsp:rsid wsp:val=&quot;001060D2&quot;/&gt;&lt;wsp:rsid wsp:val=&quot;001061CA&quot;/&gt;&lt;wsp:rsid wsp:val=&quot;001062F5&quot;/&gt;&lt;wsp:rsid wsp:val=&quot;0010674B&quot;/&gt;&lt;wsp:rsid wsp:val=&quot;0010743A&quot;/&gt;&lt;wsp:rsid wsp:val=&quot;00107875&quot;/&gt;&lt;wsp:rsid wsp:val=&quot;00107A10&quot;/&gt;&lt;wsp:rsid wsp:val=&quot;001102CD&quot;/&gt;&lt;wsp:rsid wsp:val=&quot;001113E2&quot;/&gt;&lt;wsp:rsid wsp:val=&quot;001119DA&quot;/&gt;&lt;wsp:rsid wsp:val=&quot;00112531&quot;/&gt;&lt;wsp:rsid wsp:val=&quot;001125C4&quot;/&gt;&lt;wsp:rsid wsp:val=&quot;001131B0&quot;/&gt;&lt;wsp:rsid wsp:val=&quot;001136C9&quot;/&gt;&lt;wsp:rsid wsp:val=&quot;001137E5&quot;/&gt;&lt;wsp:rsid wsp:val=&quot;001138CD&quot;/&gt;&lt;wsp:rsid wsp:val=&quot;001152B4&quot;/&gt;&lt;wsp:rsid wsp:val=&quot;0011766A&quot;/&gt;&lt;wsp:rsid wsp:val=&quot;0011772F&quot;/&gt;&lt;wsp:rsid wsp:val=&quot;00117A02&quot;/&gt;&lt;wsp:rsid wsp:val=&quot;00117ACD&quot;/&gt;&lt;wsp:rsid wsp:val=&quot;0012022B&quot;/&gt;&lt;wsp:rsid wsp:val=&quot;0012050E&quot;/&gt;&lt;wsp:rsid wsp:val=&quot;00121A66&quot;/&gt;&lt;wsp:rsid wsp:val=&quot;00121B07&quot;/&gt;&lt;wsp:rsid wsp:val=&quot;0012409B&quot;/&gt;&lt;wsp:rsid wsp:val=&quot;00125390&quot;/&gt;&lt;wsp:rsid wsp:val=&quot;00125874&quot;/&gt;&lt;wsp:rsid wsp:val=&quot;00125A41&quot;/&gt;&lt;wsp:rsid wsp:val=&quot;00125C90&quot;/&gt;&lt;wsp:rsid wsp:val=&quot;00126345&quot;/&gt;&lt;wsp:rsid wsp:val=&quot;0012641F&quot;/&gt;&lt;wsp:rsid wsp:val=&quot;00126579&quot;/&gt;&lt;wsp:rsid wsp:val=&quot;001268FD&quot;/&gt;&lt;wsp:rsid wsp:val=&quot;00126AFF&quot;/&gt;&lt;wsp:rsid wsp:val=&quot;001277A8&quot;/&gt;&lt;wsp:rsid wsp:val=&quot;00127809&quot;/&gt;&lt;wsp:rsid wsp:val=&quot;00127AE3&quot;/&gt;&lt;wsp:rsid wsp:val=&quot;0013076E&quot;/&gt;&lt;wsp:rsid wsp:val=&quot;001310FC&quot;/&gt;&lt;wsp:rsid wsp:val=&quot;00131BF7&quot;/&gt;&lt;wsp:rsid wsp:val=&quot;00132A85&quot;/&gt;&lt;wsp:rsid wsp:val=&quot;00133830&quot;/&gt;&lt;wsp:rsid wsp:val=&quot;00133EE9&quot;/&gt;&lt;wsp:rsid wsp:val=&quot;00133FD6&quot;/&gt;&lt;wsp:rsid wsp:val=&quot;00134165&quot;/&gt;&lt;wsp:rsid wsp:val=&quot;00134F94&quot;/&gt;&lt;wsp:rsid wsp:val=&quot;00135121&quot;/&gt;&lt;wsp:rsid wsp:val=&quot;00136A8C&quot;/&gt;&lt;wsp:rsid wsp:val=&quot;001376DC&quot;/&gt;&lt;wsp:rsid wsp:val=&quot;00137EF0&quot;/&gt;&lt;wsp:rsid wsp:val=&quot;00140567&quot;/&gt;&lt;wsp:rsid wsp:val=&quot;00141A67&quot;/&gt;&lt;wsp:rsid wsp:val=&quot;00142766&quot;/&gt;&lt;wsp:rsid wsp:val=&quot;001435EE&quot;/&gt;&lt;wsp:rsid wsp:val=&quot;00143B54&quot;/&gt;&lt;wsp:rsid wsp:val=&quot;00143BA4&quot;/&gt;&lt;wsp:rsid wsp:val=&quot;00144B1F&quot;/&gt;&lt;wsp:rsid wsp:val=&quot;00145074&quot;/&gt;&lt;wsp:rsid wsp:val=&quot;001452C5&quot;/&gt;&lt;wsp:rsid wsp:val=&quot;001458AE&quot;/&gt;&lt;wsp:rsid wsp:val=&quot;00145A8B&quot;/&gt;&lt;wsp:rsid wsp:val=&quot;00145B4D&quot;/&gt;&lt;wsp:rsid wsp:val=&quot;0014614C&quot;/&gt;&lt;wsp:rsid wsp:val=&quot;001461DD&quot;/&gt;&lt;wsp:rsid wsp:val=&quot;0014621C&quot;/&gt;&lt;wsp:rsid wsp:val=&quot;00146FA9&quot;/&gt;&lt;wsp:rsid wsp:val=&quot;001470E5&quot;/&gt;&lt;wsp:rsid wsp:val=&quot;001500D0&quot;/&gt;&lt;wsp:rsid wsp:val=&quot;001503B7&quot;/&gt;&lt;wsp:rsid wsp:val=&quot;0015075D&quot;/&gt;&lt;wsp:rsid wsp:val=&quot;001507AF&quot;/&gt;&lt;wsp:rsid wsp:val=&quot;00150EBE&quot;/&gt;&lt;wsp:rsid wsp:val=&quot;00150FDD&quot;/&gt;&lt;wsp:rsid wsp:val=&quot;00151A98&quot;/&gt;&lt;wsp:rsid wsp:val=&quot;00151D77&quot;/&gt;&lt;wsp:rsid wsp:val=&quot;00151EE8&quot;/&gt;&lt;wsp:rsid wsp:val=&quot;001529A5&quot;/&gt;&lt;wsp:rsid wsp:val=&quot;00152BA1&quot;/&gt;&lt;wsp:rsid wsp:val=&quot;00152D04&quot;/&gt;&lt;wsp:rsid wsp:val=&quot;001532F5&quot;/&gt;&lt;wsp:rsid wsp:val=&quot;001536CC&quot;/&gt;&lt;wsp:rsid wsp:val=&quot;00153ED5&quot;/&gt;&lt;wsp:rsid wsp:val=&quot;00154602&quot;/&gt;&lt;wsp:rsid wsp:val=&quot;001546A2&quot;/&gt;&lt;wsp:rsid wsp:val=&quot;001548D4&quot;/&gt;&lt;wsp:rsid wsp:val=&quot;00154C86&quot;/&gt;&lt;wsp:rsid wsp:val=&quot;00154F69&quot;/&gt;&lt;wsp:rsid wsp:val=&quot;00156E05&quot;/&gt;&lt;wsp:rsid wsp:val=&quot;0016051D&quot;/&gt;&lt;wsp:rsid wsp:val=&quot;00160E6F&quot;/&gt;&lt;wsp:rsid wsp:val=&quot;0016124F&quot;/&gt;&lt;wsp:rsid wsp:val=&quot;001623E8&quot;/&gt;&lt;wsp:rsid wsp:val=&quot;001625EC&quot;/&gt;&lt;wsp:rsid wsp:val=&quot;00162BC3&quot;/&gt;&lt;wsp:rsid wsp:val=&quot;00163E40&quot;/&gt;&lt;wsp:rsid wsp:val=&quot;0016450F&quot;/&gt;&lt;wsp:rsid wsp:val=&quot;001648C8&quot;/&gt;&lt;wsp:rsid wsp:val=&quot;00164CCB&quot;/&gt;&lt;wsp:rsid wsp:val=&quot;00165507&quot;/&gt;&lt;wsp:rsid wsp:val=&quot;0016571B&quot;/&gt;&lt;wsp:rsid wsp:val=&quot;00166700&quot;/&gt;&lt;wsp:rsid wsp:val=&quot;00166BFE&quot;/&gt;&lt;wsp:rsid wsp:val=&quot;00166D29&quot;/&gt;&lt;wsp:rsid wsp:val=&quot;00167641&quot;/&gt;&lt;wsp:rsid wsp:val=&quot;00167F75&quot;/&gt;&lt;wsp:rsid wsp:val=&quot;0017174C&quot;/&gt;&lt;wsp:rsid wsp:val=&quot;00173D54&quot;/&gt;&lt;wsp:rsid wsp:val=&quot;00173F9E&quot;/&gt;&lt;wsp:rsid wsp:val=&quot;00174DDE&quot;/&gt;&lt;wsp:rsid wsp:val=&quot;00174FD5&quot;/&gt;&lt;wsp:rsid wsp:val=&quot;0017536D&quot;/&gt;&lt;wsp:rsid wsp:val=&quot;00175B8B&quot;/&gt;&lt;wsp:rsid wsp:val=&quot;00175DD2&quot;/&gt;&lt;wsp:rsid wsp:val=&quot;0017691E&quot;/&gt;&lt;wsp:rsid wsp:val=&quot;00176CAA&quot;/&gt;&lt;wsp:rsid wsp:val=&quot;00180B42&quot;/&gt;&lt;wsp:rsid wsp:val=&quot;00181802&quot;/&gt;&lt;wsp:rsid wsp:val=&quot;00181AFC&quot;/&gt;&lt;wsp:rsid wsp:val=&quot;00181F01&quot;/&gt;&lt;wsp:rsid wsp:val=&quot;00182152&quot;/&gt;&lt;wsp:rsid wsp:val=&quot;001825E5&quot;/&gt;&lt;wsp:rsid wsp:val=&quot;001828C9&quot;/&gt;&lt;wsp:rsid wsp:val=&quot;0018366D&quot;/&gt;&lt;wsp:rsid wsp:val=&quot;00183678&quot;/&gt;&lt;wsp:rsid wsp:val=&quot;001848D6&quot;/&gt;&lt;wsp:rsid wsp:val=&quot;001850DE&quot;/&gt;&lt;wsp:rsid wsp:val=&quot;001850F7&quot;/&gt;&lt;wsp:rsid wsp:val=&quot;00185797&quot;/&gt;&lt;wsp:rsid wsp:val=&quot;00185B9A&quot;/&gt;&lt;wsp:rsid wsp:val=&quot;001869D9&quot;/&gt;&lt;wsp:rsid wsp:val=&quot;0018706D&quot;/&gt;&lt;wsp:rsid wsp:val=&quot;00187866&quot;/&gt;&lt;wsp:rsid wsp:val=&quot;00187EE0&quot;/&gt;&lt;wsp:rsid wsp:val=&quot;00190378&quot;/&gt;&lt;wsp:rsid wsp:val=&quot;00190615&quot;/&gt;&lt;wsp:rsid wsp:val=&quot;00190AC1&quot;/&gt;&lt;wsp:rsid wsp:val=&quot;001916F5&quot;/&gt;&lt;wsp:rsid wsp:val=&quot;00192639&quot;/&gt;&lt;wsp:rsid wsp:val=&quot;0019268A&quot;/&gt;&lt;wsp:rsid wsp:val=&quot;00193049&quot;/&gt;&lt;wsp:rsid wsp:val=&quot;00193536&quot;/&gt;&lt;wsp:rsid wsp:val=&quot;001937A5&quot;/&gt;&lt;wsp:rsid wsp:val=&quot;00193B74&quot;/&gt;&lt;wsp:rsid wsp:val=&quot;001944FD&quot;/&gt;&lt;wsp:rsid wsp:val=&quot;00195B95&quot;/&gt;&lt;wsp:rsid wsp:val=&quot;00195F0D&quot;/&gt;&lt;wsp:rsid wsp:val=&quot;0019622A&quot;/&gt;&lt;wsp:rsid wsp:val=&quot;0019627F&quot;/&gt;&lt;wsp:rsid wsp:val=&quot;00197700&quot;/&gt;&lt;wsp:rsid wsp:val=&quot;001A00A4&quot;/&gt;&lt;wsp:rsid wsp:val=&quot;001A111D&quot;/&gt;&lt;wsp:rsid wsp:val=&quot;001A1333&quot;/&gt;&lt;wsp:rsid wsp:val=&quot;001A194D&quot;/&gt;&lt;wsp:rsid wsp:val=&quot;001A1C07&quot;/&gt;&lt;wsp:rsid wsp:val=&quot;001A1E4C&quot;/&gt;&lt;wsp:rsid wsp:val=&quot;001A1F64&quot;/&gt;&lt;wsp:rsid wsp:val=&quot;001A2039&quot;/&gt;&lt;wsp:rsid wsp:val=&quot;001A26C4&quot;/&gt;&lt;wsp:rsid wsp:val=&quot;001A27B1&quot;/&gt;&lt;wsp:rsid wsp:val=&quot;001A3474&quot;/&gt;&lt;wsp:rsid wsp:val=&quot;001A3946&quot;/&gt;&lt;wsp:rsid wsp:val=&quot;001A3D00&quot;/&gt;&lt;wsp:rsid wsp:val=&quot;001A4339&quot;/&gt;&lt;wsp:rsid wsp:val=&quot;001A453B&quot;/&gt;&lt;wsp:rsid wsp:val=&quot;001A5914&quot;/&gt;&lt;wsp:rsid wsp:val=&quot;001A5F84&quot;/&gt;&lt;wsp:rsid wsp:val=&quot;001A6A3A&quot;/&gt;&lt;wsp:rsid wsp:val=&quot;001A712F&quot;/&gt;&lt;wsp:rsid wsp:val=&quot;001A7475&quot;/&gt;&lt;wsp:rsid wsp:val=&quot;001A770D&quot;/&gt;&lt;wsp:rsid wsp:val=&quot;001A77C5&quot;/&gt;&lt;wsp:rsid wsp:val=&quot;001B1F9C&quot;/&gt;&lt;wsp:rsid wsp:val=&quot;001B2524&quot;/&gt;&lt;wsp:rsid wsp:val=&quot;001B25E0&quot;/&gt;&lt;wsp:rsid wsp:val=&quot;001B2636&quot;/&gt;&lt;wsp:rsid wsp:val=&quot;001B274F&quot;/&gt;&lt;wsp:rsid wsp:val=&quot;001B2C04&quot;/&gt;&lt;wsp:rsid wsp:val=&quot;001B2E25&quot;/&gt;&lt;wsp:rsid wsp:val=&quot;001B35B4&quot;/&gt;&lt;wsp:rsid wsp:val=&quot;001B36A1&quot;/&gt;&lt;wsp:rsid wsp:val=&quot;001B49CC&quot;/&gt;&lt;wsp:rsid wsp:val=&quot;001B4FA3&quot;/&gt;&lt;wsp:rsid wsp:val=&quot;001B50E9&quot;/&gt;&lt;wsp:rsid wsp:val=&quot;001B6142&quot;/&gt;&lt;wsp:rsid wsp:val=&quot;001B7036&quot;/&gt;&lt;wsp:rsid wsp:val=&quot;001C06CF&quot;/&gt;&lt;wsp:rsid wsp:val=&quot;001C0813&quot;/&gt;&lt;wsp:rsid wsp:val=&quot;001C0B6B&quot;/&gt;&lt;wsp:rsid wsp:val=&quot;001C0E5F&quot;/&gt;&lt;wsp:rsid wsp:val=&quot;001C10C2&quot;/&gt;&lt;wsp:rsid wsp:val=&quot;001C1911&quot;/&gt;&lt;wsp:rsid wsp:val=&quot;001C1D95&quot;/&gt;&lt;wsp:rsid wsp:val=&quot;001C26AF&quot;/&gt;&lt;wsp:rsid wsp:val=&quot;001C2C7F&quot;/&gt;&lt;wsp:rsid wsp:val=&quot;001C3E8F&quot;/&gt;&lt;wsp:rsid wsp:val=&quot;001C3F2D&quot;/&gt;&lt;wsp:rsid wsp:val=&quot;001C3F35&quot;/&gt;&lt;wsp:rsid wsp:val=&quot;001C4955&quot;/&gt;&lt;wsp:rsid wsp:val=&quot;001C4B72&quot;/&gt;&lt;wsp:rsid wsp:val=&quot;001C4DAC&quot;/&gt;&lt;wsp:rsid wsp:val=&quot;001C59CA&quot;/&gt;&lt;wsp:rsid wsp:val=&quot;001C609B&quot;/&gt;&lt;wsp:rsid wsp:val=&quot;001C66C8&quot;/&gt;&lt;wsp:rsid wsp:val=&quot;001C692B&quot;/&gt;&lt;wsp:rsid wsp:val=&quot;001C710B&quot;/&gt;&lt;wsp:rsid wsp:val=&quot;001C7706&quot;/&gt;&lt;wsp:rsid wsp:val=&quot;001C7B90&quot;/&gt;&lt;wsp:rsid wsp:val=&quot;001D00DD&quot;/&gt;&lt;wsp:rsid wsp:val=&quot;001D12DE&quot;/&gt;&lt;wsp:rsid wsp:val=&quot;001D2C43&quot;/&gt;&lt;wsp:rsid wsp:val=&quot;001D3DE0&quot;/&gt;&lt;wsp:rsid wsp:val=&quot;001D3DF2&quot;/&gt;&lt;wsp:rsid wsp:val=&quot;001D3E47&quot;/&gt;&lt;wsp:rsid wsp:val=&quot;001D4A14&quot;/&gt;&lt;wsp:rsid wsp:val=&quot;001D5BBF&quot;/&gt;&lt;wsp:rsid wsp:val=&quot;001D639F&quot;/&gt;&lt;wsp:rsid wsp:val=&quot;001D7203&quot;/&gt;&lt;wsp:rsid wsp:val=&quot;001E0B80&quot;/&gt;&lt;wsp:rsid wsp:val=&quot;001E1E97&quot;/&gt;&lt;wsp:rsid wsp:val=&quot;001E1EEE&quot;/&gt;&lt;wsp:rsid wsp:val=&quot;001E2557&quot;/&gt;&lt;wsp:rsid wsp:val=&quot;001E3AB9&quot;/&gt;&lt;wsp:rsid wsp:val=&quot;001E43C7&quot;/&gt;&lt;wsp:rsid wsp:val=&quot;001E4410&quot;/&gt;&lt;wsp:rsid wsp:val=&quot;001E46C9&quot;/&gt;&lt;wsp:rsid wsp:val=&quot;001E4823&quot;/&gt;&lt;wsp:rsid wsp:val=&quot;001E51C2&quot;/&gt;&lt;wsp:rsid wsp:val=&quot;001E54CB&quot;/&gt;&lt;wsp:rsid wsp:val=&quot;001E54F7&quot;/&gt;&lt;wsp:rsid wsp:val=&quot;001E6721&quot;/&gt;&lt;wsp:rsid wsp:val=&quot;001F0544&quot;/&gt;&lt;wsp:rsid wsp:val=&quot;001F1A7F&quot;/&gt;&lt;wsp:rsid wsp:val=&quot;001F3C04&quot;/&gt;&lt;wsp:rsid wsp:val=&quot;001F484E&quot;/&gt;&lt;wsp:rsid wsp:val=&quot;001F48EE&quot;/&gt;&lt;wsp:rsid wsp:val=&quot;001F4AC5&quot;/&gt;&lt;wsp:rsid wsp:val=&quot;001F61C2&quot;/&gt;&lt;wsp:rsid wsp:val=&quot;001F64B3&quot;/&gt;&lt;wsp:rsid wsp:val=&quot;001F76F0&quot;/&gt;&lt;wsp:rsid wsp:val=&quot;001F7A36&quot;/&gt;&lt;wsp:rsid wsp:val=&quot;0020039B&quot;/&gt;&lt;wsp:rsid wsp:val=&quot;00200557&quot;/&gt;&lt;wsp:rsid wsp:val=&quot;00200E4F&quot;/&gt;&lt;wsp:rsid wsp:val=&quot;00201E6B&quot;/&gt;&lt;wsp:rsid wsp:val=&quot;00201EAB&quot;/&gt;&lt;wsp:rsid wsp:val=&quot;00201FA3&quot;/&gt;&lt;wsp:rsid wsp:val=&quot;00203DCC&quot;/&gt;&lt;wsp:rsid wsp:val=&quot;002040CD&quot;/&gt;&lt;wsp:rsid wsp:val=&quot;0020444A&quot;/&gt;&lt;wsp:rsid wsp:val=&quot;00205031&quot;/&gt;&lt;wsp:rsid wsp:val=&quot;002050BD&quot;/&gt;&lt;wsp:rsid wsp:val=&quot;00205929&quot;/&gt;&lt;wsp:rsid wsp:val=&quot;00205AA0&quot;/&gt;&lt;wsp:rsid wsp:val=&quot;002065C3&quot;/&gt;&lt;wsp:rsid wsp:val=&quot;00206743&quot;/&gt;&lt;wsp:rsid wsp:val=&quot;00210116&quot;/&gt;&lt;wsp:rsid wsp:val=&quot;002105A8&quot;/&gt;&lt;wsp:rsid wsp:val=&quot;00210DE1&quot;/&gt;&lt;wsp:rsid wsp:val=&quot;002110E8&quot;/&gt;&lt;wsp:rsid wsp:val=&quot;0021149E&quot;/&gt;&lt;wsp:rsid wsp:val=&quot;00211621&quot;/&gt;&lt;wsp:rsid wsp:val=&quot;0021179C&quot;/&gt;&lt;wsp:rsid wsp:val=&quot;00211B25&quot;/&gt;&lt;wsp:rsid wsp:val=&quot;00212A14&quot;/&gt;&lt;wsp:rsid wsp:val=&quot;0021307A&quot;/&gt;&lt;wsp:rsid wsp:val=&quot;002135F6&quot;/&gt;&lt;wsp:rsid wsp:val=&quot;00214ADE&quot;/&gt;&lt;wsp:rsid wsp:val=&quot;00214D96&quot;/&gt;&lt;wsp:rsid wsp:val=&quot;00215643&quot;/&gt;&lt;wsp:rsid wsp:val=&quot;0021585C&quot;/&gt;&lt;wsp:rsid wsp:val=&quot;00216D85&quot;/&gt;&lt;wsp:rsid wsp:val=&quot;0021733D&quot;/&gt;&lt;wsp:rsid wsp:val=&quot;0021748C&quot;/&gt;&lt;wsp:rsid wsp:val=&quot;00221566&quot;/&gt;&lt;wsp:rsid wsp:val=&quot;002229A3&quot;/&gt;&lt;wsp:rsid wsp:val=&quot;0022318F&quot;/&gt;&lt;wsp:rsid wsp:val=&quot;00223389&quot;/&gt;&lt;wsp:rsid wsp:val=&quot;00223B2F&quot;/&gt;&lt;wsp:rsid wsp:val=&quot;00223EBA&quot;/&gt;&lt;wsp:rsid wsp:val=&quot;00223ED4&quot;/&gt;&lt;wsp:rsid wsp:val=&quot;0022466F&quot;/&gt;&lt;wsp:rsid wsp:val=&quot;00224BC9&quot;/&gt;&lt;wsp:rsid wsp:val=&quot;00224E4B&quot;/&gt;&lt;wsp:rsid wsp:val=&quot;002252F9&quot;/&gt;&lt;wsp:rsid wsp:val=&quot;00225DC4&quot;/&gt;&lt;wsp:rsid wsp:val=&quot;00225DF8&quot;/&gt;&lt;wsp:rsid wsp:val=&quot;00226335&quot;/&gt;&lt;wsp:rsid wsp:val=&quot;00226405&quot;/&gt;&lt;wsp:rsid wsp:val=&quot;00226416&quot;/&gt;&lt;wsp:rsid wsp:val=&quot;002264F3&quot;/&gt;&lt;wsp:rsid wsp:val=&quot;00226793&quot;/&gt;&lt;wsp:rsid wsp:val=&quot;00226DA1&quot;/&gt;&lt;wsp:rsid wsp:val=&quot;00226E70&quot;/&gt;&lt;wsp:rsid wsp:val=&quot;00227028&quot;/&gt;&lt;wsp:rsid wsp:val=&quot;002274C7&quot;/&gt;&lt;wsp:rsid wsp:val=&quot;00227FE5&quot;/&gt;&lt;wsp:rsid wsp:val=&quot;0023033E&quot;/&gt;&lt;wsp:rsid wsp:val=&quot;00232CD6&quot;/&gt;&lt;wsp:rsid wsp:val=&quot;00232DF6&quot;/&gt;&lt;wsp:rsid wsp:val=&quot;00233946&quot;/&gt;&lt;wsp:rsid wsp:val=&quot;00233A88&quot;/&gt;&lt;wsp:rsid wsp:val=&quot;00233ACA&quot;/&gt;&lt;wsp:rsid wsp:val=&quot;00233AD0&quot;/&gt;&lt;wsp:rsid wsp:val=&quot;002343B5&quot;/&gt;&lt;wsp:rsid wsp:val=&quot;00234459&quot;/&gt;&lt;wsp:rsid wsp:val=&quot;00234BAD&quot;/&gt;&lt;wsp:rsid wsp:val=&quot;0023535E&quot;/&gt;&lt;wsp:rsid wsp:val=&quot;00235A39&quot;/&gt;&lt;wsp:rsid wsp:val=&quot;00235C43&quot;/&gt;&lt;wsp:rsid wsp:val=&quot;0023680A&quot;/&gt;&lt;wsp:rsid wsp:val=&quot;00236DA4&quot;/&gt;&lt;wsp:rsid wsp:val=&quot;00240BF7&quot;/&gt;&lt;wsp:rsid wsp:val=&quot;00240D71&quot;/&gt;&lt;wsp:rsid wsp:val=&quot;00242266&quot;/&gt;&lt;wsp:rsid wsp:val=&quot;00242404&quot;/&gt;&lt;wsp:rsid wsp:val=&quot;0024265D&quot;/&gt;&lt;wsp:rsid wsp:val=&quot;00242CED&quot;/&gt;&lt;wsp:rsid wsp:val=&quot;00242F9E&quot;/&gt;&lt;wsp:rsid wsp:val=&quot;002431C7&quot;/&gt;&lt;wsp:rsid wsp:val=&quot;00245151&quot;/&gt;&lt;wsp:rsid wsp:val=&quot;0024517D&quot;/&gt;&lt;wsp:rsid wsp:val=&quot;002452E1&quot;/&gt;&lt;wsp:rsid wsp:val=&quot;002458D9&quot;/&gt;&lt;wsp:rsid wsp:val=&quot;0024741C&quot;/&gt;&lt;wsp:rsid wsp:val=&quot;00247952&quot;/&gt;&lt;wsp:rsid wsp:val=&quot;00247ADE&quot;/&gt;&lt;wsp:rsid wsp:val=&quot;00250241&quot;/&gt;&lt;wsp:rsid wsp:val=&quot;00250718&quot;/&gt;&lt;wsp:rsid wsp:val=&quot;00250772&quot;/&gt;&lt;wsp:rsid wsp:val=&quot;0025174E&quot;/&gt;&lt;wsp:rsid wsp:val=&quot;00252E1B&quot;/&gt;&lt;wsp:rsid wsp:val=&quot;002538AE&quot;/&gt;&lt;wsp:rsid wsp:val=&quot;00253A3E&quot;/&gt;&lt;wsp:rsid wsp:val=&quot;002541A9&quot;/&gt;&lt;wsp:rsid wsp:val=&quot;00254A7D&quot;/&gt;&lt;wsp:rsid wsp:val=&quot;00254D72&quot;/&gt;&lt;wsp:rsid wsp:val=&quot;00254FE2&quot;/&gt;&lt;wsp:rsid wsp:val=&quot;00255C22&quot;/&gt;&lt;wsp:rsid wsp:val=&quot;00256112&quot;/&gt;&lt;wsp:rsid wsp:val=&quot;00256A2B&quot;/&gt;&lt;wsp:rsid wsp:val=&quot;00256D0D&quot;/&gt;&lt;wsp:rsid wsp:val=&quot;002604D9&quot;/&gt;&lt;wsp:rsid wsp:val=&quot;00260614&quot;/&gt;&lt;wsp:rsid wsp:val=&quot;00261189&quot;/&gt;&lt;wsp:rsid wsp:val=&quot;0026122C&quot;/&gt;&lt;wsp:rsid wsp:val=&quot;002615BC&quot;/&gt;&lt;wsp:rsid wsp:val=&quot;002615F2&quot;/&gt;&lt;wsp:rsid wsp:val=&quot;002629C0&quot;/&gt;&lt;wsp:rsid wsp:val=&quot;00262E5F&quot;/&gt;&lt;wsp:rsid wsp:val=&quot;0026324A&quot;/&gt;&lt;wsp:rsid wsp:val=&quot;00264417&quot;/&gt;&lt;wsp:rsid wsp:val=&quot;0026557F&quot;/&gt;&lt;wsp:rsid wsp:val=&quot;00265B79&quot;/&gt;&lt;wsp:rsid wsp:val=&quot;00265FE9&quot;/&gt;&lt;wsp:rsid wsp:val=&quot;00266B6A&quot;/&gt;&lt;wsp:rsid wsp:val=&quot;00266E3C&quot;/&gt;&lt;wsp:rsid wsp:val=&quot;002670DB&quot;/&gt;&lt;wsp:rsid wsp:val=&quot;00270193&quot;/&gt;&lt;wsp:rsid wsp:val=&quot;00270DF3&quot;/&gt;&lt;wsp:rsid wsp:val=&quot;00271B15&quot;/&gt;&lt;wsp:rsid wsp:val=&quot;00271C1A&quot;/&gt;&lt;wsp:rsid wsp:val=&quot;00272889&quot;/&gt;&lt;wsp:rsid wsp:val=&quot;002729CD&quot;/&gt;&lt;wsp:rsid wsp:val=&quot;00272BCE&quot;/&gt;&lt;wsp:rsid wsp:val=&quot;00273845&quot;/&gt;&lt;wsp:rsid wsp:val=&quot;00274004&quot;/&gt;&lt;wsp:rsid wsp:val=&quot;002749CE&quot;/&gt;&lt;wsp:rsid wsp:val=&quot;002752DD&quot;/&gt;&lt;wsp:rsid wsp:val=&quot;0027587D&quot;/&gt;&lt;wsp:rsid wsp:val=&quot;00275FDC&quot;/&gt;&lt;wsp:rsid wsp:val=&quot;00276142&quot;/&gt;&lt;wsp:rsid wsp:val=&quot;00276BB2&quot;/&gt;&lt;wsp:rsid wsp:val=&quot;00276ED7&quot;/&gt;&lt;wsp:rsid wsp:val=&quot;002772F7&quot;/&gt;&lt;wsp:rsid wsp:val=&quot;00280246&quot;/&gt;&lt;wsp:rsid wsp:val=&quot;00280F6B&quot;/&gt;&lt;wsp:rsid wsp:val=&quot;00280FE5&quot;/&gt;&lt;wsp:rsid wsp:val=&quot;002823E3&quot;/&gt;&lt;wsp:rsid wsp:val=&quot;00282429&quot;/&gt;&lt;wsp:rsid wsp:val=&quot;00282E11&quot;/&gt;&lt;wsp:rsid wsp:val=&quot;0028341A&quot;/&gt;&lt;wsp:rsid wsp:val=&quot;00283561&quot;/&gt;&lt;wsp:rsid wsp:val=&quot;002844C5&quot;/&gt;&lt;wsp:rsid wsp:val=&quot;00284854&quot;/&gt;&lt;wsp:rsid wsp:val=&quot;0028772E&quot;/&gt;&lt;wsp:rsid wsp:val=&quot;00287A9E&quot;/&gt;&lt;wsp:rsid wsp:val=&quot;00287C17&quot;/&gt;&lt;wsp:rsid wsp:val=&quot;002909C9&quot;/&gt;&lt;wsp:rsid wsp:val=&quot;002911DD&quot;/&gt;&lt;wsp:rsid wsp:val=&quot;00291790&quot;/&gt;&lt;wsp:rsid wsp:val=&quot;00292688&quot;/&gt;&lt;wsp:rsid wsp:val=&quot;0029304F&quot;/&gt;&lt;wsp:rsid wsp:val=&quot;00293179&quot;/&gt;&lt;wsp:rsid wsp:val=&quot;002945EB&quot;/&gt;&lt;wsp:rsid wsp:val=&quot;00294826&quot;/&gt;&lt;wsp:rsid wsp:val=&quot;00294C3C&quot;/&gt;&lt;wsp:rsid wsp:val=&quot;0029544B&quot;/&gt;&lt;wsp:rsid wsp:val=&quot;002963EB&quot;/&gt;&lt;wsp:rsid wsp:val=&quot;002967ED&quot;/&gt;&lt;wsp:rsid wsp:val=&quot;00296CDA&quot;/&gt;&lt;wsp:rsid wsp:val=&quot;00296D4B&quot;/&gt;&lt;wsp:rsid wsp:val=&quot;00296F75&quot;/&gt;&lt;wsp:rsid wsp:val=&quot;002972D4&quot;/&gt;&lt;wsp:rsid wsp:val=&quot;002975EF&quot;/&gt;&lt;wsp:rsid wsp:val=&quot;002A0526&quot;/&gt;&lt;wsp:rsid wsp:val=&quot;002A1E44&quot;/&gt;&lt;wsp:rsid wsp:val=&quot;002A208C&quot;/&gt;&lt;wsp:rsid wsp:val=&quot;002A454D&quot;/&gt;&lt;wsp:rsid wsp:val=&quot;002A4573&quot;/&gt;&lt;wsp:rsid wsp:val=&quot;002A5FE7&quot;/&gt;&lt;wsp:rsid wsp:val=&quot;002A68AA&quot;/&gt;&lt;wsp:rsid wsp:val=&quot;002A775B&quot;/&gt;&lt;wsp:rsid wsp:val=&quot;002A7C21&quot;/&gt;&lt;wsp:rsid wsp:val=&quot;002B06DF&quot;/&gt;&lt;wsp:rsid wsp:val=&quot;002B12FE&quot;/&gt;&lt;wsp:rsid wsp:val=&quot;002B14F2&quot;/&gt;&lt;wsp:rsid wsp:val=&quot;002B1F65&quot;/&gt;&lt;wsp:rsid wsp:val=&quot;002B1FB6&quot;/&gt;&lt;wsp:rsid wsp:val=&quot;002B212C&quot;/&gt;&lt;wsp:rsid wsp:val=&quot;002B3ED4&quot;/&gt;&lt;wsp:rsid wsp:val=&quot;002B46DF&quot;/&gt;&lt;wsp:rsid wsp:val=&quot;002B48B4&quot;/&gt;&lt;wsp:rsid wsp:val=&quot;002B499C&quot;/&gt;&lt;wsp:rsid wsp:val=&quot;002B4B68&quot;/&gt;&lt;wsp:rsid wsp:val=&quot;002B5565&quot;/&gt;&lt;wsp:rsid wsp:val=&quot;002B5CF1&quot;/&gt;&lt;wsp:rsid wsp:val=&quot;002B5E7D&quot;/&gt;&lt;wsp:rsid wsp:val=&quot;002B65DA&quot;/&gt;&lt;wsp:rsid wsp:val=&quot;002B71AB&quot;/&gt;&lt;wsp:rsid wsp:val=&quot;002C15FB&quot;/&gt;&lt;wsp:rsid wsp:val=&quot;002C1B7A&quot;/&gt;&lt;wsp:rsid wsp:val=&quot;002C2257&quot;/&gt;&lt;wsp:rsid wsp:val=&quot;002C24D9&quot;/&gt;&lt;wsp:rsid wsp:val=&quot;002C26E8&quot;/&gt;&lt;wsp:rsid wsp:val=&quot;002C2E90&quot;/&gt;&lt;wsp:rsid wsp:val=&quot;002C3F99&quot;/&gt;&lt;wsp:rsid wsp:val=&quot;002C4497&quot;/&gt;&lt;wsp:rsid wsp:val=&quot;002C45F1&quot;/&gt;&lt;wsp:rsid wsp:val=&quot;002C4653&quot;/&gt;&lt;wsp:rsid wsp:val=&quot;002C4857&quot;/&gt;&lt;wsp:rsid wsp:val=&quot;002C4AC8&quot;/&gt;&lt;wsp:rsid wsp:val=&quot;002C4E2D&quot;/&gt;&lt;wsp:rsid wsp:val=&quot;002C5BBE&quot;/&gt;&lt;wsp:rsid wsp:val=&quot;002C5E4F&quot;/&gt;&lt;wsp:rsid wsp:val=&quot;002C6BD4&quot;/&gt;&lt;wsp:rsid wsp:val=&quot;002C6C9D&quot;/&gt;&lt;wsp:rsid wsp:val=&quot;002C7459&quot;/&gt;&lt;wsp:rsid wsp:val=&quot;002C7C19&quot;/&gt;&lt;wsp:rsid wsp:val=&quot;002D1100&quot;/&gt;&lt;wsp:rsid wsp:val=&quot;002D174E&quot;/&gt;&lt;wsp:rsid wsp:val=&quot;002D17CB&quot;/&gt;&lt;wsp:rsid wsp:val=&quot;002D1C33&quot;/&gt;&lt;wsp:rsid wsp:val=&quot;002D2235&quot;/&gt;&lt;wsp:rsid wsp:val=&quot;002D2D57&quot;/&gt;&lt;wsp:rsid wsp:val=&quot;002D34CD&quot;/&gt;&lt;wsp:rsid wsp:val=&quot;002D3837&quot;/&gt;&lt;wsp:rsid wsp:val=&quot;002D48C3&quot;/&gt;&lt;wsp:rsid wsp:val=&quot;002D53F4&quot;/&gt;&lt;wsp:rsid wsp:val=&quot;002D541F&quot;/&gt;&lt;wsp:rsid wsp:val=&quot;002D6888&quot;/&gt;&lt;wsp:rsid wsp:val=&quot;002D6D28&quot;/&gt;&lt;wsp:rsid wsp:val=&quot;002D75D3&quot;/&gt;&lt;wsp:rsid wsp:val=&quot;002D77DF&quot;/&gt;&lt;wsp:rsid wsp:val=&quot;002E01D6&quot;/&gt;&lt;wsp:rsid wsp:val=&quot;002E29AF&quot;/&gt;&lt;wsp:rsid wsp:val=&quot;002E2ABE&quot;/&gt;&lt;wsp:rsid wsp:val=&quot;002E429F&quot;/&gt;&lt;wsp:rsid wsp:val=&quot;002E4420&quot;/&gt;&lt;wsp:rsid wsp:val=&quot;002E5CFC&quot;/&gt;&lt;wsp:rsid wsp:val=&quot;002E6702&quot;/&gt;&lt;wsp:rsid wsp:val=&quot;002E6BA6&quot;/&gt;&lt;wsp:rsid wsp:val=&quot;002E74A3&quot;/&gt;&lt;wsp:rsid wsp:val=&quot;002E7730&quot;/&gt;&lt;wsp:rsid wsp:val=&quot;002E7D60&quot;/&gt;&lt;wsp:rsid wsp:val=&quot;002F072B&quot;/&gt;&lt;wsp:rsid wsp:val=&quot;002F09EB&quot;/&gt;&lt;wsp:rsid wsp:val=&quot;002F112A&quot;/&gt;&lt;wsp:rsid wsp:val=&quot;002F287D&quot;/&gt;&lt;wsp:rsid wsp:val=&quot;002F2CAD&quot;/&gt;&lt;wsp:rsid wsp:val=&quot;002F3451&quot;/&gt;&lt;wsp:rsid wsp:val=&quot;002F3CD2&quot;/&gt;&lt;wsp:rsid wsp:val=&quot;002F495F&quot;/&gt;&lt;wsp:rsid wsp:val=&quot;002F5AF2&quot;/&gt;&lt;wsp:rsid wsp:val=&quot;002F6392&quot;/&gt;&lt;wsp:rsid wsp:val=&quot;002F7B97&quot;/&gt;&lt;wsp:rsid wsp:val=&quot;00300C66&quot;/&gt;&lt;wsp:rsid wsp:val=&quot;00300EC5&quot;/&gt;&lt;wsp:rsid wsp:val=&quot;00300FA2&quot;/&gt;&lt;wsp:rsid wsp:val=&quot;00301A67&quot;/&gt;&lt;wsp:rsid wsp:val=&quot;00301CA8&quot;/&gt;&lt;wsp:rsid wsp:val=&quot;00301DBB&quot;/&gt;&lt;wsp:rsid wsp:val=&quot;00301DF4&quot;/&gt;&lt;wsp:rsid wsp:val=&quot;00302714&quot;/&gt;&lt;wsp:rsid wsp:val=&quot;00302B27&quot;/&gt;&lt;wsp:rsid wsp:val=&quot;003036E0&quot;/&gt;&lt;wsp:rsid wsp:val=&quot;00303B47&quot;/&gt;&lt;wsp:rsid wsp:val=&quot;00303D0B&quot;/&gt;&lt;wsp:rsid wsp:val=&quot;003040B6&quot;/&gt;&lt;wsp:rsid wsp:val=&quot;003065F4&quot;/&gt;&lt;wsp:rsid wsp:val=&quot;00306F33&quot;/&gt;&lt;wsp:rsid wsp:val=&quot;00307A53&quot;/&gt;&lt;wsp:rsid wsp:val=&quot;003106DA&quot;/&gt;&lt;wsp:rsid wsp:val=&quot;00310D6F&quot;/&gt;&lt;wsp:rsid wsp:val=&quot;003139FD&quot;/&gt;&lt;wsp:rsid wsp:val=&quot;0031429F&quot;/&gt;&lt;wsp:rsid wsp:val=&quot;003147D8&quot;/&gt;&lt;wsp:rsid wsp:val=&quot;00314B4D&quot;/&gt;&lt;wsp:rsid wsp:val=&quot;00314E16&quot;/&gt;&lt;wsp:rsid wsp:val=&quot;00315486&quot;/&gt;&lt;wsp:rsid wsp:val=&quot;00315828&quot;/&gt;&lt;wsp:rsid wsp:val=&quot;0031647C&quot;/&gt;&lt;wsp:rsid wsp:val=&quot;0031684D&quot;/&gt;&lt;wsp:rsid wsp:val=&quot;00317220&quot;/&gt;&lt;wsp:rsid wsp:val=&quot;00317959&quot;/&gt;&lt;wsp:rsid wsp:val=&quot;003220D3&quot;/&gt;&lt;wsp:rsid wsp:val=&quot;003229D1&quot;/&gt;&lt;wsp:rsid wsp:val=&quot;003236FF&quot;/&gt;&lt;wsp:rsid wsp:val=&quot;00323E0E&quot;/&gt;&lt;wsp:rsid wsp:val=&quot;00323EE1&quot;/&gt;&lt;wsp:rsid wsp:val=&quot;00324F91&quot;/&gt;&lt;wsp:rsid wsp:val=&quot;0032521D&quot;/&gt;&lt;wsp:rsid wsp:val=&quot;00325E6F&quot;/&gt;&lt;wsp:rsid wsp:val=&quot;00326031&quot;/&gt;&lt;wsp:rsid wsp:val=&quot;00326923&quot;/&gt;&lt;wsp:rsid wsp:val=&quot;003272BF&quot;/&gt;&lt;wsp:rsid wsp:val=&quot;00330AD2&quot;/&gt;&lt;wsp:rsid wsp:val=&quot;00331527&quot;/&gt;&lt;wsp:rsid wsp:val=&quot;003318C5&quot;/&gt;&lt;wsp:rsid wsp:val=&quot;00331A3A&quot;/&gt;&lt;wsp:rsid wsp:val=&quot;00331C73&quot;/&gt;&lt;wsp:rsid wsp:val=&quot;003320B7&quot;/&gt;&lt;wsp:rsid wsp:val=&quot;00332406&quot;/&gt;&lt;wsp:rsid wsp:val=&quot;003325DC&quot;/&gt;&lt;wsp:rsid wsp:val=&quot;00332F0D&quot;/&gt;&lt;wsp:rsid wsp:val=&quot;003335DD&quot;/&gt;&lt;wsp:rsid wsp:val=&quot;00333AD7&quot;/&gt;&lt;wsp:rsid wsp:val=&quot;00334AC6&quot;/&gt;&lt;wsp:rsid wsp:val=&quot;00334CCB&quot;/&gt;&lt;wsp:rsid wsp:val=&quot;00335185&quot;/&gt;&lt;wsp:rsid wsp:val=&quot;00335223&quot;/&gt;&lt;wsp:rsid wsp:val=&quot;003369E7&quot;/&gt;&lt;wsp:rsid wsp:val=&quot;00336AED&quot;/&gt;&lt;wsp:rsid wsp:val=&quot;00341D12&quot;/&gt;&lt;wsp:rsid wsp:val=&quot;003422A5&quot;/&gt;&lt;wsp:rsid wsp:val=&quot;00342723&quot;/&gt;&lt;wsp:rsid wsp:val=&quot;00343A17&quot;/&gt;&lt;wsp:rsid wsp:val=&quot;00343C2F&quot;/&gt;&lt;wsp:rsid wsp:val=&quot;003444E6&quot;/&gt;&lt;wsp:rsid wsp:val=&quot;00344534&quot;/&gt;&lt;wsp:rsid wsp:val=&quot;003446C0&quot;/&gt;&lt;wsp:rsid wsp:val=&quot;00344AAF&quot;/&gt;&lt;wsp:rsid wsp:val=&quot;00344F44&quot;/&gt;&lt;wsp:rsid wsp:val=&quot;00345782&quot;/&gt;&lt;wsp:rsid wsp:val=&quot;00345DB2&quot;/&gt;&lt;wsp:rsid wsp:val=&quot;0034772C&quot;/&gt;&lt;wsp:rsid wsp:val=&quot;0034780E&quot;/&gt;&lt;wsp:rsid wsp:val=&quot;00347865&quot;/&gt;&lt;wsp:rsid wsp:val=&quot;00347C67&quot;/&gt;&lt;wsp:rsid wsp:val=&quot;00351D78&quot;/&gt;&lt;wsp:rsid wsp:val=&quot;003521F1&quot;/&gt;&lt;wsp:rsid wsp:val=&quot;00353196&quot;/&gt;&lt;wsp:rsid wsp:val=&quot;00355456&quot;/&gt;&lt;wsp:rsid wsp:val=&quot;003555B2&quot;/&gt;&lt;wsp:rsid wsp:val=&quot;00356505&quot;/&gt;&lt;wsp:rsid wsp:val=&quot;00356727&quot;/&gt;&lt;wsp:rsid wsp:val=&quot;00356E51&quot;/&gt;&lt;wsp:rsid wsp:val=&quot;00357A8F&quot;/&gt;&lt;wsp:rsid wsp:val=&quot;00357A9C&quot;/&gt;&lt;wsp:rsid wsp:val=&quot;0036142F&quot;/&gt;&lt;wsp:rsid wsp:val=&quot;00362AF6&quot;/&gt;&lt;wsp:rsid wsp:val=&quot;00363057&quot;/&gt;&lt;wsp:rsid wsp:val=&quot;00363B4D&quot;/&gt;&lt;wsp:rsid wsp:val=&quot;00363FAF&quot;/&gt;&lt;wsp:rsid wsp:val=&quot;00364047&quot;/&gt;&lt;wsp:rsid wsp:val=&quot;0036533A&quot;/&gt;&lt;wsp:rsid wsp:val=&quot;00365352&quot;/&gt;&lt;wsp:rsid wsp:val=&quot;00365AD9&quot;/&gt;&lt;wsp:rsid wsp:val=&quot;00365EA2&quot;/&gt;&lt;wsp:rsid wsp:val=&quot;003669E0&quot;/&gt;&lt;wsp:rsid wsp:val=&quot;00366FAD&quot;/&gt;&lt;wsp:rsid wsp:val=&quot;00367090&quot;/&gt;&lt;wsp:rsid wsp:val=&quot;0036766E&quot;/&gt;&lt;wsp:rsid wsp:val=&quot;00367A74&quot;/&gt;&lt;wsp:rsid wsp:val=&quot;003721C6&quot;/&gt;&lt;wsp:rsid wsp:val=&quot;00372B75&quot;/&gt;&lt;wsp:rsid wsp:val=&quot;00372DB4&quot;/&gt;&lt;wsp:rsid wsp:val=&quot;00372FB3&quot;/&gt;&lt;wsp:rsid wsp:val=&quot;00373466&quot;/&gt;&lt;wsp:rsid wsp:val=&quot;003734DB&quot;/&gt;&lt;wsp:rsid wsp:val=&quot;00373711&quot;/&gt;&lt;wsp:rsid wsp:val=&quot;00373ABB&quot;/&gt;&lt;wsp:rsid wsp:val=&quot;00373B7E&quot;/&gt;&lt;wsp:rsid wsp:val=&quot;003758C6&quot;/&gt;&lt;wsp:rsid wsp:val=&quot;00375A0F&quot;/&gt;&lt;wsp:rsid wsp:val=&quot;00376410&quot;/&gt;&lt;wsp:rsid wsp:val=&quot;00377B01&quot;/&gt;&lt;wsp:rsid wsp:val=&quot;0038087E&quot;/&gt;&lt;wsp:rsid wsp:val=&quot;00380BAF&quot;/&gt;&lt;wsp:rsid wsp:val=&quot;00381FD1&quot;/&gt;&lt;wsp:rsid wsp:val=&quot;0038274A&quot;/&gt;&lt;wsp:rsid wsp:val=&quot;00383F29&quot;/&gt;&lt;wsp:rsid wsp:val=&quot;003844CB&quot;/&gt;&lt;wsp:rsid wsp:val=&quot;00384A11&quot;/&gt;&lt;wsp:rsid wsp:val=&quot;00384CC3&quot;/&gt;&lt;wsp:rsid wsp:val=&quot;003855E3&quot;/&gt;&lt;wsp:rsid wsp:val=&quot;00385AA1&quot;/&gt;&lt;wsp:rsid wsp:val=&quot;00385D23&quot;/&gt;&lt;wsp:rsid wsp:val=&quot;00385DB9&quot;/&gt;&lt;wsp:rsid wsp:val=&quot;003866D9&quot;/&gt;&lt;wsp:rsid wsp:val=&quot;0038674C&quot;/&gt;&lt;wsp:rsid wsp:val=&quot;003867D2&quot;/&gt;&lt;wsp:rsid wsp:val=&quot;0038685A&quot;/&gt;&lt;wsp:rsid wsp:val=&quot;00390195&quot;/&gt;&lt;wsp:rsid wsp:val=&quot;003906ED&quot;/&gt;&lt;wsp:rsid wsp:val=&quot;003909FE&quot;/&gt;&lt;wsp:rsid wsp:val=&quot;00390A84&quot;/&gt;&lt;wsp:rsid wsp:val=&quot;00390AF8&quot;/&gt;&lt;wsp:rsid wsp:val=&quot;003912F6&quot;/&gt;&lt;wsp:rsid wsp:val=&quot;00392662&quot;/&gt;&lt;wsp:rsid wsp:val=&quot;00393D89&quot;/&gt;&lt;wsp:rsid wsp:val=&quot;0039468A&quot;/&gt;&lt;wsp:rsid wsp:val=&quot;003963D7&quot;/&gt;&lt;wsp:rsid wsp:val=&quot;00396F65&quot;/&gt;&lt;wsp:rsid wsp:val=&quot;00397356&quot;/&gt;&lt;wsp:rsid wsp:val=&quot;003973EC&quot;/&gt;&lt;wsp:rsid wsp:val=&quot;00397541&quot;/&gt;&lt;wsp:rsid wsp:val=&quot;00397E05&quot;/&gt;&lt;wsp:rsid wsp:val=&quot;003A06B3&quot;/&gt;&lt;wsp:rsid wsp:val=&quot;003A1E1E&quot;/&gt;&lt;wsp:rsid wsp:val=&quot;003A20BD&quot;/&gt;&lt;wsp:rsid wsp:val=&quot;003A22ED&quot;/&gt;&lt;wsp:rsid wsp:val=&quot;003A2844&quot;/&gt;&lt;wsp:rsid wsp:val=&quot;003A3B97&quot;/&gt;&lt;wsp:rsid wsp:val=&quot;003A3BF0&quot;/&gt;&lt;wsp:rsid wsp:val=&quot;003A3C64&quot;/&gt;&lt;wsp:rsid wsp:val=&quot;003A44B9&quot;/&gt;&lt;wsp:rsid wsp:val=&quot;003A4A19&quot;/&gt;&lt;wsp:rsid wsp:val=&quot;003A4C4E&quot;/&gt;&lt;wsp:rsid wsp:val=&quot;003A4E57&quot;/&gt;&lt;wsp:rsid wsp:val=&quot;003A5E63&quot;/&gt;&lt;wsp:rsid wsp:val=&quot;003A6946&quot;/&gt;&lt;wsp:rsid wsp:val=&quot;003A69C6&quot;/&gt;&lt;wsp:rsid wsp:val=&quot;003A6E31&quot;/&gt;&lt;wsp:rsid wsp:val=&quot;003A709F&quot;/&gt;&lt;wsp:rsid wsp:val=&quot;003B01A4&quot;/&gt;&lt;wsp:rsid wsp:val=&quot;003B0AB6&quot;/&gt;&lt;wsp:rsid wsp:val=&quot;003B18C3&quot;/&gt;&lt;wsp:rsid wsp:val=&quot;003B1987&quot;/&gt;&lt;wsp:rsid wsp:val=&quot;003B1E28&quot;/&gt;&lt;wsp:rsid wsp:val=&quot;003B2C70&quot;/&gt;&lt;wsp:rsid wsp:val=&quot;003B41D1&quot;/&gt;&lt;wsp:rsid wsp:val=&quot;003B45F9&quot;/&gt;&lt;wsp:rsid wsp:val=&quot;003B5A67&quot;/&gt;&lt;wsp:rsid wsp:val=&quot;003B5C17&quot;/&gt;&lt;wsp:rsid wsp:val=&quot;003B68C9&quot;/&gt;&lt;wsp:rsid wsp:val=&quot;003C01A0&quot;/&gt;&lt;wsp:rsid wsp:val=&quot;003C0D51&quot;/&gt;&lt;wsp:rsid wsp:val=&quot;003C250A&quot;/&gt;&lt;wsp:rsid wsp:val=&quot;003C3A26&quot;/&gt;&lt;wsp:rsid wsp:val=&quot;003C3F35&quot;/&gt;&lt;wsp:rsid wsp:val=&quot;003C4424&quot;/&gt;&lt;wsp:rsid wsp:val=&quot;003C4832&quot;/&gt;&lt;wsp:rsid wsp:val=&quot;003C4B7E&quot;/&gt;&lt;wsp:rsid wsp:val=&quot;003C53C6&quot;/&gt;&lt;wsp:rsid wsp:val=&quot;003C5672&quot;/&gt;&lt;wsp:rsid wsp:val=&quot;003C5A36&quot;/&gt;&lt;wsp:rsid wsp:val=&quot;003C6331&quot;/&gt;&lt;wsp:rsid wsp:val=&quot;003C6CB7&quot;/&gt;&lt;wsp:rsid wsp:val=&quot;003C6E87&quot;/&gt;&lt;wsp:rsid wsp:val=&quot;003C757C&quot;/&gt;&lt;wsp:rsid wsp:val=&quot;003C762F&quot;/&gt;&lt;wsp:rsid wsp:val=&quot;003C7EB4&quot;/&gt;&lt;wsp:rsid wsp:val=&quot;003D01F4&quot;/&gt;&lt;wsp:rsid wsp:val=&quot;003D0699&quot;/&gt;&lt;wsp:rsid wsp:val=&quot;003D1B29&quot;/&gt;&lt;wsp:rsid wsp:val=&quot;003D1B52&quot;/&gt;&lt;wsp:rsid wsp:val=&quot;003D33C1&quot;/&gt;&lt;wsp:rsid wsp:val=&quot;003D3FB1&quot;/&gt;&lt;wsp:rsid wsp:val=&quot;003D417A&quot;/&gt;&lt;wsp:rsid wsp:val=&quot;003D45AB&quot;/&gt;&lt;wsp:rsid wsp:val=&quot;003D5097&quot;/&gt;&lt;wsp:rsid wsp:val=&quot;003D59C1&quot;/&gt;&lt;wsp:rsid wsp:val=&quot;003D5D7F&quot;/&gt;&lt;wsp:rsid wsp:val=&quot;003D5E61&quot;/&gt;&lt;wsp:rsid wsp:val=&quot;003D728F&quot;/&gt;&lt;wsp:rsid wsp:val=&quot;003D7DD3&quot;/&gt;&lt;wsp:rsid wsp:val=&quot;003D7E31&quot;/&gt;&lt;wsp:rsid wsp:val=&quot;003E02A0&quot;/&gt;&lt;wsp:rsid wsp:val=&quot;003E068E&quot;/&gt;&lt;wsp:rsid wsp:val=&quot;003E1A22&quot;/&gt;&lt;wsp:rsid wsp:val=&quot;003E1DE8&quot;/&gt;&lt;wsp:rsid wsp:val=&quot;003E25DA&quot;/&gt;&lt;wsp:rsid wsp:val=&quot;003E3214&quot;/&gt;&lt;wsp:rsid wsp:val=&quot;003E37BB&quot;/&gt;&lt;wsp:rsid wsp:val=&quot;003E3C3E&quot;/&gt;&lt;wsp:rsid wsp:val=&quot;003E61D3&quot;/&gt;&lt;wsp:rsid wsp:val=&quot;003F2528&quot;/&gt;&lt;wsp:rsid wsp:val=&quot;003F27A1&quot;/&gt;&lt;wsp:rsid wsp:val=&quot;003F2863&quot;/&gt;&lt;wsp:rsid wsp:val=&quot;003F457A&quot;/&gt;&lt;wsp:rsid wsp:val=&quot;003F60F9&quot;/&gt;&lt;wsp:rsid wsp:val=&quot;003F6568&quot;/&gt;&lt;wsp:rsid wsp:val=&quot;003F68CF&quot;/&gt;&lt;wsp:rsid wsp:val=&quot;003F697C&quot;/&gt;&lt;wsp:rsid wsp:val=&quot;003F6E03&quot;/&gt;&lt;wsp:rsid wsp:val=&quot;003F7E78&quot;/&gt;&lt;wsp:rsid wsp:val=&quot;0040150C&quot;/&gt;&lt;wsp:rsid wsp:val=&quot;00402988&quot;/&gt;&lt;wsp:rsid wsp:val=&quot;00402FB1&quot;/&gt;&lt;wsp:rsid wsp:val=&quot;0040328C&quot;/&gt;&lt;wsp:rsid wsp:val=&quot;004048A2&quot;/&gt;&lt;wsp:rsid wsp:val=&quot;00404B13&quot;/&gt;&lt;wsp:rsid wsp:val=&quot;00405751&quot;/&gt;&lt;wsp:rsid wsp:val=&quot;00405C5C&quot;/&gt;&lt;wsp:rsid wsp:val=&quot;0040611B&quot;/&gt;&lt;wsp:rsid wsp:val=&quot;0040711B&quot;/&gt;&lt;wsp:rsid wsp:val=&quot;0040776B&quot;/&gt;&lt;wsp:rsid wsp:val=&quot;00407B15&quot;/&gt;&lt;wsp:rsid wsp:val=&quot;004111E2&quot;/&gt;&lt;wsp:rsid wsp:val=&quot;00411233&quot;/&gt;&lt;wsp:rsid wsp:val=&quot;00411451&quot;/&gt;&lt;wsp:rsid wsp:val=&quot;00412047&quot;/&gt;&lt;wsp:rsid wsp:val=&quot;00412154&quot;/&gt;&lt;wsp:rsid wsp:val=&quot;00412736&quot;/&gt;&lt;wsp:rsid wsp:val=&quot;00412B56&quot;/&gt;&lt;wsp:rsid wsp:val=&quot;004135FC&quot;/&gt;&lt;wsp:rsid wsp:val=&quot;0041442E&quot;/&gt;&lt;wsp:rsid wsp:val=&quot;00414538&quot;/&gt;&lt;wsp:rsid wsp:val=&quot;00414F82&quot;/&gt;&lt;wsp:rsid wsp:val=&quot;004150E5&quot;/&gt;&lt;wsp:rsid wsp:val=&quot;004156DD&quot;/&gt;&lt;wsp:rsid wsp:val=&quot;004158EC&quot;/&gt;&lt;wsp:rsid wsp:val=&quot;00415959&quot;/&gt;&lt;wsp:rsid wsp:val=&quot;00415F49&quot;/&gt;&lt;wsp:rsid wsp:val=&quot;004169D7&quot;/&gt;&lt;wsp:rsid wsp:val=&quot;00416B8D&quot;/&gt;&lt;wsp:rsid wsp:val=&quot;00417307&quot;/&gt;&lt;wsp:rsid wsp:val=&quot;00417398&quot;/&gt;&lt;wsp:rsid wsp:val=&quot;00417410&quot;/&gt;&lt;wsp:rsid wsp:val=&quot;004174D5&quot;/&gt;&lt;wsp:rsid wsp:val=&quot;00420316&quot;/&gt;&lt;wsp:rsid wsp:val=&quot;00420E2A&quot;/&gt;&lt;wsp:rsid wsp:val=&quot;00421D5C&quot;/&gt;&lt;wsp:rsid wsp:val=&quot;00422E7F&quot;/&gt;&lt;wsp:rsid wsp:val=&quot;004236BF&quot;/&gt;&lt;wsp:rsid wsp:val=&quot;00423C9F&quot;/&gt;&lt;wsp:rsid wsp:val=&quot;0042473C&quot;/&gt;&lt;wsp:rsid wsp:val=&quot;0042513D&quot;/&gt;&lt;wsp:rsid wsp:val=&quot;00425526&quot;/&gt;&lt;wsp:rsid wsp:val=&quot;00425872&quot;/&gt;&lt;wsp:rsid wsp:val=&quot;00426025&quot;/&gt;&lt;wsp:rsid wsp:val=&quot;00426B6C&quot;/&gt;&lt;wsp:rsid wsp:val=&quot;00426BA2&quot;/&gt;&lt;wsp:rsid wsp:val=&quot;00426D56&quot;/&gt;&lt;wsp:rsid wsp:val=&quot;004275D3&quot;/&gt;&lt;wsp:rsid wsp:val=&quot;00430235&quot;/&gt;&lt;wsp:rsid wsp:val=&quot;00430285&quot;/&gt;&lt;wsp:rsid wsp:val=&quot;00430333&quot;/&gt;&lt;wsp:rsid wsp:val=&quot;0043165A&quot;/&gt;&lt;wsp:rsid wsp:val=&quot;00431B1D&quot;/&gt;&lt;wsp:rsid wsp:val=&quot;004334AE&quot;/&gt;&lt;wsp:rsid wsp:val=&quot;004334D7&quot;/&gt;&lt;wsp:rsid wsp:val=&quot;00433CC0&quot;/&gt;&lt;wsp:rsid wsp:val=&quot;00434E02&quot;/&gt;&lt;wsp:rsid wsp:val=&quot;00435842&quot;/&gt;&lt;wsp:rsid wsp:val=&quot;004364B4&quot;/&gt;&lt;wsp:rsid wsp:val=&quot;00437C1B&quot;/&gt;&lt;wsp:rsid wsp:val=&quot;00437DD1&quot;/&gt;&lt;wsp:rsid wsp:val=&quot;004401B1&quot;/&gt;&lt;wsp:rsid wsp:val=&quot;004403FC&quot;/&gt;&lt;wsp:rsid wsp:val=&quot;0044093B&quot;/&gt;&lt;wsp:rsid wsp:val=&quot;00440CC9&quot;/&gt;&lt;wsp:rsid wsp:val=&quot;00440D59&quot;/&gt;&lt;wsp:rsid wsp:val=&quot;00440EA7&quot;/&gt;&lt;wsp:rsid wsp:val=&quot;0044172C&quot;/&gt;&lt;wsp:rsid wsp:val=&quot;00441E5A&quot;/&gt;&lt;wsp:rsid wsp:val=&quot;00441FC5&quot;/&gt;&lt;wsp:rsid wsp:val=&quot;00442728&quot;/&gt;&lt;wsp:rsid wsp:val=&quot;00442EE9&quot;/&gt;&lt;wsp:rsid wsp:val=&quot;004431E4&quot;/&gt;&lt;wsp:rsid wsp:val=&quot;004442B0&quot;/&gt;&lt;wsp:rsid wsp:val=&quot;00444A72&quot;/&gt;&lt;wsp:rsid wsp:val=&quot;004453CC&quot;/&gt;&lt;wsp:rsid wsp:val=&quot;0044627D&quot;/&gt;&lt;wsp:rsid wsp:val=&quot;004470F8&quot;/&gt;&lt;wsp:rsid wsp:val=&quot;00447D31&quot;/&gt;&lt;wsp:rsid wsp:val=&quot;00450AA1&quot;/&gt;&lt;wsp:rsid wsp:val=&quot;00450BD4&quot;/&gt;&lt;wsp:rsid wsp:val=&quot;00451395&quot;/&gt;&lt;wsp:rsid wsp:val=&quot;00451A98&quot;/&gt;&lt;wsp:rsid wsp:val=&quot;00451C21&quot;/&gt;&lt;wsp:rsid wsp:val=&quot;00451D76&quot;/&gt;&lt;wsp:rsid wsp:val=&quot;00451EA7&quot;/&gt;&lt;wsp:rsid wsp:val=&quot;004524AE&quot;/&gt;&lt;wsp:rsid wsp:val=&quot;00453413&quot;/&gt;&lt;wsp:rsid wsp:val=&quot;004535EA&quot;/&gt;&lt;wsp:rsid wsp:val=&quot;00453DDB&quot;/&gt;&lt;wsp:rsid wsp:val=&quot;00453DF1&quot;/&gt;&lt;wsp:rsid wsp:val=&quot;00454131&quot;/&gt;&lt;wsp:rsid wsp:val=&quot;00454333&quot;/&gt;&lt;wsp:rsid wsp:val=&quot;0045442A&quot;/&gt;&lt;wsp:rsid wsp:val=&quot;00455917&quot;/&gt;&lt;wsp:rsid wsp:val=&quot;00455D4D&quot;/&gt;&lt;wsp:rsid wsp:val=&quot;00455EF7&quot;/&gt;&lt;wsp:rsid wsp:val=&quot;00456275&quot;/&gt;&lt;wsp:rsid wsp:val=&quot;00456816&quot;/&gt;&lt;wsp:rsid wsp:val=&quot;00456A68&quot;/&gt;&lt;wsp:rsid wsp:val=&quot;00457BB1&quot;/&gt;&lt;wsp:rsid wsp:val=&quot;0046023D&quot;/&gt;&lt;wsp:rsid wsp:val=&quot;0046044F&quot;/&gt;&lt;wsp:rsid wsp:val=&quot;00460DFD&quot;/&gt;&lt;wsp:rsid wsp:val=&quot;00461263&quot;/&gt;&lt;wsp:rsid wsp:val=&quot;00461A78&quot;/&gt;&lt;wsp:rsid wsp:val=&quot;0046219B&quot;/&gt;&lt;wsp:rsid wsp:val=&quot;004622EA&quot;/&gt;&lt;wsp:rsid wsp:val=&quot;004629C1&quot;/&gt;&lt;wsp:rsid wsp:val=&quot;00462A20&quot;/&gt;&lt;wsp:rsid wsp:val=&quot;00462C00&quot;/&gt;&lt;wsp:rsid wsp:val=&quot;004637D9&quot;/&gt;&lt;wsp:rsid wsp:val=&quot;00464425&quot;/&gt;&lt;wsp:rsid wsp:val=&quot;004644B7&quot;/&gt;&lt;wsp:rsid wsp:val=&quot;00464B1D&quot;/&gt;&lt;wsp:rsid wsp:val=&quot;004651BF&quot;/&gt;&lt;wsp:rsid wsp:val=&quot;00465F17&quot;/&gt;&lt;wsp:rsid wsp:val=&quot;00466A26&quot;/&gt;&lt;wsp:rsid wsp:val=&quot;00466FED&quot;/&gt;&lt;wsp:rsid wsp:val=&quot;004675D1&quot;/&gt;&lt;wsp:rsid wsp:val=&quot;00470529&quot;/&gt;&lt;wsp:rsid wsp:val=&quot;00470E29&quot;/&gt;&lt;wsp:rsid wsp:val=&quot;00471D36&quot;/&gt;&lt;wsp:rsid wsp:val=&quot;00471FF3&quot;/&gt;&lt;wsp:rsid wsp:val=&quot;00472C20&quot;/&gt;&lt;wsp:rsid wsp:val=&quot;00472CE5&quot;/&gt;&lt;wsp:rsid wsp:val=&quot;00472DBA&quot;/&gt;&lt;wsp:rsid wsp:val=&quot;00473062&quot;/&gt;&lt;wsp:rsid wsp:val=&quot;00473A88&quot;/&gt;&lt;wsp:rsid wsp:val=&quot;00474123&quot;/&gt;&lt;wsp:rsid wsp:val=&quot;00474764&quot;/&gt;&lt;wsp:rsid wsp:val=&quot;00474EB5&quot;/&gt;&lt;wsp:rsid wsp:val=&quot;0047548E&quot;/&gt;&lt;wsp:rsid wsp:val=&quot;00475B88&quot;/&gt;&lt;wsp:rsid wsp:val=&quot;00475DD1&quot;/&gt;&lt;wsp:rsid wsp:val=&quot;0047652D&quot;/&gt;&lt;wsp:rsid wsp:val=&quot;004770A7&quot;/&gt;&lt;wsp:rsid wsp:val=&quot;004778AB&quot;/&gt;&lt;wsp:rsid wsp:val=&quot;004801D9&quot;/&gt;&lt;wsp:rsid wsp:val=&quot;00480B51&quot;/&gt;&lt;wsp:rsid wsp:val=&quot;00480EF1&quot;/&gt;&lt;wsp:rsid wsp:val=&quot;0048186F&quot;/&gt;&lt;wsp:rsid wsp:val=&quot;00482571&quot;/&gt;&lt;wsp:rsid wsp:val=&quot;004827A5&quot;/&gt;&lt;wsp:rsid wsp:val=&quot;004830F7&quot;/&gt;&lt;wsp:rsid wsp:val=&quot;00483129&quot;/&gt;&lt;wsp:rsid wsp:val=&quot;004837FB&quot;/&gt;&lt;wsp:rsid wsp:val=&quot;00483B5C&quot;/&gt;&lt;wsp:rsid wsp:val=&quot;004847AF&quot;/&gt;&lt;wsp:rsid wsp:val=&quot;004848A9&quot;/&gt;&lt;wsp:rsid wsp:val=&quot;00485447&quot;/&gt;&lt;wsp:rsid wsp:val=&quot;00485547&quot;/&gt;&lt;wsp:rsid wsp:val=&quot;00485B4A&quot;/&gt;&lt;wsp:rsid wsp:val=&quot;00485D94&quot;/&gt;&lt;wsp:rsid wsp:val=&quot;00486410&quot;/&gt;&lt;wsp:rsid wsp:val=&quot;00486524&quot;/&gt;&lt;wsp:rsid wsp:val=&quot;00486AB8&quot;/&gt;&lt;wsp:rsid wsp:val=&quot;00486DEE&quot;/&gt;&lt;wsp:rsid wsp:val=&quot;004875B5&quot;/&gt;&lt;wsp:rsid wsp:val=&quot;00487FC0&quot;/&gt;&lt;wsp:rsid wsp:val=&quot;004910BC&quot;/&gt;&lt;wsp:rsid wsp:val=&quot;0049135A&quot;/&gt;&lt;wsp:rsid wsp:val=&quot;0049193A&quot;/&gt;&lt;wsp:rsid wsp:val=&quot;00491C2D&quot;/&gt;&lt;wsp:rsid wsp:val=&quot;00491F51&quot;/&gt;&lt;wsp:rsid wsp:val=&quot;00492262&quot;/&gt;&lt;wsp:rsid wsp:val=&quot;00493011&quot;/&gt;&lt;wsp:rsid wsp:val=&quot;00493687&quot;/&gt;&lt;wsp:rsid wsp:val=&quot;004944FF&quot;/&gt;&lt;wsp:rsid wsp:val=&quot;00494555&quot;/&gt;&lt;wsp:rsid wsp:val=&quot;004948AC&quot;/&gt;&lt;wsp:rsid wsp:val=&quot;00494C2B&quot;/&gt;&lt;wsp:rsid wsp:val=&quot;00496307&quot;/&gt;&lt;wsp:rsid wsp:val=&quot;0049699B&quot;/&gt;&lt;wsp:rsid wsp:val=&quot;00497F64&quot;/&gt;&lt;wsp:rsid wsp:val=&quot;004A0715&quot;/&gt;&lt;wsp:rsid wsp:val=&quot;004A1DFB&quot;/&gt;&lt;wsp:rsid wsp:val=&quot;004A230F&quot;/&gt;&lt;wsp:rsid wsp:val=&quot;004A283B&quot;/&gt;&lt;wsp:rsid wsp:val=&quot;004A2CD1&quot;/&gt;&lt;wsp:rsid wsp:val=&quot;004A406D&quot;/&gt;&lt;wsp:rsid wsp:val=&quot;004A4E20&quot;/&gt;&lt;wsp:rsid wsp:val=&quot;004A517E&quot;/&gt;&lt;wsp:rsid wsp:val=&quot;004A5747&quot;/&gt;&lt;wsp:rsid wsp:val=&quot;004A7DFA&quot;/&gt;&lt;wsp:rsid wsp:val=&quot;004B0CAF&quot;/&gt;&lt;wsp:rsid wsp:val=&quot;004B173D&quot;/&gt;&lt;wsp:rsid wsp:val=&quot;004B1F2D&quot;/&gt;&lt;wsp:rsid wsp:val=&quot;004B26BF&quot;/&gt;&lt;wsp:rsid wsp:val=&quot;004B2D3A&quot;/&gt;&lt;wsp:rsid wsp:val=&quot;004B32AF&quot;/&gt;&lt;wsp:rsid wsp:val=&quot;004B3CEB&quot;/&gt;&lt;wsp:rsid wsp:val=&quot;004B41C4&quot;/&gt;&lt;wsp:rsid wsp:val=&quot;004B46D5&quot;/&gt;&lt;wsp:rsid wsp:val=&quot;004B4D63&quot;/&gt;&lt;wsp:rsid wsp:val=&quot;004B520B&quot;/&gt;&lt;wsp:rsid wsp:val=&quot;004B55F0&quot;/&gt;&lt;wsp:rsid wsp:val=&quot;004B5E43&quot;/&gt;&lt;wsp:rsid wsp:val=&quot;004B6371&quot;/&gt;&lt;wsp:rsid wsp:val=&quot;004B638D&quot;/&gt;&lt;wsp:rsid wsp:val=&quot;004B67FA&quot;/&gt;&lt;wsp:rsid wsp:val=&quot;004B777A&quot;/&gt;&lt;wsp:rsid wsp:val=&quot;004B7BD0&quot;/&gt;&lt;wsp:rsid wsp:val=&quot;004C00AA&quot;/&gt;&lt;wsp:rsid wsp:val=&quot;004C01D2&quot;/&gt;&lt;wsp:rsid wsp:val=&quot;004C096F&quot;/&gt;&lt;wsp:rsid wsp:val=&quot;004C0C5D&quot;/&gt;&lt;wsp:rsid wsp:val=&quot;004C0D35&quot;/&gt;&lt;wsp:rsid wsp:val=&quot;004C1255&quot;/&gt;&lt;wsp:rsid wsp:val=&quot;004C2429&quot;/&gt;&lt;wsp:rsid wsp:val=&quot;004C29A7&quot;/&gt;&lt;wsp:rsid wsp:val=&quot;004C36FA&quot;/&gt;&lt;wsp:rsid wsp:val=&quot;004C4A20&quot;/&gt;&lt;wsp:rsid wsp:val=&quot;004C7288&quot;/&gt;&lt;wsp:rsid wsp:val=&quot;004C7DB4&quot;/&gt;&lt;wsp:rsid wsp:val=&quot;004C7E29&quot;/&gt;&lt;wsp:rsid wsp:val=&quot;004D1A77&quot;/&gt;&lt;wsp:rsid wsp:val=&quot;004D1A8E&quot;/&gt;&lt;wsp:rsid wsp:val=&quot;004D28A4&quot;/&gt;&lt;wsp:rsid wsp:val=&quot;004D3304&quot;/&gt;&lt;wsp:rsid wsp:val=&quot;004D3533&quot;/&gt;&lt;wsp:rsid wsp:val=&quot;004D494F&quot;/&gt;&lt;wsp:rsid wsp:val=&quot;004D4979&quot;/&gt;&lt;wsp:rsid wsp:val=&quot;004D4A44&quot;/&gt;&lt;wsp:rsid wsp:val=&quot;004D5885&quot;/&gt;&lt;wsp:rsid wsp:val=&quot;004D59D9&quot;/&gt;&lt;wsp:rsid wsp:val=&quot;004D5F59&quot;/&gt;&lt;wsp:rsid wsp:val=&quot;004D708B&quot;/&gt;&lt;wsp:rsid wsp:val=&quot;004D74F4&quot;/&gt;&lt;wsp:rsid wsp:val=&quot;004D7CE6&quot;/&gt;&lt;wsp:rsid wsp:val=&quot;004E0391&quot;/&gt;&lt;wsp:rsid wsp:val=&quot;004E2243&quot;/&gt;&lt;wsp:rsid wsp:val=&quot;004E2611&quot;/&gt;&lt;wsp:rsid wsp:val=&quot;004E2AF7&quot;/&gt;&lt;wsp:rsid wsp:val=&quot;004E2CDF&quot;/&gt;&lt;wsp:rsid wsp:val=&quot;004E3C44&quot;/&gt;&lt;wsp:rsid wsp:val=&quot;004E46C5&quot;/&gt;&lt;wsp:rsid wsp:val=&quot;004E505E&quot;/&gt;&lt;wsp:rsid wsp:val=&quot;004F07C2&quot;/&gt;&lt;wsp:rsid wsp:val=&quot;004F0DAF&quot;/&gt;&lt;wsp:rsid wsp:val=&quot;004F0FCF&quot;/&gt;&lt;wsp:rsid wsp:val=&quot;004F11E6&quot;/&gt;&lt;wsp:rsid wsp:val=&quot;004F1627&quot;/&gt;&lt;wsp:rsid wsp:val=&quot;004F280C&quot;/&gt;&lt;wsp:rsid wsp:val=&quot;004F2816&quot;/&gt;&lt;wsp:rsid wsp:val=&quot;004F2829&quot;/&gt;&lt;wsp:rsid wsp:val=&quot;004F2D6D&quot;/&gt;&lt;wsp:rsid wsp:val=&quot;004F32FC&quot;/&gt;&lt;wsp:rsid wsp:val=&quot;004F33F8&quot;/&gt;&lt;wsp:rsid wsp:val=&quot;004F354B&quot;/&gt;&lt;wsp:rsid wsp:val=&quot;004F3AC8&quot;/&gt;&lt;wsp:rsid wsp:val=&quot;004F424D&quot;/&gt;&lt;wsp:rsid wsp:val=&quot;004F4317&quot;/&gt;&lt;wsp:rsid wsp:val=&quot;004F582D&quot;/&gt;&lt;wsp:rsid wsp:val=&quot;004F586F&quot;/&gt;&lt;wsp:rsid wsp:val=&quot;004F5A51&quot;/&gt;&lt;wsp:rsid wsp:val=&quot;004F6779&quot;/&gt;&lt;wsp:rsid wsp:val=&quot;004F67F4&quot;/&gt;&lt;wsp:rsid wsp:val=&quot;004F6D23&quot;/&gt;&lt;wsp:rsid wsp:val=&quot;004F7263&quot;/&gt;&lt;wsp:rsid wsp:val=&quot;004F78A8&quot;/&gt;&lt;wsp:rsid wsp:val=&quot;0050054E&quot;/&gt;&lt;wsp:rsid wsp:val=&quot;0050064D&quot;/&gt;&lt;wsp:rsid wsp:val=&quot;0050086F&quot;/&gt;&lt;wsp:rsid wsp:val=&quot;00500E8D&quot;/&gt;&lt;wsp:rsid wsp:val=&quot;00500EF4&quot;/&gt;&lt;wsp:rsid wsp:val=&quot;0050125F&quot;/&gt;&lt;wsp:rsid wsp:val=&quot;005012B6&quot;/&gt;&lt;wsp:rsid wsp:val=&quot;00502991&quot;/&gt;&lt;wsp:rsid wsp:val=&quot;00502F0C&quot;/&gt;&lt;wsp:rsid wsp:val=&quot;0050727C&quot;/&gt;&lt;wsp:rsid wsp:val=&quot;005072F1&quot;/&gt;&lt;wsp:rsid wsp:val=&quot;00507DDB&quot;/&gt;&lt;wsp:rsid wsp:val=&quot;00510EBF&quot;/&gt;&lt;wsp:rsid wsp:val=&quot;00511523&quot;/&gt;&lt;wsp:rsid wsp:val=&quot;005117D0&quot;/&gt;&lt;wsp:rsid wsp:val=&quot;005129D7&quot;/&gt;&lt;wsp:rsid wsp:val=&quot;00512A30&quot;/&gt;&lt;wsp:rsid wsp:val=&quot;00512DA5&quot;/&gt;&lt;wsp:rsid wsp:val=&quot;00512F5D&quot;/&gt;&lt;wsp:rsid wsp:val=&quot;00513878&quot;/&gt;&lt;wsp:rsid wsp:val=&quot;00514541&quot;/&gt;&lt;wsp:rsid wsp:val=&quot;005153BC&quot;/&gt;&lt;wsp:rsid wsp:val=&quot;005156A5&quot;/&gt;&lt;wsp:rsid wsp:val=&quot;00516706&quot;/&gt;&lt;wsp:rsid wsp:val=&quot;0051670F&quot;/&gt;&lt;wsp:rsid wsp:val=&quot;005169B5&quot;/&gt;&lt;wsp:rsid wsp:val=&quot;00516ABC&quot;/&gt;&lt;wsp:rsid wsp:val=&quot;00517AF4&quot;/&gt;&lt;wsp:rsid wsp:val=&quot;00517F8A&quot;/&gt;&lt;wsp:rsid wsp:val=&quot;005203E0&quot;/&gt;&lt;wsp:rsid wsp:val=&quot;005211C4&quot;/&gt;&lt;wsp:rsid wsp:val=&quot;0052132E&quot;/&gt;&lt;wsp:rsid wsp:val=&quot;00522149&quot;/&gt;&lt;wsp:rsid wsp:val=&quot;005223A4&quot;/&gt;&lt;wsp:rsid wsp:val=&quot;00522E0A&quot;/&gt;&lt;wsp:rsid wsp:val=&quot;00523807&quot;/&gt;&lt;wsp:rsid wsp:val=&quot;005238D6&quot;/&gt;&lt;wsp:rsid wsp:val=&quot;005241AD&quot;/&gt;&lt;wsp:rsid wsp:val=&quot;00524970&quot;/&gt;&lt;wsp:rsid wsp:val=&quot;00524A94&quot;/&gt;&lt;wsp:rsid wsp:val=&quot;00524B15&quot;/&gt;&lt;wsp:rsid wsp:val=&quot;00525DF1&quot;/&gt;&lt;wsp:rsid wsp:val=&quot;0052616F&quot;/&gt;&lt;wsp:rsid wsp:val=&quot;0052619C&quot;/&gt;&lt;wsp:rsid wsp:val=&quot;005263CF&quot;/&gt;&lt;wsp:rsid wsp:val=&quot;0052681E&quot;/&gt;&lt;wsp:rsid wsp:val=&quot;00526FA7&quot;/&gt;&lt;wsp:rsid wsp:val=&quot;00527943&quot;/&gt;&lt;wsp:rsid wsp:val=&quot;005304D4&quot;/&gt;&lt;wsp:rsid wsp:val=&quot;00530901&quot;/&gt;&lt;wsp:rsid wsp:val=&quot;00531DBC&quot;/&gt;&lt;wsp:rsid wsp:val=&quot;00532BC2&quot;/&gt;&lt;wsp:rsid wsp:val=&quot;00533454&quot;/&gt;&lt;wsp:rsid wsp:val=&quot;00533A07&quot;/&gt;&lt;wsp:rsid wsp:val=&quot;00533DFF&quot;/&gt;&lt;wsp:rsid wsp:val=&quot;00533E76&quot;/&gt;&lt;wsp:rsid wsp:val=&quot;005359EF&quot;/&gt;&lt;wsp:rsid wsp:val=&quot;0053602B&quot;/&gt;&lt;wsp:rsid wsp:val=&quot;005366C1&quot;/&gt;&lt;wsp:rsid wsp:val=&quot;00536FBE&quot;/&gt;&lt;wsp:rsid wsp:val=&quot;00537111&quot;/&gt;&lt;wsp:rsid wsp:val=&quot;00537DA0&quot;/&gt;&lt;wsp:rsid wsp:val=&quot;00540C7B&quot;/&gt;&lt;wsp:rsid wsp:val=&quot;00540CE0&quot;/&gt;&lt;wsp:rsid wsp:val=&quot;00541921&quot;/&gt;&lt;wsp:rsid wsp:val=&quot;005427EF&quot;/&gt;&lt;wsp:rsid wsp:val=&quot;00543D01&quot;/&gt;&lt;wsp:rsid wsp:val=&quot;00543DB5&quot;/&gt;&lt;wsp:rsid wsp:val=&quot;00543F5F&quot;/&gt;&lt;wsp:rsid wsp:val=&quot;005448DE&quot;/&gt;&lt;wsp:rsid wsp:val=&quot;00544C87&quot;/&gt;&lt;wsp:rsid wsp:val=&quot;00545246&quot;/&gt;&lt;wsp:rsid wsp:val=&quot;005456AA&quot;/&gt;&lt;wsp:rsid wsp:val=&quot;00545A66&quot;/&gt;&lt;wsp:rsid wsp:val=&quot;00546628&quot;/&gt;&lt;wsp:rsid wsp:val=&quot;0054722A&quot;/&gt;&lt;wsp:rsid wsp:val=&quot;005478CC&quot;/&gt;&lt;wsp:rsid wsp:val=&quot;0055052A&quot;/&gt;&lt;wsp:rsid wsp:val=&quot;00551AB2&quot;/&gt;&lt;wsp:rsid wsp:val=&quot;00552F79&quot;/&gt;&lt;wsp:rsid wsp:val=&quot;0055337F&quot;/&gt;&lt;wsp:rsid wsp:val=&quot;00553C5A&quot;/&gt;&lt;wsp:rsid wsp:val=&quot;00554215&quot;/&gt;&lt;wsp:rsid wsp:val=&quot;005547EC&quot;/&gt;&lt;wsp:rsid wsp:val=&quot;00554923&quot;/&gt;&lt;wsp:rsid wsp:val=&quot;00554B44&quot;/&gt;&lt;wsp:rsid wsp:val=&quot;00554CFB&quot;/&gt;&lt;wsp:rsid wsp:val=&quot;00555FC9&quot;/&gt;&lt;wsp:rsid wsp:val=&quot;005562AB&quot;/&gt;&lt;wsp:rsid wsp:val=&quot;00560437&quot;/&gt;&lt;wsp:rsid wsp:val=&quot;005607FF&quot;/&gt;&lt;wsp:rsid wsp:val=&quot;00560D81&quot;/&gt;&lt;wsp:rsid wsp:val=&quot;0056188B&quot;/&gt;&lt;wsp:rsid wsp:val=&quot;00562504&quot;/&gt;&lt;wsp:rsid wsp:val=&quot;00562543&quot;/&gt;&lt;wsp:rsid wsp:val=&quot;005629C8&quot;/&gt;&lt;wsp:rsid wsp:val=&quot;00563434&quot;/&gt;&lt;wsp:rsid wsp:val=&quot;00563575&quot;/&gt;&lt;wsp:rsid wsp:val=&quot;0056430B&quot;/&gt;&lt;wsp:rsid wsp:val=&quot;00564310&quot;/&gt;&lt;wsp:rsid wsp:val=&quot;00564BD4&quot;/&gt;&lt;wsp:rsid wsp:val=&quot;005651F6&quot;/&gt;&lt;wsp:rsid wsp:val=&quot;00565D5F&quot;/&gt;&lt;wsp:rsid wsp:val=&quot;00565F60&quot;/&gt;&lt;wsp:rsid wsp:val=&quot;005675A4&quot;/&gt;&lt;wsp:rsid wsp:val=&quot;005676DF&quot;/&gt;&lt;wsp:rsid wsp:val=&quot;005701BF&quot;/&gt;&lt;wsp:rsid wsp:val=&quot;00571FFB&quot;/&gt;&lt;wsp:rsid wsp:val=&quot;00572813&quot;/&gt;&lt;wsp:rsid wsp:val=&quot;00572AA6&quot;/&gt;&lt;wsp:rsid wsp:val=&quot;00572CCE&quot;/&gt;&lt;wsp:rsid wsp:val=&quot;005730E9&quot;/&gt;&lt;wsp:rsid wsp:val=&quot;005733A8&quot;/&gt;&lt;wsp:rsid wsp:val=&quot;005738B6&quot;/&gt;&lt;wsp:rsid wsp:val=&quot;00573E2D&quot;/&gt;&lt;wsp:rsid wsp:val=&quot;00573F65&quot;/&gt;&lt;wsp:rsid wsp:val=&quot;005741E5&quot;/&gt;&lt;wsp:rsid wsp:val=&quot;005745E9&quot;/&gt;&lt;wsp:rsid wsp:val=&quot;005747CB&quot;/&gt;&lt;wsp:rsid wsp:val=&quot;00574ADF&quot;/&gt;&lt;wsp:rsid wsp:val=&quot;0057593C&quot;/&gt;&lt;wsp:rsid wsp:val=&quot;00576B23&quot;/&gt;&lt;wsp:rsid wsp:val=&quot;00577563&quot;/&gt;&lt;wsp:rsid wsp:val=&quot;00577D3F&quot;/&gt;&lt;wsp:rsid wsp:val=&quot;0058099C&quot;/&gt;&lt;wsp:rsid wsp:val=&quot;00581022&quot;/&gt;&lt;wsp:rsid wsp:val=&quot;005823F7&quot;/&gt;&lt;wsp:rsid wsp:val=&quot;00582679&quot;/&gt;&lt;wsp:rsid wsp:val=&quot;00582932&quot;/&gt;&lt;wsp:rsid wsp:val=&quot;00582F0A&quot;/&gt;&lt;wsp:rsid wsp:val=&quot;00583223&quot;/&gt;&lt;wsp:rsid wsp:val=&quot;00584982&quot;/&gt;&lt;wsp:rsid wsp:val=&quot;005862C9&quot;/&gt;&lt;wsp:rsid wsp:val=&quot;0058661D&quot;/&gt;&lt;wsp:rsid wsp:val=&quot;00586CCC&quot;/&gt;&lt;wsp:rsid wsp:val=&quot;00587709&quot;/&gt;&lt;wsp:rsid wsp:val=&quot;00587CDA&quot;/&gt;&lt;wsp:rsid wsp:val=&quot;00590589&quot;/&gt;&lt;wsp:rsid wsp:val=&quot;00591211&quot;/&gt;&lt;wsp:rsid wsp:val=&quot;00591401&quot;/&gt;&lt;wsp:rsid wsp:val=&quot;005917EB&quot;/&gt;&lt;wsp:rsid wsp:val=&quot;0059264C&quot;/&gt;&lt;wsp:rsid wsp:val=&quot;00593E37&quot;/&gt;&lt;wsp:rsid wsp:val=&quot;0059404B&quot;/&gt;&lt;wsp:rsid wsp:val=&quot;00594094&quot;/&gt;&lt;wsp:rsid wsp:val=&quot;0059440C&quot;/&gt;&lt;wsp:rsid wsp:val=&quot;005950D1&quot;/&gt;&lt;wsp:rsid wsp:val=&quot;00595BB8&quot;/&gt;&lt;wsp:rsid wsp:val=&quot;00595FC4&quot;/&gt;&lt;wsp:rsid wsp:val=&quot;00596E4C&quot;/&gt;&lt;wsp:rsid wsp:val=&quot;00596FA7&quot;/&gt;&lt;wsp:rsid wsp:val=&quot;005A00AE&quot;/&gt;&lt;wsp:rsid wsp:val=&quot;005A07F8&quot;/&gt;&lt;wsp:rsid wsp:val=&quot;005A0B04&quot;/&gt;&lt;wsp:rsid wsp:val=&quot;005A0E12&quot;/&gt;&lt;wsp:rsid wsp:val=&quot;005A19AD&quot;/&gt;&lt;wsp:rsid wsp:val=&quot;005A202C&quot;/&gt;&lt;wsp:rsid wsp:val=&quot;005A2A4B&quot;/&gt;&lt;wsp:rsid wsp:val=&quot;005A30F6&quot;/&gt;&lt;wsp:rsid wsp:val=&quot;005A3575&quot;/&gt;&lt;wsp:rsid wsp:val=&quot;005A3762&quot;/&gt;&lt;wsp:rsid wsp:val=&quot;005A39E6&quot;/&gt;&lt;wsp:rsid wsp:val=&quot;005A46F1&quot;/&gt;&lt;wsp:rsid wsp:val=&quot;005A4789&quot;/&gt;&lt;wsp:rsid wsp:val=&quot;005A4793&quot;/&gt;&lt;wsp:rsid wsp:val=&quot;005A59AA&quot;/&gt;&lt;wsp:rsid wsp:val=&quot;005A6994&quot;/&gt;&lt;wsp:rsid wsp:val=&quot;005A6AC5&quot;/&gt;&lt;wsp:rsid wsp:val=&quot;005A7081&quot;/&gt;&lt;wsp:rsid wsp:val=&quot;005A737F&quot;/&gt;&lt;wsp:rsid wsp:val=&quot;005A7B6F&quot;/&gt;&lt;wsp:rsid wsp:val=&quot;005B0185&quot;/&gt;&lt;wsp:rsid wsp:val=&quot;005B0529&quot;/&gt;&lt;wsp:rsid wsp:val=&quot;005B0B6D&quot;/&gt;&lt;wsp:rsid wsp:val=&quot;005B0E9E&quot;/&gt;&lt;wsp:rsid wsp:val=&quot;005B1147&quot;/&gt;&lt;wsp:rsid wsp:val=&quot;005B12C9&quot;/&gt;&lt;wsp:rsid wsp:val=&quot;005B173C&quot;/&gt;&lt;wsp:rsid wsp:val=&quot;005B2313&quot;/&gt;&lt;wsp:rsid wsp:val=&quot;005B33E4&quot;/&gt;&lt;wsp:rsid wsp:val=&quot;005B34BE&quot;/&gt;&lt;wsp:rsid wsp:val=&quot;005B35C0&quot;/&gt;&lt;wsp:rsid wsp:val=&quot;005B3BA9&quot;/&gt;&lt;wsp:rsid wsp:val=&quot;005B4130&quot;/&gt;&lt;wsp:rsid wsp:val=&quot;005B4835&quot;/&gt;&lt;wsp:rsid wsp:val=&quot;005B661F&quot;/&gt;&lt;wsp:rsid wsp:val=&quot;005B6704&quot;/&gt;&lt;wsp:rsid wsp:val=&quot;005B7695&quot;/&gt;&lt;wsp:rsid wsp:val=&quot;005B7A6F&quot;/&gt;&lt;wsp:rsid wsp:val=&quot;005B7A89&quot;/&gt;&lt;wsp:rsid wsp:val=&quot;005C01FE&quot;/&gt;&lt;wsp:rsid wsp:val=&quot;005C0C09&quot;/&gt;&lt;wsp:rsid wsp:val=&quot;005C0C22&quot;/&gt;&lt;wsp:rsid wsp:val=&quot;005C19D3&quot;/&gt;&lt;wsp:rsid wsp:val=&quot;005C1C52&quot;/&gt;&lt;wsp:rsid wsp:val=&quot;005C38BB&quot;/&gt;&lt;wsp:rsid wsp:val=&quot;005C3E61&quot;/&gt;&lt;wsp:rsid wsp:val=&quot;005C411E&quot;/&gt;&lt;wsp:rsid wsp:val=&quot;005C4CAC&quot;/&gt;&lt;wsp:rsid wsp:val=&quot;005C4D9B&quot;/&gt;&lt;wsp:rsid wsp:val=&quot;005C505A&quot;/&gt;&lt;wsp:rsid wsp:val=&quot;005C59B4&quot;/&gt;&lt;wsp:rsid wsp:val=&quot;005C6EBA&quot;/&gt;&lt;wsp:rsid wsp:val=&quot;005C74BA&quot;/&gt;&lt;wsp:rsid wsp:val=&quot;005C782D&quot;/&gt;&lt;wsp:rsid wsp:val=&quot;005C7BFA&quot;/&gt;&lt;wsp:rsid wsp:val=&quot;005D05A2&quot;/&gt;&lt;wsp:rsid wsp:val=&quot;005D0812&quot;/&gt;&lt;wsp:rsid wsp:val=&quot;005D08E8&quot;/&gt;&lt;wsp:rsid wsp:val=&quot;005D2132&quot;/&gt;&lt;wsp:rsid wsp:val=&quot;005D28AC&quot;/&gt;&lt;wsp:rsid wsp:val=&quot;005D2D54&quot;/&gt;&lt;wsp:rsid wsp:val=&quot;005D3027&quot;/&gt;&lt;wsp:rsid wsp:val=&quot;005D3173&quot;/&gt;&lt;wsp:rsid wsp:val=&quot;005D384A&quot;/&gt;&lt;wsp:rsid wsp:val=&quot;005D3948&quot;/&gt;&lt;wsp:rsid wsp:val=&quot;005D3D74&quot;/&gt;&lt;wsp:rsid wsp:val=&quot;005D41E4&quot;/&gt;&lt;wsp:rsid wsp:val=&quot;005D5239&quot;/&gt;&lt;wsp:rsid wsp:val=&quot;005D54C6&quot;/&gt;&lt;wsp:rsid wsp:val=&quot;005D5BD6&quot;/&gt;&lt;wsp:rsid wsp:val=&quot;005D6D09&quot;/&gt;&lt;wsp:rsid wsp:val=&quot;005D752E&quot;/&gt;&lt;wsp:rsid wsp:val=&quot;005D78CE&quot;/&gt;&lt;wsp:rsid wsp:val=&quot;005E00DA&quot;/&gt;&lt;wsp:rsid wsp:val=&quot;005E01E5&quot;/&gt;&lt;wsp:rsid wsp:val=&quot;005E01F7&quot;/&gt;&lt;wsp:rsid wsp:val=&quot;005E0C64&quot;/&gt;&lt;wsp:rsid wsp:val=&quot;005E12D7&quot;/&gt;&lt;wsp:rsid wsp:val=&quot;005E136A&quot;/&gt;&lt;wsp:rsid wsp:val=&quot;005E2472&quot;/&gt;&lt;wsp:rsid wsp:val=&quot;005E2C7B&quot;/&gt;&lt;wsp:rsid wsp:val=&quot;005E2FC3&quot;/&gt;&lt;wsp:rsid wsp:val=&quot;005E3084&quot;/&gt;&lt;wsp:rsid wsp:val=&quot;005E37EB&quot;/&gt;&lt;wsp:rsid wsp:val=&quot;005E38AC&quot;/&gt;&lt;wsp:rsid wsp:val=&quot;005E3B45&quot;/&gt;&lt;wsp:rsid wsp:val=&quot;005E4D85&quot;/&gt;&lt;wsp:rsid wsp:val=&quot;005E53B6&quot;/&gt;&lt;wsp:rsid wsp:val=&quot;005E54B5&quot;/&gt;&lt;wsp:rsid wsp:val=&quot;005E567D&quot;/&gt;&lt;wsp:rsid wsp:val=&quot;005E68B1&quot;/&gt;&lt;wsp:rsid wsp:val=&quot;005E7FFA&quot;/&gt;&lt;wsp:rsid wsp:val=&quot;005F00AF&quot;/&gt;&lt;wsp:rsid wsp:val=&quot;005F02B7&quot;/&gt;&lt;wsp:rsid wsp:val=&quot;005F0639&quot;/&gt;&lt;wsp:rsid wsp:val=&quot;005F09DD&quot;/&gt;&lt;wsp:rsid wsp:val=&quot;005F1345&quot;/&gt;&lt;wsp:rsid wsp:val=&quot;005F139D&quot;/&gt;&lt;wsp:rsid wsp:val=&quot;005F2AF6&quot;/&gt;&lt;wsp:rsid wsp:val=&quot;005F4ECE&quot;/&gt;&lt;wsp:rsid wsp:val=&quot;005F5E4D&quot;/&gt;&lt;wsp:rsid wsp:val=&quot;005F5F9C&quot;/&gt;&lt;wsp:rsid wsp:val=&quot;005F60D2&quot;/&gt;&lt;wsp:rsid wsp:val=&quot;005F6AC1&quot;/&gt;&lt;wsp:rsid wsp:val=&quot;005F739C&quot;/&gt;&lt;wsp:rsid wsp:val=&quot;005F7967&quot;/&gt;&lt;wsp:rsid wsp:val=&quot;006012DD&quot;/&gt;&lt;wsp:rsid wsp:val=&quot;00601800&quot;/&gt;&lt;wsp:rsid wsp:val=&quot;00602044&quot;/&gt;&lt;wsp:rsid wsp:val=&quot;00602A8B&quot;/&gt;&lt;wsp:rsid wsp:val=&quot;00602C67&quot;/&gt;&lt;wsp:rsid wsp:val=&quot;0060344B&quot;/&gt;&lt;wsp:rsid wsp:val=&quot;006046A9&quot;/&gt;&lt;wsp:rsid wsp:val=&quot;006047EC&quot;/&gt;&lt;wsp:rsid wsp:val=&quot;0060488A&quot;/&gt;&lt;wsp:rsid wsp:val=&quot;00604A99&quot;/&gt;&lt;wsp:rsid wsp:val=&quot;00605DCD&quot;/&gt;&lt;wsp:rsid wsp:val=&quot;00606697&quot;/&gt;&lt;wsp:rsid wsp:val=&quot;0060797C&quot;/&gt;&lt;wsp:rsid wsp:val=&quot;00610AEC&quot;/&gt;&lt;wsp:rsid wsp:val=&quot;006113F4&quot;/&gt;&lt;wsp:rsid wsp:val=&quot;006133E1&quot;/&gt;&lt;wsp:rsid wsp:val=&quot;00613BC5&quot;/&gt;&lt;wsp:rsid wsp:val=&quot;00613BD6&quot;/&gt;&lt;wsp:rsid wsp:val=&quot;00613BF9&quot;/&gt;&lt;wsp:rsid wsp:val=&quot;00614D68&quot;/&gt;&lt;wsp:rsid wsp:val=&quot;00614F0E&quot;/&gt;&lt;wsp:rsid wsp:val=&quot;00615C71&quot;/&gt;&lt;wsp:rsid wsp:val=&quot;00615E3E&quot;/&gt;&lt;wsp:rsid wsp:val=&quot;006163EF&quot;/&gt;&lt;wsp:rsid wsp:val=&quot;00616865&quot;/&gt;&lt;wsp:rsid wsp:val=&quot;00617059&quot;/&gt;&lt;wsp:rsid wsp:val=&quot;00617791&quot;/&gt;&lt;wsp:rsid wsp:val=&quot;006204C8&quot;/&gt;&lt;wsp:rsid wsp:val=&quot;00620E74&quot;/&gt;&lt;wsp:rsid wsp:val=&quot;00620FED&quot;/&gt;&lt;wsp:rsid wsp:val=&quot;006221DE&quot;/&gt;&lt;wsp:rsid wsp:val=&quot;006226F5&quot;/&gt;&lt;wsp:rsid wsp:val=&quot;006229F8&quot;/&gt;&lt;wsp:rsid wsp:val=&quot;00622D88&quot;/&gt;&lt;wsp:rsid wsp:val=&quot;006232C9&quot;/&gt;&lt;wsp:rsid wsp:val=&quot;0062362F&quot;/&gt;&lt;wsp:rsid wsp:val=&quot;006239EB&quot;/&gt;&lt;wsp:rsid wsp:val=&quot;00624655&quot;/&gt;&lt;wsp:rsid wsp:val=&quot;00624A52&quot;/&gt;&lt;wsp:rsid wsp:val=&quot;0062534E&quot;/&gt;&lt;wsp:rsid wsp:val=&quot;006256ED&quot;/&gt;&lt;wsp:rsid wsp:val=&quot;0062647C&quot;/&gt;&lt;wsp:rsid wsp:val=&quot;0063135E&quot;/&gt;&lt;wsp:rsid wsp:val=&quot;0063199F&quot;/&gt;&lt;wsp:rsid wsp:val=&quot;00631F37&quot;/&gt;&lt;wsp:rsid wsp:val=&quot;006320AD&quot;/&gt;&lt;wsp:rsid wsp:val=&quot;006320DE&quot;/&gt;&lt;wsp:rsid wsp:val=&quot;006328EF&quot;/&gt;&lt;wsp:rsid wsp:val=&quot;00632CB4&quot;/&gt;&lt;wsp:rsid wsp:val=&quot;00632D8E&quot;/&gt;&lt;wsp:rsid wsp:val=&quot;006345A3&quot;/&gt;&lt;wsp:rsid wsp:val=&quot;00634DC5&quot;/&gt;&lt;wsp:rsid wsp:val=&quot;00635734&quot;/&gt;&lt;wsp:rsid wsp:val=&quot;00635AEB&quot;/&gt;&lt;wsp:rsid wsp:val=&quot;00635BB6&quot;/&gt;&lt;wsp:rsid wsp:val=&quot;00635C2D&quot;/&gt;&lt;wsp:rsid wsp:val=&quot;00636ACC&quot;/&gt;&lt;wsp:rsid wsp:val=&quot;00636B56&quot;/&gt;&lt;wsp:rsid wsp:val=&quot;00637702&quot;/&gt;&lt;wsp:rsid wsp:val=&quot;00637A24&quot;/&gt;&lt;wsp:rsid wsp:val=&quot;00637FAA&quot;/&gt;&lt;wsp:rsid wsp:val=&quot;0064062D&quot;/&gt;&lt;wsp:rsid wsp:val=&quot;006418C4&quot;/&gt;&lt;wsp:rsid wsp:val=&quot;00643A7A&quot;/&gt;&lt;wsp:rsid wsp:val=&quot;00644ACE&quot;/&gt;&lt;wsp:rsid wsp:val=&quot;006453E9&quot;/&gt;&lt;wsp:rsid wsp:val=&quot;006466DF&quot;/&gt;&lt;wsp:rsid wsp:val=&quot;0064684D&quot;/&gt;&lt;wsp:rsid wsp:val=&quot;00646A5D&quot;/&gt;&lt;wsp:rsid wsp:val=&quot;006477D4&quot;/&gt;&lt;wsp:rsid wsp:val=&quot;0065069F&quot;/&gt;&lt;wsp:rsid wsp:val=&quot;00650B82&quot;/&gt;&lt;wsp:rsid wsp:val=&quot;00651654&quot;/&gt;&lt;wsp:rsid wsp:val=&quot;00651900&quot;/&gt;&lt;wsp:rsid wsp:val=&quot;00651D18&quot;/&gt;&lt;wsp:rsid wsp:val=&quot;00651F26&quot;/&gt;&lt;wsp:rsid wsp:val=&quot;00652E1F&quot;/&gt;&lt;wsp:rsid wsp:val=&quot;00652F58&quot;/&gt;&lt;wsp:rsid wsp:val=&quot;0065333B&quot;/&gt;&lt;wsp:rsid wsp:val=&quot;006537EE&quot;/&gt;&lt;wsp:rsid wsp:val=&quot;0065398D&quot;/&gt;&lt;wsp:rsid wsp:val=&quot;00653E88&quot;/&gt;&lt;wsp:rsid wsp:val=&quot;00654859&quot;/&gt;&lt;wsp:rsid wsp:val=&quot;00654CE8&quot;/&gt;&lt;wsp:rsid wsp:val=&quot;00656354&quot;/&gt;&lt;wsp:rsid wsp:val=&quot;00656473&quot;/&gt;&lt;wsp:rsid wsp:val=&quot;00660A0E&quot;/&gt;&lt;wsp:rsid wsp:val=&quot;006610B7&quot;/&gt;&lt;wsp:rsid wsp:val=&quot;0066168B&quot;/&gt;&lt;wsp:rsid wsp:val=&quot;00661776&quot;/&gt;&lt;wsp:rsid wsp:val=&quot;00661C46&quot;/&gt;&lt;wsp:rsid wsp:val=&quot;00662757&quot;/&gt;&lt;wsp:rsid wsp:val=&quot;006633B2&quot;/&gt;&lt;wsp:rsid wsp:val=&quot;00663555&quot;/&gt;&lt;wsp:rsid wsp:val=&quot;00663B36&quot;/&gt;&lt;wsp:rsid wsp:val=&quot;00665022&quot;/&gt;&lt;wsp:rsid wsp:val=&quot;006651C2&quot;/&gt;&lt;wsp:rsid wsp:val=&quot;006656D2&quot;/&gt;&lt;wsp:rsid wsp:val=&quot;00665AD5&quot;/&gt;&lt;wsp:rsid wsp:val=&quot;006661A5&quot;/&gt;&lt;wsp:rsid wsp:val=&quot;00667299&quot;/&gt;&lt;wsp:rsid wsp:val=&quot;00667971&quot;/&gt;&lt;wsp:rsid wsp:val=&quot;00670FC0&quot;/&gt;&lt;wsp:rsid wsp:val=&quot;006717E5&quot;/&gt;&lt;wsp:rsid wsp:val=&quot;00671AA8&quot;/&gt;&lt;wsp:rsid wsp:val=&quot;00671AE1&quot;/&gt;&lt;wsp:rsid wsp:val=&quot;00671B6E&quot;/&gt;&lt;wsp:rsid wsp:val=&quot;00672909&quot;/&gt;&lt;wsp:rsid wsp:val=&quot;00673F39&quot;/&gt;&lt;wsp:rsid wsp:val=&quot;00673F6F&quot;/&gt;&lt;wsp:rsid wsp:val=&quot;0067436C&quot;/&gt;&lt;wsp:rsid wsp:val=&quot;006743CD&quot;/&gt;&lt;wsp:rsid wsp:val=&quot;00674AE4&quot;/&gt;&lt;wsp:rsid wsp:val=&quot;00674E2D&quot;/&gt;&lt;wsp:rsid wsp:val=&quot;0067563D&quot;/&gt;&lt;wsp:rsid wsp:val=&quot;006761E2&quot;/&gt;&lt;wsp:rsid wsp:val=&quot;006766A0&quot;/&gt;&lt;wsp:rsid wsp:val=&quot;00676E61&quot;/&gt;&lt;wsp:rsid wsp:val=&quot;00677591&quot;/&gt;&lt;wsp:rsid wsp:val=&quot;00677686&quot;/&gt;&lt;wsp:rsid wsp:val=&quot;00680F82&quot;/&gt;&lt;wsp:rsid wsp:val=&quot;00681573&quot;/&gt;&lt;wsp:rsid wsp:val=&quot;00681791&quot;/&gt;&lt;wsp:rsid wsp:val=&quot;0068278C&quot;/&gt;&lt;wsp:rsid wsp:val=&quot;0068335F&quot;/&gt;&lt;wsp:rsid wsp:val=&quot;006833BE&quot;/&gt;&lt;wsp:rsid wsp:val=&quot;006837B6&quot;/&gt;&lt;wsp:rsid wsp:val=&quot;00684638&quot;/&gt;&lt;wsp:rsid wsp:val=&quot;00684F85&quot;/&gt;&lt;wsp:rsid wsp:val=&quot;00685A90&quot;/&gt;&lt;wsp:rsid wsp:val=&quot;00686F91&quot;/&gt;&lt;wsp:rsid wsp:val=&quot;006875D6&quot;/&gt;&lt;wsp:rsid wsp:val=&quot;006878AA&quot;/&gt;&lt;wsp:rsid wsp:val=&quot;00687D1F&quot;/&gt;&lt;wsp:rsid wsp:val=&quot;0069070B&quot;/&gt;&lt;wsp:rsid wsp:val=&quot;00692F51&quot;/&gt;&lt;wsp:rsid wsp:val=&quot;006930F5&quot;/&gt;&lt;wsp:rsid wsp:val=&quot;00693918&quot;/&gt;&lt;wsp:rsid wsp:val=&quot;006950D2&quot;/&gt;&lt;wsp:rsid wsp:val=&quot;006959E0&quot;/&gt;&lt;wsp:rsid wsp:val=&quot;00695ACB&quot;/&gt;&lt;wsp:rsid wsp:val=&quot;00695CEB&quot;/&gt;&lt;wsp:rsid wsp:val=&quot;00696290&quot;/&gt;&lt;wsp:rsid wsp:val=&quot;00697FFA&quot;/&gt;&lt;wsp:rsid wsp:val=&quot;006A0B5D&quot;/&gt;&lt;wsp:rsid wsp:val=&quot;006A1B04&quot;/&gt;&lt;wsp:rsid wsp:val=&quot;006A320A&quot;/&gt;&lt;wsp:rsid wsp:val=&quot;006A367A&quot;/&gt;&lt;wsp:rsid wsp:val=&quot;006A666F&quot;/&gt;&lt;wsp:rsid wsp:val=&quot;006A6814&quot;/&gt;&lt;wsp:rsid wsp:val=&quot;006A6907&quot;/&gt;&lt;wsp:rsid wsp:val=&quot;006A6C8A&quot;/&gt;&lt;wsp:rsid wsp:val=&quot;006A7720&quot;/&gt;&lt;wsp:rsid wsp:val=&quot;006A79AA&quot;/&gt;&lt;wsp:rsid wsp:val=&quot;006B0235&quot;/&gt;&lt;wsp:rsid wsp:val=&quot;006B0EFA&quot;/&gt;&lt;wsp:rsid wsp:val=&quot;006B2793&quot;/&gt;&lt;wsp:rsid wsp:val=&quot;006B2F88&quot;/&gt;&lt;wsp:rsid wsp:val=&quot;006B30AC&quot;/&gt;&lt;wsp:rsid wsp:val=&quot;006B4407&quot;/&gt;&lt;wsp:rsid wsp:val=&quot;006B54DE&quot;/&gt;&lt;wsp:rsid wsp:val=&quot;006B6CBA&quot;/&gt;&lt;wsp:rsid wsp:val=&quot;006B70F5&quot;/&gt;&lt;wsp:rsid wsp:val=&quot;006C1530&quot;/&gt;&lt;wsp:rsid wsp:val=&quot;006C17DB&quot;/&gt;&lt;wsp:rsid wsp:val=&quot;006C35C8&quot;/&gt;&lt;wsp:rsid wsp:val=&quot;006C4897&quot;/&gt;&lt;wsp:rsid wsp:val=&quot;006C4E73&quot;/&gt;&lt;wsp:rsid wsp:val=&quot;006C5979&quot;/&gt;&lt;wsp:rsid wsp:val=&quot;006C5E16&quot;/&gt;&lt;wsp:rsid wsp:val=&quot;006C62EE&quot;/&gt;&lt;wsp:rsid wsp:val=&quot;006C63D3&quot;/&gt;&lt;wsp:rsid wsp:val=&quot;006C74E6&quot;/&gt;&lt;wsp:rsid wsp:val=&quot;006D015A&quot;/&gt;&lt;wsp:rsid wsp:val=&quot;006D22BA&quot;/&gt;&lt;wsp:rsid wsp:val=&quot;006D3705&quot;/&gt;&lt;wsp:rsid wsp:val=&quot;006D3EF6&quot;/&gt;&lt;wsp:rsid wsp:val=&quot;006D42D0&quot;/&gt;&lt;wsp:rsid wsp:val=&quot;006D455C&quot;/&gt;&lt;wsp:rsid wsp:val=&quot;006D4DBB&quot;/&gt;&lt;wsp:rsid wsp:val=&quot;006D5440&quot;/&gt;&lt;wsp:rsid wsp:val=&quot;006D54BC&quot;/&gt;&lt;wsp:rsid wsp:val=&quot;006D56BA&quot;/&gt;&lt;wsp:rsid wsp:val=&quot;006D56F1&quot;/&gt;&lt;wsp:rsid wsp:val=&quot;006D5C73&quot;/&gt;&lt;wsp:rsid wsp:val=&quot;006D5FE5&quot;/&gt;&lt;wsp:rsid wsp:val=&quot;006D742F&quot;/&gt;&lt;wsp:rsid wsp:val=&quot;006D7DF4&quot;/&gt;&lt;wsp:rsid wsp:val=&quot;006E0FC8&quot;/&gt;&lt;wsp:rsid wsp:val=&quot;006E11F6&quot;/&gt;&lt;wsp:rsid wsp:val=&quot;006E1D8D&quot;/&gt;&lt;wsp:rsid wsp:val=&quot;006E2444&quot;/&gt;&lt;wsp:rsid wsp:val=&quot;006E25BD&quot;/&gt;&lt;wsp:rsid wsp:val=&quot;006E284A&quot;/&gt;&lt;wsp:rsid wsp:val=&quot;006E2B78&quot;/&gt;&lt;wsp:rsid wsp:val=&quot;006E449F&quot;/&gt;&lt;wsp:rsid wsp:val=&quot;006E6813&quot;/&gt;&lt;wsp:rsid wsp:val=&quot;006E6A5E&quot;/&gt;&lt;wsp:rsid wsp:val=&quot;006E6D74&quot;/&gt;&lt;wsp:rsid wsp:val=&quot;006E760C&quot;/&gt;&lt;wsp:rsid wsp:val=&quot;006E76D2&quot;/&gt;&lt;wsp:rsid wsp:val=&quot;006F045A&quot;/&gt;&lt;wsp:rsid wsp:val=&quot;006F09BF&quot;/&gt;&lt;wsp:rsid wsp:val=&quot;006F14A4&quot;/&gt;&lt;wsp:rsid wsp:val=&quot;006F2388&quot;/&gt;&lt;wsp:rsid wsp:val=&quot;006F33D8&quot;/&gt;&lt;wsp:rsid wsp:val=&quot;006F3F12&quot;/&gt;&lt;wsp:rsid wsp:val=&quot;006F4C83&quot;/&gt;&lt;wsp:rsid wsp:val=&quot;006F518D&quot;/&gt;&lt;wsp:rsid wsp:val=&quot;006F52A4&quot;/&gt;&lt;wsp:rsid wsp:val=&quot;006F55BE&quot;/&gt;&lt;wsp:rsid wsp:val=&quot;006F582A&quot;/&gt;&lt;wsp:rsid wsp:val=&quot;006F5A56&quot;/&gt;&lt;wsp:rsid wsp:val=&quot;006F6D91&quot;/&gt;&lt;wsp:rsid wsp:val=&quot;006F77E8&quot;/&gt;&lt;wsp:rsid wsp:val=&quot;006F7D40&quot;/&gt;&lt;wsp:rsid wsp:val=&quot;0070048A&quot;/&gt;&lt;wsp:rsid wsp:val=&quot;007008BC&quot;/&gt;&lt;wsp:rsid wsp:val=&quot;00700C0C&quot;/&gt;&lt;wsp:rsid wsp:val=&quot;007015FC&quot;/&gt;&lt;wsp:rsid wsp:val=&quot;007028EB&quot;/&gt;&lt;wsp:rsid wsp:val=&quot;00702A88&quot;/&gt;&lt;wsp:rsid wsp:val=&quot;0070386A&quot;/&gt;&lt;wsp:rsid wsp:val=&quot;0070386C&quot;/&gt;&lt;wsp:rsid wsp:val=&quot;00703BF8&quot;/&gt;&lt;wsp:rsid wsp:val=&quot;00703EBC&quot;/&gt;&lt;wsp:rsid wsp:val=&quot;007040FA&quot;/&gt;&lt;wsp:rsid wsp:val=&quot;00706502&quot;/&gt;&lt;wsp:rsid wsp:val=&quot;007067AA&quot;/&gt;&lt;wsp:rsid wsp:val=&quot;00706975&quot;/&gt;&lt;wsp:rsid wsp:val=&quot;00707766&quot;/&gt;&lt;wsp:rsid wsp:val=&quot;00707B02&quot;/&gt;&lt;wsp:rsid wsp:val=&quot;007101BB&quot;/&gt;&lt;wsp:rsid wsp:val=&quot;00710561&quot;/&gt;&lt;wsp:rsid wsp:val=&quot;007107A6&quot;/&gt;&lt;wsp:rsid wsp:val=&quot;00710947&quot;/&gt;&lt;wsp:rsid wsp:val=&quot;007125AA&quot;/&gt;&lt;wsp:rsid wsp:val=&quot;00712F09&quot;/&gt;&lt;wsp:rsid wsp:val=&quot;00713704&quot;/&gt;&lt;wsp:rsid wsp:val=&quot;00713D99&quot;/&gt;&lt;wsp:rsid wsp:val=&quot;00714386&quot;/&gt;&lt;wsp:rsid wsp:val=&quot;007145BB&quot;/&gt;&lt;wsp:rsid wsp:val=&quot;00714E4C&quot;/&gt;&lt;wsp:rsid wsp:val=&quot;00715191&quot;/&gt;&lt;wsp:rsid wsp:val=&quot;007167D3&quot;/&gt;&lt;wsp:rsid wsp:val=&quot;007169D3&quot;/&gt;&lt;wsp:rsid wsp:val=&quot;007172BF&quot;/&gt;&lt;wsp:rsid wsp:val=&quot;00717529&quot;/&gt;&lt;wsp:rsid wsp:val=&quot;00717FC7&quot;/&gt;&lt;wsp:rsid wsp:val=&quot;00720242&quot;/&gt;&lt;wsp:rsid wsp:val=&quot;00721C16&quot;/&gt;&lt;wsp:rsid wsp:val=&quot;00721CDF&quot;/&gt;&lt;wsp:rsid wsp:val=&quot;00722172&quot;/&gt;&lt;wsp:rsid wsp:val=&quot;00722F29&quot;/&gt;&lt;wsp:rsid wsp:val=&quot;0072307C&quot;/&gt;&lt;wsp:rsid wsp:val=&quot;0072388E&quot;/&gt;&lt;wsp:rsid wsp:val=&quot;00723A4B&quot;/&gt;&lt;wsp:rsid wsp:val=&quot;00725B0D&quot;/&gt;&lt;wsp:rsid wsp:val=&quot;007264BA&quot;/&gt;&lt;wsp:rsid wsp:val=&quot;0072658D&quot;/&gt;&lt;wsp:rsid wsp:val=&quot;00726E33&quot;/&gt;&lt;wsp:rsid wsp:val=&quot;00726FAB&quot;/&gt;&lt;wsp:rsid wsp:val=&quot;00727764&quot;/&gt;&lt;wsp:rsid wsp:val=&quot;007279B7&quot;/&gt;&lt;wsp:rsid wsp:val=&quot;00731C95&quot;/&gt;&lt;wsp:rsid wsp:val=&quot;00732031&quot;/&gt;&lt;wsp:rsid wsp:val=&quot;00732345&quot;/&gt;&lt;wsp:rsid wsp:val=&quot;00732566&quot;/&gt;&lt;wsp:rsid wsp:val=&quot;00733FEA&quot;/&gt;&lt;wsp:rsid wsp:val=&quot;00734A6C&quot;/&gt;&lt;wsp:rsid wsp:val=&quot;007355E1&quot;/&gt;&lt;wsp:rsid wsp:val=&quot;00735C77&quot;/&gt;&lt;wsp:rsid wsp:val=&quot;00736093&quot;/&gt;&lt;wsp:rsid wsp:val=&quot;00736129&quot;/&gt;&lt;wsp:rsid wsp:val=&quot;007364BE&quot;/&gt;&lt;wsp:rsid wsp:val=&quot;0073696E&quot;/&gt;&lt;wsp:rsid wsp:val=&quot;00736997&quot;/&gt;&lt;wsp:rsid wsp:val=&quot;007378DD&quot;/&gt;&lt;wsp:rsid wsp:val=&quot;007402FB&quot;/&gt;&lt;wsp:rsid wsp:val=&quot;00740FAB&quot;/&gt;&lt;wsp:rsid wsp:val=&quot;00741229&quot;/&gt;&lt;wsp:rsid wsp:val=&quot;007415DF&quot;/&gt;&lt;wsp:rsid wsp:val=&quot;00742C54&quot;/&gt;&lt;wsp:rsid wsp:val=&quot;00743C57&quot;/&gt;&lt;wsp:rsid wsp:val=&quot;00743CB0&quot;/&gt;&lt;wsp:rsid wsp:val=&quot;00744B7A&quot;/&gt;&lt;wsp:rsid wsp:val=&quot;007458F5&quot;/&gt;&lt;wsp:rsid wsp:val=&quot;00745C5F&quot;/&gt;&lt;wsp:rsid wsp:val=&quot;00745CC5&quot;/&gt;&lt;wsp:rsid wsp:val=&quot;00745F92&quot;/&gt;&lt;wsp:rsid wsp:val=&quot;0074670C&quot;/&gt;&lt;wsp:rsid wsp:val=&quot;00747A45&quot;/&gt;&lt;wsp:rsid wsp:val=&quot;00747C3A&quot;/&gt;&lt;wsp:rsid wsp:val=&quot;00747F73&quot;/&gt;&lt;wsp:rsid wsp:val=&quot;007500EE&quot;/&gt;&lt;wsp:rsid wsp:val=&quot;007501C5&quot;/&gt;&lt;wsp:rsid wsp:val=&quot;00750209&quot;/&gt;&lt;wsp:rsid wsp:val=&quot;00750301&quot;/&gt;&lt;wsp:rsid wsp:val=&quot;00750AE6&quot;/&gt;&lt;wsp:rsid wsp:val=&quot;00750E35&quot;/&gt;&lt;wsp:rsid wsp:val=&quot;00751541&quot;/&gt;&lt;wsp:rsid wsp:val=&quot;00751F08&quot;/&gt;&lt;wsp:rsid wsp:val=&quot;0075209D&quot;/&gt;&lt;wsp:rsid wsp:val=&quot;007529E9&quot;/&gt;&lt;wsp:rsid wsp:val=&quot;007530B7&quot;/&gt;&lt;wsp:rsid wsp:val=&quot;00753265&quot;/&gt;&lt;wsp:rsid wsp:val=&quot;0075362B&quot;/&gt;&lt;wsp:rsid wsp:val=&quot;00753A44&quot;/&gt;&lt;wsp:rsid wsp:val=&quot;00754000&quot;/&gt;&lt;wsp:rsid wsp:val=&quot;00754785&quot;/&gt;&lt;wsp:rsid wsp:val=&quot;00755049&quot;/&gt;&lt;wsp:rsid wsp:val=&quot;007557ED&quot;/&gt;&lt;wsp:rsid wsp:val=&quot;00755DAA&quot;/&gt;&lt;wsp:rsid wsp:val=&quot;007568FC&quot;/&gt;&lt;wsp:rsid wsp:val=&quot;00756C08&quot;/&gt;&lt;wsp:rsid wsp:val=&quot;007574B8&quot;/&gt;&lt;wsp:rsid wsp:val=&quot;00757534&quot;/&gt;&lt;wsp:rsid wsp:val=&quot;007579C2&quot;/&gt;&lt;wsp:rsid wsp:val=&quot;00760331&quot;/&gt;&lt;wsp:rsid wsp:val=&quot;00760A2C&quot;/&gt;&lt;wsp:rsid wsp:val=&quot;00760D98&quot;/&gt;&lt;wsp:rsid wsp:val=&quot;007611C4&quot;/&gt;&lt;wsp:rsid wsp:val=&quot;00761C83&quot;/&gt;&lt;wsp:rsid wsp:val=&quot;00761F01&quot;/&gt;&lt;wsp:rsid wsp:val=&quot;0076380B&quot;/&gt;&lt;wsp:rsid wsp:val=&quot;00763AF9&quot;/&gt;&lt;wsp:rsid wsp:val=&quot;00764BF2&quot;/&gt;&lt;wsp:rsid wsp:val=&quot;0076534A&quot;/&gt;&lt;wsp:rsid wsp:val=&quot;007658E5&quot;/&gt;&lt;wsp:rsid wsp:val=&quot;00765C50&quot;/&gt;&lt;wsp:rsid wsp:val=&quot;007662A6&quot;/&gt;&lt;wsp:rsid wsp:val=&quot;0076662F&quot;/&gt;&lt;wsp:rsid wsp:val=&quot;007669B7&quot;/&gt;&lt;wsp:rsid wsp:val=&quot;00766E78&quot;/&gt;&lt;wsp:rsid wsp:val=&quot;00766FF3&quot;/&gt;&lt;wsp:rsid wsp:val=&quot;0076725C&quot;/&gt;&lt;wsp:rsid wsp:val=&quot;007675C3&quot;/&gt;&lt;wsp:rsid wsp:val=&quot;00770367&quot;/&gt;&lt;wsp:rsid wsp:val=&quot;00770645&quot;/&gt;&lt;wsp:rsid wsp:val=&quot;0077077C&quot;/&gt;&lt;wsp:rsid wsp:val=&quot;00770A11&quot;/&gt;&lt;wsp:rsid wsp:val=&quot;00770D98&quot;/&gt;&lt;wsp:rsid wsp:val=&quot;00771D62&quot;/&gt;&lt;wsp:rsid wsp:val=&quot;0077216B&quot;/&gt;&lt;wsp:rsid wsp:val=&quot;00772F2C&quot;/&gt;&lt;wsp:rsid wsp:val=&quot;0077354F&quot;/&gt;&lt;wsp:rsid wsp:val=&quot;00773669&quot;/&gt;&lt;wsp:rsid wsp:val=&quot;007737BA&quot;/&gt;&lt;wsp:rsid wsp:val=&quot;00774A0F&quot;/&gt;&lt;wsp:rsid wsp:val=&quot;007750B3&quot;/&gt;&lt;wsp:rsid wsp:val=&quot;007760A4&quot;/&gt;&lt;wsp:rsid wsp:val=&quot;007760A8&quot;/&gt;&lt;wsp:rsid wsp:val=&quot;0077683E&quot;/&gt;&lt;wsp:rsid wsp:val=&quot;007771AC&quot;/&gt;&lt;wsp:rsid wsp:val=&quot;007804F1&quot;/&gt;&lt;wsp:rsid wsp:val=&quot;00780BED&quot;/&gt;&lt;wsp:rsid wsp:val=&quot;00780DDC&quot;/&gt;&lt;wsp:rsid wsp:val=&quot;0078115A&quot;/&gt;&lt;wsp:rsid wsp:val=&quot;0078151C&quot;/&gt;&lt;wsp:rsid wsp:val=&quot;007819E9&quot;/&gt;&lt;wsp:rsid wsp:val=&quot;007826D7&quot;/&gt;&lt;wsp:rsid wsp:val=&quot;00782D31&quot;/&gt;&lt;wsp:rsid wsp:val=&quot;007850B3&quot;/&gt;&lt;wsp:rsid wsp:val=&quot;00785F7B&quot;/&gt;&lt;wsp:rsid wsp:val=&quot;007860BF&quot;/&gt;&lt;wsp:rsid wsp:val=&quot;00786CA0&quot;/&gt;&lt;wsp:rsid wsp:val=&quot;00786E4B&quot;/&gt;&lt;wsp:rsid wsp:val=&quot;00787B85&quot;/&gt;&lt;wsp:rsid wsp:val=&quot;00787DA5&quot;/&gt;&lt;wsp:rsid wsp:val=&quot;00790481&quot;/&gt;&lt;wsp:rsid wsp:val=&quot;0079058E&quot;/&gt;&lt;wsp:rsid wsp:val=&quot;007908AC&quot;/&gt;&lt;wsp:rsid wsp:val=&quot;00790FB2&quot;/&gt;&lt;wsp:rsid wsp:val=&quot;00790FD1&quot;/&gt;&lt;wsp:rsid wsp:val=&quot;00792DD0&quot;/&gt;&lt;wsp:rsid wsp:val=&quot;00793196&quot;/&gt;&lt;wsp:rsid wsp:val=&quot;007936D4&quot;/&gt;&lt;wsp:rsid wsp:val=&quot;00793C08&quot;/&gt;&lt;wsp:rsid wsp:val=&quot;00794266&quot;/&gt;&lt;wsp:rsid wsp:val=&quot;00794655&quot;/&gt;&lt;wsp:rsid wsp:val=&quot;00794799&quot;/&gt;&lt;wsp:rsid wsp:val=&quot;007964AC&quot;/&gt;&lt;wsp:rsid wsp:val=&quot;00796A69&quot;/&gt;&lt;wsp:rsid wsp:val=&quot;007976CF&quot;/&gt;&lt;wsp:rsid wsp:val=&quot;007A0A5E&quot;/&gt;&lt;wsp:rsid wsp:val=&quot;007A16E2&quot;/&gt;&lt;wsp:rsid wsp:val=&quot;007A180E&quot;/&gt;&lt;wsp:rsid wsp:val=&quot;007A1B63&quot;/&gt;&lt;wsp:rsid wsp:val=&quot;007A1C0B&quot;/&gt;&lt;wsp:rsid wsp:val=&quot;007A26E9&quot;/&gt;&lt;wsp:rsid wsp:val=&quot;007A33CA&quot;/&gt;&lt;wsp:rsid wsp:val=&quot;007A3578&quot;/&gt;&lt;wsp:rsid wsp:val=&quot;007A3B3A&quot;/&gt;&lt;wsp:rsid wsp:val=&quot;007A45AE&quot;/&gt;&lt;wsp:rsid wsp:val=&quot;007A4945&quot;/&gt;&lt;wsp:rsid wsp:val=&quot;007A4A68&quot;/&gt;&lt;wsp:rsid wsp:val=&quot;007A5461&quot;/&gt;&lt;wsp:rsid wsp:val=&quot;007A573C&quot;/&gt;&lt;wsp:rsid wsp:val=&quot;007A5D2E&quot;/&gt;&lt;wsp:rsid wsp:val=&quot;007A5D48&quot;/&gt;&lt;wsp:rsid wsp:val=&quot;007A63F4&quot;/&gt;&lt;wsp:rsid wsp:val=&quot;007A658C&quot;/&gt;&lt;wsp:rsid wsp:val=&quot;007A71B9&quot;/&gt;&lt;wsp:rsid wsp:val=&quot;007B01D0&quot;/&gt;&lt;wsp:rsid wsp:val=&quot;007B08D2&quot;/&gt;&lt;wsp:rsid wsp:val=&quot;007B0A8F&quot;/&gt;&lt;wsp:rsid wsp:val=&quot;007B0B99&quot;/&gt;&lt;wsp:rsid wsp:val=&quot;007B0C22&quot;/&gt;&lt;wsp:rsid wsp:val=&quot;007B24EB&quot;/&gt;&lt;wsp:rsid wsp:val=&quot;007B277B&quot;/&gt;&lt;wsp:rsid wsp:val=&quot;007B3290&quot;/&gt;&lt;wsp:rsid wsp:val=&quot;007B3403&quot;/&gt;&lt;wsp:rsid wsp:val=&quot;007B3C51&quot;/&gt;&lt;wsp:rsid wsp:val=&quot;007B3E5D&quot;/&gt;&lt;wsp:rsid wsp:val=&quot;007B40D0&quot;/&gt;&lt;wsp:rsid wsp:val=&quot;007B5211&quot;/&gt;&lt;wsp:rsid wsp:val=&quot;007B5BDB&quot;/&gt;&lt;wsp:rsid wsp:val=&quot;007B5C65&quot;/&gt;&lt;wsp:rsid wsp:val=&quot;007B5F6B&quot;/&gt;&lt;wsp:rsid wsp:val=&quot;007B68D4&quot;/&gt;&lt;wsp:rsid wsp:val=&quot;007B77FA&quot;/&gt;&lt;wsp:rsid wsp:val=&quot;007B7B3B&quot;/&gt;&lt;wsp:rsid wsp:val=&quot;007B7B4E&quot;/&gt;&lt;wsp:rsid wsp:val=&quot;007B7D40&quot;/&gt;&lt;wsp:rsid wsp:val=&quot;007B7DAA&quot;/&gt;&lt;wsp:rsid wsp:val=&quot;007C0325&quot;/&gt;&lt;wsp:rsid wsp:val=&quot;007C0A63&quot;/&gt;&lt;wsp:rsid wsp:val=&quot;007C1109&quot;/&gt;&lt;wsp:rsid wsp:val=&quot;007C18E2&quot;/&gt;&lt;wsp:rsid wsp:val=&quot;007C2156&quot;/&gt;&lt;wsp:rsid wsp:val=&quot;007C28A7&quot;/&gt;&lt;wsp:rsid wsp:val=&quot;007C28BC&quot;/&gt;&lt;wsp:rsid wsp:val=&quot;007C35BC&quot;/&gt;&lt;wsp:rsid wsp:val=&quot;007C45D2&quot;/&gt;&lt;wsp:rsid wsp:val=&quot;007C4CAC&quot;/&gt;&lt;wsp:rsid wsp:val=&quot;007C4E83&quot;/&gt;&lt;wsp:rsid wsp:val=&quot;007C71CA&quot;/&gt;&lt;wsp:rsid wsp:val=&quot;007D0041&quot;/&gt;&lt;wsp:rsid wsp:val=&quot;007D04C2&quot;/&gt;&lt;wsp:rsid wsp:val=&quot;007D1073&quot;/&gt;&lt;wsp:rsid wsp:val=&quot;007D1710&quot;/&gt;&lt;wsp:rsid wsp:val=&quot;007D2D2D&quot;/&gt;&lt;wsp:rsid wsp:val=&quot;007D35F0&quot;/&gt;&lt;wsp:rsid wsp:val=&quot;007D43C6&quot;/&gt;&lt;wsp:rsid wsp:val=&quot;007D4403&quot;/&gt;&lt;wsp:rsid wsp:val=&quot;007D47FB&quot;/&gt;&lt;wsp:rsid wsp:val=&quot;007D4936&quot;/&gt;&lt;wsp:rsid wsp:val=&quot;007D4AD6&quot;/&gt;&lt;wsp:rsid wsp:val=&quot;007D51B1&quot;/&gt;&lt;wsp:rsid wsp:val=&quot;007D57B7&quot;/&gt;&lt;wsp:rsid wsp:val=&quot;007D5BC4&quot;/&gt;&lt;wsp:rsid wsp:val=&quot;007D62E8&quot;/&gt;&lt;wsp:rsid wsp:val=&quot;007D6DD3&quot;/&gt;&lt;wsp:rsid wsp:val=&quot;007E040F&quot;/&gt;&lt;wsp:rsid wsp:val=&quot;007E066E&quot;/&gt;&lt;wsp:rsid wsp:val=&quot;007E08D6&quot;/&gt;&lt;wsp:rsid wsp:val=&quot;007E0B27&quot;/&gt;&lt;wsp:rsid wsp:val=&quot;007E0E91&quot;/&gt;&lt;wsp:rsid wsp:val=&quot;007E1072&quot;/&gt;&lt;wsp:rsid wsp:val=&quot;007E298B&quot;/&gt;&lt;wsp:rsid wsp:val=&quot;007E2B8F&quot;/&gt;&lt;wsp:rsid wsp:val=&quot;007E2F20&quot;/&gt;&lt;wsp:rsid wsp:val=&quot;007E3C3B&quot;/&gt;&lt;wsp:rsid wsp:val=&quot;007E4F43&quot;/&gt;&lt;wsp:rsid wsp:val=&quot;007E5B1B&quot;/&gt;&lt;wsp:rsid wsp:val=&quot;007E7608&quot;/&gt;&lt;wsp:rsid wsp:val=&quot;007F14AB&quot;/&gt;&lt;wsp:rsid wsp:val=&quot;007F160B&quot;/&gt;&lt;wsp:rsid wsp:val=&quot;007F1C9C&quot;/&gt;&lt;wsp:rsid wsp:val=&quot;007F2B2D&quot;/&gt;&lt;wsp:rsid wsp:val=&quot;007F35EA&quot;/&gt;&lt;wsp:rsid wsp:val=&quot;007F448C&quot;/&gt;&lt;wsp:rsid wsp:val=&quot;007F533C&quot;/&gt;&lt;wsp:rsid wsp:val=&quot;007F5C6C&quot;/&gt;&lt;wsp:rsid wsp:val=&quot;007F6662&quot;/&gt;&lt;wsp:rsid wsp:val=&quot;007F6AC6&quot;/&gt;&lt;wsp:rsid wsp:val=&quot;007F6E29&quot;/&gt;&lt;wsp:rsid wsp:val=&quot;007F719B&quot;/&gt;&lt;wsp:rsid wsp:val=&quot;007F7376&quot;/&gt;&lt;wsp:rsid wsp:val=&quot;00800D0C&quot;/&gt;&lt;wsp:rsid wsp:val=&quot;00800F5F&quot;/&gt;&lt;wsp:rsid wsp:val=&quot;00801192&quot;/&gt;&lt;wsp:rsid wsp:val=&quot;0080155B&quot;/&gt;&lt;wsp:rsid wsp:val=&quot;008028BB&quot;/&gt;&lt;wsp:rsid wsp:val=&quot;0080319D&quot;/&gt;&lt;wsp:rsid wsp:val=&quot;008034FB&quot;/&gt;&lt;wsp:rsid wsp:val=&quot;008046E9&quot;/&gt;&lt;wsp:rsid wsp:val=&quot;00804FEB&quot;/&gt;&lt;wsp:rsid wsp:val=&quot;00805290&quot;/&gt;&lt;wsp:rsid wsp:val=&quot;00805758&quot;/&gt;&lt;wsp:rsid wsp:val=&quot;0080590E&quot;/&gt;&lt;wsp:rsid wsp:val=&quot;00805E17&quot;/&gt;&lt;wsp:rsid wsp:val=&quot;00806035&quot;/&gt;&lt;wsp:rsid wsp:val=&quot;00806680&quot;/&gt;&lt;wsp:rsid wsp:val=&quot;008071CA&quot;/&gt;&lt;wsp:rsid wsp:val=&quot;008074F8&quot;/&gt;&lt;wsp:rsid wsp:val=&quot;0080768F&quot;/&gt;&lt;wsp:rsid wsp:val=&quot;00813146&quot;/&gt;&lt;wsp:rsid wsp:val=&quot;008131F0&quot;/&gt;&lt;wsp:rsid wsp:val=&quot;00814139&quot;/&gt;&lt;wsp:rsid wsp:val=&quot;00814D9A&quot;/&gt;&lt;wsp:rsid wsp:val=&quot;00815203&quot;/&gt;&lt;wsp:rsid wsp:val=&quot;00816080&quot;/&gt;&lt;wsp:rsid wsp:val=&quot;008166E2&quot;/&gt;&lt;wsp:rsid wsp:val=&quot;008169CC&quot;/&gt;&lt;wsp:rsid wsp:val=&quot;00816A66&quot;/&gt;&lt;wsp:rsid wsp:val=&quot;00817D29&quot;/&gt;&lt;wsp:rsid wsp:val=&quot;008200D9&quot;/&gt;&lt;wsp:rsid wsp:val=&quot;00820E63&quot;/&gt;&lt;wsp:rsid wsp:val=&quot;00823F9C&quot;/&gt;&lt;wsp:rsid wsp:val=&quot;008246E2&quot;/&gt;&lt;wsp:rsid wsp:val=&quot;00824B21&quot;/&gt;&lt;wsp:rsid wsp:val=&quot;00824C10&quot;/&gt;&lt;wsp:rsid wsp:val=&quot;008250E1&quot;/&gt;&lt;wsp:rsid wsp:val=&quot;00826C9C&quot;/&gt;&lt;wsp:rsid wsp:val=&quot;00826DF9&quot;/&gt;&lt;wsp:rsid wsp:val=&quot;0082729D&quot;/&gt;&lt;wsp:rsid wsp:val=&quot;008277C0&quot;/&gt;&lt;wsp:rsid wsp:val=&quot;00827D75&quot;/&gt;&lt;wsp:rsid wsp:val=&quot;00827F4B&quot;/&gt;&lt;wsp:rsid wsp:val=&quot;008313FD&quot;/&gt;&lt;wsp:rsid wsp:val=&quot;00831605&quot;/&gt;&lt;wsp:rsid wsp:val=&quot;00831C75&quot;/&gt;&lt;wsp:rsid wsp:val=&quot;0083220A&quot;/&gt;&lt;wsp:rsid wsp:val=&quot;00832600&quot;/&gt;&lt;wsp:rsid wsp:val=&quot;008326F5&quot;/&gt;&lt;wsp:rsid wsp:val=&quot;008328E2&quot;/&gt;&lt;wsp:rsid wsp:val=&quot;00833142&quot;/&gt;&lt;wsp:rsid wsp:val=&quot;00833CF0&quot;/&gt;&lt;wsp:rsid wsp:val=&quot;00834608&quot;/&gt;&lt;wsp:rsid wsp:val=&quot;00834946&quot;/&gt;&lt;wsp:rsid wsp:val=&quot;00834A4A&quot;/&gt;&lt;wsp:rsid wsp:val=&quot;00834AA2&quot;/&gt;&lt;wsp:rsid wsp:val=&quot;00834C24&quot;/&gt;&lt;wsp:rsid wsp:val=&quot;00835937&quot;/&gt;&lt;wsp:rsid wsp:val=&quot;00835AEC&quot;/&gt;&lt;wsp:rsid wsp:val=&quot;00835F98&quot;/&gt;&lt;wsp:rsid wsp:val=&quot;0083690A&quot;/&gt;&lt;wsp:rsid wsp:val=&quot;00836ADD&quot;/&gt;&lt;wsp:rsid wsp:val=&quot;00836BFB&quot;/&gt;&lt;wsp:rsid wsp:val=&quot;00836C93&quot;/&gt;&lt;wsp:rsid wsp:val=&quot;00837867&quot;/&gt;&lt;wsp:rsid wsp:val=&quot;008379F6&quot;/&gt;&lt;wsp:rsid wsp:val=&quot;00837BA4&quot;/&gt;&lt;wsp:rsid wsp:val=&quot;0084099B&quot;/&gt;&lt;wsp:rsid wsp:val=&quot;00840B3D&quot;/&gt;&lt;wsp:rsid wsp:val=&quot;00840BFB&quot;/&gt;&lt;wsp:rsid wsp:val=&quot;00840C01&quot;/&gt;&lt;wsp:rsid wsp:val=&quot;00840D6B&quot;/&gt;&lt;wsp:rsid wsp:val=&quot;00841A01&quot;/&gt;&lt;wsp:rsid wsp:val=&quot;00841A8C&quot;/&gt;&lt;wsp:rsid wsp:val=&quot;00841F48&quot;/&gt;&lt;wsp:rsid wsp:val=&quot;00842F5E&quot;/&gt;&lt;wsp:rsid wsp:val=&quot;00843174&quot;/&gt;&lt;wsp:rsid wsp:val=&quot;008436CA&quot;/&gt;&lt;wsp:rsid wsp:val=&quot;00843BA3&quot;/&gt;&lt;wsp:rsid wsp:val=&quot;00843BFE&quot;/&gt;&lt;wsp:rsid wsp:val=&quot;00843E56&quot;/&gt;&lt;wsp:rsid wsp:val=&quot;008440B2&quot;/&gt;&lt;wsp:rsid wsp:val=&quot;00844487&quot;/&gt;&lt;wsp:rsid wsp:val=&quot;00844DCE&quot;/&gt;&lt;wsp:rsid wsp:val=&quot;00846503&quot;/&gt;&lt;wsp:rsid wsp:val=&quot;00846807&quot;/&gt;&lt;wsp:rsid wsp:val=&quot;00847B4E&quot;/&gt;&lt;wsp:rsid wsp:val=&quot;00850D95&quot;/&gt;&lt;wsp:rsid wsp:val=&quot;00851318&quot;/&gt;&lt;wsp:rsid wsp:val=&quot;00851A67&quot;/&gt;&lt;wsp:rsid wsp:val=&quot;00851E7C&quot;/&gt;&lt;wsp:rsid wsp:val=&quot;00851EFD&quot;/&gt;&lt;wsp:rsid wsp:val=&quot;00852E90&quot;/&gt;&lt;wsp:rsid wsp:val=&quot;008532DA&quot;/&gt;&lt;wsp:rsid wsp:val=&quot;0085387A&quot;/&gt;&lt;wsp:rsid wsp:val=&quot;00853950&quot;/&gt;&lt;wsp:rsid wsp:val=&quot;00853D52&quot;/&gt;&lt;wsp:rsid wsp:val=&quot;008542FE&quot;/&gt;&lt;wsp:rsid wsp:val=&quot;008545E8&quot;/&gt;&lt;wsp:rsid wsp:val=&quot;008549AC&quot;/&gt;&lt;wsp:rsid wsp:val=&quot;00854FC0&quot;/&gt;&lt;wsp:rsid wsp:val=&quot;00856562&quot;/&gt;&lt;wsp:rsid wsp:val=&quot;00856913&quot;/&gt;&lt;wsp:rsid wsp:val=&quot;008573E1&quot;/&gt;&lt;wsp:rsid wsp:val=&quot;008579AD&quot;/&gt;&lt;wsp:rsid wsp:val=&quot;00857DE7&quot;/&gt;&lt;wsp:rsid wsp:val=&quot;00857E5C&quot;/&gt;&lt;wsp:rsid wsp:val=&quot;00860521&quot;/&gt;&lt;wsp:rsid wsp:val=&quot;00860922&quot;/&gt;&lt;wsp:rsid wsp:val=&quot;0086116D&quot;/&gt;&lt;wsp:rsid wsp:val=&quot;00861B66&quot;/&gt;&lt;wsp:rsid wsp:val=&quot;00862133&quot;/&gt;&lt;wsp:rsid wsp:val=&quot;00863E9D&quot;/&gt;&lt;wsp:rsid wsp:val=&quot;00864522&quot;/&gt;&lt;wsp:rsid wsp:val=&quot;00864B33&quot;/&gt;&lt;wsp:rsid wsp:val=&quot;00865506&quot;/&gt;&lt;wsp:rsid wsp:val=&quot;008655ED&quot;/&gt;&lt;wsp:rsid wsp:val=&quot;008662E8&quot;/&gt;&lt;wsp:rsid wsp:val=&quot;008707EE&quot;/&gt;&lt;wsp:rsid wsp:val=&quot;0087106B&quot;/&gt;&lt;wsp:rsid wsp:val=&quot;0087223F&quot;/&gt;&lt;wsp:rsid wsp:val=&quot;00873401&quot;/&gt;&lt;wsp:rsid wsp:val=&quot;0087346A&quot;/&gt;&lt;wsp:rsid wsp:val=&quot;00873C10&quot;/&gt;&lt;wsp:rsid wsp:val=&quot;00873F43&quot;/&gt;&lt;wsp:rsid wsp:val=&quot;008749B0&quot;/&gt;&lt;wsp:rsid wsp:val=&quot;00874D3B&quot;/&gt;&lt;wsp:rsid wsp:val=&quot;0087514E&quot;/&gt;&lt;wsp:rsid wsp:val=&quot;0087592C&quot;/&gt;&lt;wsp:rsid wsp:val=&quot;00875971&quot;/&gt;&lt;wsp:rsid wsp:val=&quot;008761D5&quot;/&gt;&lt;wsp:rsid wsp:val=&quot;0087691B&quot;/&gt;&lt;wsp:rsid wsp:val=&quot;00876D7A&quot;/&gt;&lt;wsp:rsid wsp:val=&quot;00876E68&quot;/&gt;&lt;wsp:rsid wsp:val=&quot;0087714C&quot;/&gt;&lt;wsp:rsid wsp:val=&quot;00877572&quot;/&gt;&lt;wsp:rsid wsp:val=&quot;008800B1&quot;/&gt;&lt;wsp:rsid wsp:val=&quot;00880876&quot;/&gt;&lt;wsp:rsid wsp:val=&quot;008818CA&quot;/&gt;&lt;wsp:rsid wsp:val=&quot;00881D39&quot;/&gt;&lt;wsp:rsid wsp:val=&quot;00882FAA&quot;/&gt;&lt;wsp:rsid wsp:val=&quot;008838D9&quot;/&gt;&lt;wsp:rsid wsp:val=&quot;008839A3&quot;/&gt;&lt;wsp:rsid wsp:val=&quot;00885289&quot;/&gt;&lt;wsp:rsid wsp:val=&quot;0088539D&quot;/&gt;&lt;wsp:rsid wsp:val=&quot;00885472&quot;/&gt;&lt;wsp:rsid wsp:val=&quot;00885BB5&quot;/&gt;&lt;wsp:rsid wsp:val=&quot;0088622D&quot;/&gt;&lt;wsp:rsid wsp:val=&quot;00886598&quot;/&gt;&lt;wsp:rsid wsp:val=&quot;008868B5&quot;/&gt;&lt;wsp:rsid wsp:val=&quot;008878FC&quot;/&gt;&lt;wsp:rsid wsp:val=&quot;00887C7E&quot;/&gt;&lt;wsp:rsid wsp:val=&quot;0089022B&quot;/&gt;&lt;wsp:rsid wsp:val=&quot;00890E54&quot;/&gt;&lt;wsp:rsid wsp:val=&quot;00890EE3&quot;/&gt;&lt;wsp:rsid wsp:val=&quot;00890F6E&quot;/&gt;&lt;wsp:rsid wsp:val=&quot;00891265&quot;/&gt;&lt;wsp:rsid wsp:val=&quot;00891A85&quot;/&gt;&lt;wsp:rsid wsp:val=&quot;00891E11&quot;/&gt;&lt;wsp:rsid wsp:val=&quot;00892273&quot;/&gt;&lt;wsp:rsid wsp:val=&quot;008929FD&quot;/&gt;&lt;wsp:rsid wsp:val=&quot;00893705&quot;/&gt;&lt;wsp:rsid wsp:val=&quot;00893A7B&quot;/&gt;&lt;wsp:rsid wsp:val=&quot;00893C31&quot;/&gt;&lt;wsp:rsid wsp:val=&quot;008944A8&quot;/&gt;&lt;wsp:rsid wsp:val=&quot;00894F86&quot;/&gt;&lt;wsp:rsid wsp:val=&quot;008957BA&quot;/&gt;&lt;wsp:rsid wsp:val=&quot;00895E07&quot;/&gt;&lt;wsp:rsid wsp:val=&quot;008960B8&quot;/&gt;&lt;wsp:rsid wsp:val=&quot;00896F2B&quot;/&gt;&lt;wsp:rsid wsp:val=&quot;008971CE&quot;/&gt;&lt;wsp:rsid wsp:val=&quot;00897331&quot;/&gt;&lt;wsp:rsid wsp:val=&quot;0089736F&quot;/&gt;&lt;wsp:rsid wsp:val=&quot;008973FF&quot;/&gt;&lt;wsp:rsid wsp:val=&quot;00897C57&quot;/&gt;&lt;wsp:rsid wsp:val=&quot;00897D56&quot;/&gt;&lt;wsp:rsid wsp:val=&quot;008A0EFB&quot;/&gt;&lt;wsp:rsid wsp:val=&quot;008A1446&quot;/&gt;&lt;wsp:rsid wsp:val=&quot;008A284F&quot;/&gt;&lt;wsp:rsid wsp:val=&quot;008A2905&quot;/&gt;&lt;wsp:rsid wsp:val=&quot;008A2C88&quot;/&gt;&lt;wsp:rsid wsp:val=&quot;008A318D&quot;/&gt;&lt;wsp:rsid wsp:val=&quot;008A34CD&quot;/&gt;&lt;wsp:rsid wsp:val=&quot;008A42DF&quot;/&gt;&lt;wsp:rsid wsp:val=&quot;008A553F&quot;/&gt;&lt;wsp:rsid wsp:val=&quot;008A591C&quot;/&gt;&lt;wsp:rsid wsp:val=&quot;008A5990&quot;/&gt;&lt;wsp:rsid wsp:val=&quot;008A5A4C&quot;/&gt;&lt;wsp:rsid wsp:val=&quot;008A5B1F&quot;/&gt;&lt;wsp:rsid wsp:val=&quot;008A66B6&quot;/&gt;&lt;wsp:rsid wsp:val=&quot;008A6DD1&quot;/&gt;&lt;wsp:rsid wsp:val=&quot;008A6E0C&quot;/&gt;&lt;wsp:rsid wsp:val=&quot;008A6FF8&quot;/&gt;&lt;wsp:rsid wsp:val=&quot;008A74F9&quot;/&gt;&lt;wsp:rsid wsp:val=&quot;008A7682&quot;/&gt;&lt;wsp:rsid wsp:val=&quot;008B01F3&quot;/&gt;&lt;wsp:rsid wsp:val=&quot;008B04AC&quot;/&gt;&lt;wsp:rsid wsp:val=&quot;008B09EF&quot;/&gt;&lt;wsp:rsid wsp:val=&quot;008B09F5&quot;/&gt;&lt;wsp:rsid wsp:val=&quot;008B0B1F&quot;/&gt;&lt;wsp:rsid wsp:val=&quot;008B0B65&quot;/&gt;&lt;wsp:rsid wsp:val=&quot;008B1540&quot;/&gt;&lt;wsp:rsid wsp:val=&quot;008B1927&quot;/&gt;&lt;wsp:rsid wsp:val=&quot;008B1CA3&quot;/&gt;&lt;wsp:rsid wsp:val=&quot;008B21B4&quot;/&gt;&lt;wsp:rsid wsp:val=&quot;008B2920&quot;/&gt;&lt;wsp:rsid wsp:val=&quot;008B2CDB&quot;/&gt;&lt;wsp:rsid wsp:val=&quot;008B30B3&quot;/&gt;&lt;wsp:rsid wsp:val=&quot;008B3157&quot;/&gt;&lt;wsp:rsid wsp:val=&quot;008B3784&quot;/&gt;&lt;wsp:rsid wsp:val=&quot;008B3A7A&quot;/&gt;&lt;wsp:rsid wsp:val=&quot;008B4297&quot;/&gt;&lt;wsp:rsid wsp:val=&quot;008B43E7&quot;/&gt;&lt;wsp:rsid wsp:val=&quot;008B48E2&quot;/&gt;&lt;wsp:rsid wsp:val=&quot;008B4C7C&quot;/&gt;&lt;wsp:rsid wsp:val=&quot;008B4D5E&quot;/&gt;&lt;wsp:rsid wsp:val=&quot;008B4F14&quot;/&gt;&lt;wsp:rsid wsp:val=&quot;008B507C&quot;/&gt;&lt;wsp:rsid wsp:val=&quot;008B57D7&quot;/&gt;&lt;wsp:rsid wsp:val=&quot;008B6334&quot;/&gt;&lt;wsp:rsid wsp:val=&quot;008B653A&quot;/&gt;&lt;wsp:rsid wsp:val=&quot;008B739A&quot;/&gt;&lt;wsp:rsid wsp:val=&quot;008B7A2A&quot;/&gt;&lt;wsp:rsid wsp:val=&quot;008B7B0F&quot;/&gt;&lt;wsp:rsid wsp:val=&quot;008B7FBB&quot;/&gt;&lt;wsp:rsid wsp:val=&quot;008C0601&quot;/&gt;&lt;wsp:rsid wsp:val=&quot;008C0A5D&quot;/&gt;&lt;wsp:rsid wsp:val=&quot;008C1361&quot;/&gt;&lt;wsp:rsid wsp:val=&quot;008C21D0&quot;/&gt;&lt;wsp:rsid wsp:val=&quot;008C326F&quot;/&gt;&lt;wsp:rsid wsp:val=&quot;008C457B&quot;/&gt;&lt;wsp:rsid wsp:val=&quot;008C54B2&quot;/&gt;&lt;wsp:rsid wsp:val=&quot;008C55B2&quot;/&gt;&lt;wsp:rsid wsp:val=&quot;008C771A&quot;/&gt;&lt;wsp:rsid wsp:val=&quot;008D0858&quot;/&gt;&lt;wsp:rsid wsp:val=&quot;008D0E4E&quot;/&gt;&lt;wsp:rsid wsp:val=&quot;008D14CD&quot;/&gt;&lt;wsp:rsid wsp:val=&quot;008D2E3E&quot;/&gt;&lt;wsp:rsid wsp:val=&quot;008D3C9D&quot;/&gt;&lt;wsp:rsid wsp:val=&quot;008D4426&quot;/&gt;&lt;wsp:rsid wsp:val=&quot;008D48F8&quot;/&gt;&lt;wsp:rsid wsp:val=&quot;008D50DD&quot;/&gt;&lt;wsp:rsid wsp:val=&quot;008D519D&quot;/&gt;&lt;wsp:rsid wsp:val=&quot;008D55A7&quot;/&gt;&lt;wsp:rsid wsp:val=&quot;008D57CB&quot;/&gt;&lt;wsp:rsid wsp:val=&quot;008D58EB&quot;/&gt;&lt;wsp:rsid wsp:val=&quot;008D5B25&quot;/&gt;&lt;wsp:rsid wsp:val=&quot;008D5CEF&quot;/&gt;&lt;wsp:rsid wsp:val=&quot;008D6370&quot;/&gt;&lt;wsp:rsid wsp:val=&quot;008D6AD3&quot;/&gt;&lt;wsp:rsid wsp:val=&quot;008D6FEC&quot;/&gt;&lt;wsp:rsid wsp:val=&quot;008D70FB&quot;/&gt;&lt;wsp:rsid wsp:val=&quot;008D7B48&quot;/&gt;&lt;wsp:rsid wsp:val=&quot;008E0929&quot;/&gt;&lt;wsp:rsid wsp:val=&quot;008E20D6&quot;/&gt;&lt;wsp:rsid wsp:val=&quot;008E2BC7&quot;/&gt;&lt;wsp:rsid wsp:val=&quot;008E30A0&quot;/&gt;&lt;wsp:rsid wsp:val=&quot;008E30D0&quot;/&gt;&lt;wsp:rsid wsp:val=&quot;008E36DF&quot;/&gt;&lt;wsp:rsid wsp:val=&quot;008E4B43&quot;/&gt;&lt;wsp:rsid wsp:val=&quot;008E61B5&quot;/&gt;&lt;wsp:rsid wsp:val=&quot;008E6EA3&quot;/&gt;&lt;wsp:rsid wsp:val=&quot;008E71F7&quot;/&gt;&lt;wsp:rsid wsp:val=&quot;008F0916&quot;/&gt;&lt;wsp:rsid wsp:val=&quot;008F115D&quot;/&gt;&lt;wsp:rsid wsp:val=&quot;008F173E&quot;/&gt;&lt;wsp:rsid wsp:val=&quot;008F27EA&quot;/&gt;&lt;wsp:rsid wsp:val=&quot;008F2BEA&quot;/&gt;&lt;wsp:rsid wsp:val=&quot;008F3629&quot;/&gt;&lt;wsp:rsid wsp:val=&quot;008F39DD&quot;/&gt;&lt;wsp:rsid wsp:val=&quot;008F4286&quot;/&gt;&lt;wsp:rsid wsp:val=&quot;008F5A1A&quot;/&gt;&lt;wsp:rsid wsp:val=&quot;008F5E52&quot;/&gt;&lt;wsp:rsid wsp:val=&quot;008F6028&quot;/&gt;&lt;wsp:rsid wsp:val=&quot;008F6CFE&quot;/&gt;&lt;wsp:rsid wsp:val=&quot;008F6D79&quot;/&gt;&lt;wsp:rsid wsp:val=&quot;008F7B7E&quot;/&gt;&lt;wsp:rsid wsp:val=&quot;00900835&quot;/&gt;&lt;wsp:rsid wsp:val=&quot;00901A33&quot;/&gt;&lt;wsp:rsid wsp:val=&quot;00901EFB&quot;/&gt;&lt;wsp:rsid wsp:val=&quot;00902067&quot;/&gt;&lt;wsp:rsid wsp:val=&quot;009030CF&quot;/&gt;&lt;wsp:rsid wsp:val=&quot;00903252&quot;/&gt;&lt;wsp:rsid wsp:val=&quot;0090385F&quot;/&gt;&lt;wsp:rsid wsp:val=&quot;00903D36&quot;/&gt;&lt;wsp:rsid wsp:val=&quot;00903FF4&quot;/&gt;&lt;wsp:rsid wsp:val=&quot;009051F5&quot;/&gt;&lt;wsp:rsid wsp:val=&quot;0090526C&quot;/&gt;&lt;wsp:rsid wsp:val=&quot;0090626E&quot;/&gt;&lt;wsp:rsid wsp:val=&quot;009062BD&quot;/&gt;&lt;wsp:rsid wsp:val=&quot;00906C99&quot;/&gt;&lt;wsp:rsid wsp:val=&quot;00907618&quot;/&gt;&lt;wsp:rsid wsp:val=&quot;009109C7&quot;/&gt;&lt;wsp:rsid wsp:val=&quot;0091100D&quot;/&gt;&lt;wsp:rsid wsp:val=&quot;0091118E&quot;/&gt;&lt;wsp:rsid wsp:val=&quot;00911A17&quot;/&gt;&lt;wsp:rsid wsp:val=&quot;0091245C&quot;/&gt;&lt;wsp:rsid wsp:val=&quot;00913768&quot;/&gt;&lt;wsp:rsid wsp:val=&quot;00913B65&quot;/&gt;&lt;wsp:rsid wsp:val=&quot;0091439B&quot;/&gt;&lt;wsp:rsid wsp:val=&quot;009155C7&quot;/&gt;&lt;wsp:rsid wsp:val=&quot;00915632&quot;/&gt;&lt;wsp:rsid wsp:val=&quot;00915A8B&quot;/&gt;&lt;wsp:rsid wsp:val=&quot;00915ADF&quot;/&gt;&lt;wsp:rsid wsp:val=&quot;00915C0C&quot;/&gt;&lt;wsp:rsid wsp:val=&quot;00916338&quot;/&gt;&lt;wsp:rsid wsp:val=&quot;00916635&quot;/&gt;&lt;wsp:rsid wsp:val=&quot;00916DA0&quot;/&gt;&lt;wsp:rsid wsp:val=&quot;009170F8&quot;/&gt;&lt;wsp:rsid wsp:val=&quot;00920B2A&quot;/&gt;&lt;wsp:rsid wsp:val=&quot;0092107E&quot;/&gt;&lt;wsp:rsid wsp:val=&quot;00921629&quot;/&gt;&lt;wsp:rsid wsp:val=&quot;009237F2&quot;/&gt;&lt;wsp:rsid wsp:val=&quot;009239ED&quot;/&gt;&lt;wsp:rsid wsp:val=&quot;00923C62&quot;/&gt;&lt;wsp:rsid wsp:val=&quot;0092408F&quot;/&gt;&lt;wsp:rsid wsp:val=&quot;0092431B&quot;/&gt;&lt;wsp:rsid wsp:val=&quot;0092520E&quot;/&gt;&lt;wsp:rsid wsp:val=&quot;0092559B&quot;/&gt;&lt;wsp:rsid wsp:val=&quot;00925E6C&quot;/&gt;&lt;wsp:rsid wsp:val=&quot;009269B6&quot;/&gt;&lt;wsp:rsid wsp:val=&quot;00926A0B&quot;/&gt;&lt;wsp:rsid wsp:val=&quot;00926FF8&quot;/&gt;&lt;wsp:rsid wsp:val=&quot;00927963&quot;/&gt;&lt;wsp:rsid wsp:val=&quot;00927E17&quot;/&gt;&lt;wsp:rsid wsp:val=&quot;00930185&quot;/&gt;&lt;wsp:rsid wsp:val=&quot;0093107D&quot;/&gt;&lt;wsp:rsid wsp:val=&quot;009314AF&quot;/&gt;&lt;wsp:rsid wsp:val=&quot;00931561&quot;/&gt;&lt;wsp:rsid wsp:val=&quot;009319DB&quot;/&gt;&lt;wsp:rsid wsp:val=&quot;00932112&quot;/&gt;&lt;wsp:rsid wsp:val=&quot;00933EB9&quot;/&gt;&lt;wsp:rsid wsp:val=&quot;0093421A&quot;/&gt;&lt;wsp:rsid wsp:val=&quot;00934309&quot;/&gt;&lt;wsp:rsid wsp:val=&quot;0093526E&quot;/&gt;&lt;wsp:rsid wsp:val=&quot;009366FE&quot;/&gt;&lt;wsp:rsid wsp:val=&quot;00936A31&quot;/&gt;&lt;wsp:rsid wsp:val=&quot;00936F3F&quot;/&gt;&lt;wsp:rsid wsp:val=&quot;00937A71&quot;/&gt;&lt;wsp:rsid wsp:val=&quot;00937B22&quot;/&gt;&lt;wsp:rsid wsp:val=&quot;00937BFD&quot;/&gt;&lt;wsp:rsid wsp:val=&quot;00940931&quot;/&gt;&lt;wsp:rsid wsp:val=&quot;0094154F&quot;/&gt;&lt;wsp:rsid wsp:val=&quot;00943482&quot;/&gt;&lt;wsp:rsid wsp:val=&quot;00943621&quot;/&gt;&lt;wsp:rsid wsp:val=&quot;0094460B&quot;/&gt;&lt;wsp:rsid wsp:val=&quot;00944B10&quot;/&gt;&lt;wsp:rsid wsp:val=&quot;009452FE&quot;/&gt;&lt;wsp:rsid wsp:val=&quot;00945AE0&quot;/&gt;&lt;wsp:rsid wsp:val=&quot;0094661E&quot;/&gt;&lt;wsp:rsid wsp:val=&quot;00946A3C&quot;/&gt;&lt;wsp:rsid wsp:val=&quot;00946AF2&quot;/&gt;&lt;wsp:rsid wsp:val=&quot;00946D55&quot;/&gt;&lt;wsp:rsid wsp:val=&quot;009477DE&quot;/&gt;&lt;wsp:rsid wsp:val=&quot;0094788D&quot;/&gt;&lt;wsp:rsid wsp:val=&quot;0095075F&quot;/&gt;&lt;wsp:rsid wsp:val=&quot;00950BB5&quot;/&gt;&lt;wsp:rsid wsp:val=&quot;009516B0&quot;/&gt;&lt;wsp:rsid wsp:val=&quot;00951AD3&quot;/&gt;&lt;wsp:rsid wsp:val=&quot;00951E6C&quot;/&gt;&lt;wsp:rsid wsp:val=&quot;009522C2&quot;/&gt;&lt;wsp:rsid wsp:val=&quot;00952A44&quot;/&gt;&lt;wsp:rsid wsp:val=&quot;00952B2E&quot;/&gt;&lt;wsp:rsid wsp:val=&quot;00952F4E&quot;/&gt;&lt;wsp:rsid wsp:val=&quot;00953AA4&quot;/&gt;&lt;wsp:rsid wsp:val=&quot;009549EA&quot;/&gt;&lt;wsp:rsid wsp:val=&quot;0095565F&quot;/&gt;&lt;wsp:rsid wsp:val=&quot;00955A57&quot;/&gt;&lt;wsp:rsid wsp:val=&quot;00956031&quot;/&gt;&lt;wsp:rsid wsp:val=&quot;00956698&quot;/&gt;&lt;wsp:rsid wsp:val=&quot;00956987&quot;/&gt;&lt;wsp:rsid wsp:val=&quot;009569DB&quot;/&gt;&lt;wsp:rsid wsp:val=&quot;00956C71&quot;/&gt;&lt;wsp:rsid wsp:val=&quot;00956E40&quot;/&gt;&lt;wsp:rsid wsp:val=&quot;00956FDA&quot;/&gt;&lt;wsp:rsid wsp:val=&quot;00957367&quot;/&gt;&lt;wsp:rsid wsp:val=&quot;00957890&quot;/&gt;&lt;wsp:rsid wsp:val=&quot;00957E1E&quot;/&gt;&lt;wsp:rsid wsp:val=&quot;00960110&quot;/&gt;&lt;wsp:rsid wsp:val=&quot;00960DC2&quot;/&gt;&lt;wsp:rsid wsp:val=&quot;009610A0&quot;/&gt;&lt;wsp:rsid wsp:val=&quot;00961569&quot;/&gt;&lt;wsp:rsid wsp:val=&quot;00962FAF&quot;/&gt;&lt;wsp:rsid wsp:val=&quot;009643D9&quot;/&gt;&lt;wsp:rsid wsp:val=&quot;00964535&quot;/&gt;&lt;wsp:rsid wsp:val=&quot;00965033&quot;/&gt;&lt;wsp:rsid wsp:val=&quot;0096533F&quot;/&gt;&lt;wsp:rsid wsp:val=&quot;009662D5&quot;/&gt;&lt;wsp:rsid wsp:val=&quot;00966571&quot;/&gt;&lt;wsp:rsid wsp:val=&quot;00967A1F&quot;/&gt;&lt;wsp:rsid wsp:val=&quot;00967B2F&quot;/&gt;&lt;wsp:rsid wsp:val=&quot;00967D99&quot;/&gt;&lt;wsp:rsid wsp:val=&quot;00967F5E&quot;/&gt;&lt;wsp:rsid wsp:val=&quot;00971016&quot;/&gt;&lt;wsp:rsid wsp:val=&quot;0097158F&quot;/&gt;&lt;wsp:rsid wsp:val=&quot;0097176A&quot;/&gt;&lt;wsp:rsid wsp:val=&quot;0097246C&quot;/&gt;&lt;wsp:rsid wsp:val=&quot;00972FF4&quot;/&gt;&lt;wsp:rsid wsp:val=&quot;009738AC&quot;/&gt;&lt;wsp:rsid wsp:val=&quot;00973A25&quot;/&gt;&lt;wsp:rsid wsp:val=&quot;00973AF5&quot;/&gt;&lt;wsp:rsid wsp:val=&quot;00974641&quot;/&gt;&lt;wsp:rsid wsp:val=&quot;00975729&quot;/&gt;&lt;wsp:rsid wsp:val=&quot;00975E5B&quot;/&gt;&lt;wsp:rsid wsp:val=&quot;00976528&quot;/&gt;&lt;wsp:rsid wsp:val=&quot;009772B1&quot;/&gt;&lt;wsp:rsid wsp:val=&quot;0097771A&quot;/&gt;&lt;wsp:rsid wsp:val=&quot;00977C77&quot;/&gt;&lt;wsp:rsid wsp:val=&quot;00977D18&quot;/&gt;&lt;wsp:rsid wsp:val=&quot;00980111&quot;/&gt;&lt;wsp:rsid wsp:val=&quot;00980AF5&quot;/&gt;&lt;wsp:rsid wsp:val=&quot;009819CC&quot;/&gt;&lt;wsp:rsid wsp:val=&quot;00981E30&quot;/&gt;&lt;wsp:rsid wsp:val=&quot;009826D1&quot;/&gt;&lt;wsp:rsid wsp:val=&quot;0098279F&quot;/&gt;&lt;wsp:rsid wsp:val=&quot;00982909&quot;/&gt;&lt;wsp:rsid wsp:val=&quot;0098312D&quot;/&gt;&lt;wsp:rsid wsp:val=&quot;009836A4&quot;/&gt;&lt;wsp:rsid wsp:val=&quot;00983899&quot;/&gt;&lt;wsp:rsid wsp:val=&quot;00983C80&quot;/&gt;&lt;wsp:rsid wsp:val=&quot;0098415D&quot;/&gt;&lt;wsp:rsid wsp:val=&quot;009841D3&quot;/&gt;&lt;wsp:rsid wsp:val=&quot;00984739&quot;/&gt;&lt;wsp:rsid wsp:val=&quot;0098486B&quot;/&gt;&lt;wsp:rsid wsp:val=&quot;00984DDB&quot;/&gt;&lt;wsp:rsid wsp:val=&quot;0098504F&quot;/&gt;&lt;wsp:rsid wsp:val=&quot;009851B9&quot;/&gt;&lt;wsp:rsid wsp:val=&quot;009852CD&quot;/&gt;&lt;wsp:rsid wsp:val=&quot;00985B49&quot;/&gt;&lt;wsp:rsid wsp:val=&quot;009900AE&quot;/&gt;&lt;wsp:rsid wsp:val=&quot;00990796&quot;/&gt;&lt;wsp:rsid wsp:val=&quot;00991064&quot;/&gt;&lt;wsp:rsid wsp:val=&quot;009917B6&quot;/&gt;&lt;wsp:rsid wsp:val=&quot;00993A3F&quot;/&gt;&lt;wsp:rsid wsp:val=&quot;00993E6A&quot;/&gt;&lt;wsp:rsid wsp:val=&quot;00995A99&quot;/&gt;&lt;wsp:rsid wsp:val=&quot;00997BCA&quot;/&gt;&lt;wsp:rsid wsp:val=&quot;009A0A04&quot;/&gt;&lt;wsp:rsid wsp:val=&quot;009A1CE9&quot;/&gt;&lt;wsp:rsid wsp:val=&quot;009A1EFC&quot;/&gt;&lt;wsp:rsid wsp:val=&quot;009A267F&quot;/&gt;&lt;wsp:rsid wsp:val=&quot;009A2C85&quot;/&gt;&lt;wsp:rsid wsp:val=&quot;009A2DED&quot;/&gt;&lt;wsp:rsid wsp:val=&quot;009A3029&quot;/&gt;&lt;wsp:rsid wsp:val=&quot;009A37DC&quot;/&gt;&lt;wsp:rsid wsp:val=&quot;009A53EA&quot;/&gt;&lt;wsp:rsid wsp:val=&quot;009A56A7&quot;/&gt;&lt;wsp:rsid wsp:val=&quot;009A7AB2&quot;/&gt;&lt;wsp:rsid wsp:val=&quot;009B0144&quot;/&gt;&lt;wsp:rsid wsp:val=&quot;009B17AE&quot;/&gt;&lt;wsp:rsid wsp:val=&quot;009B19CD&quot;/&gt;&lt;wsp:rsid wsp:val=&quot;009B1B85&quot;/&gt;&lt;wsp:rsid wsp:val=&quot;009B1D1C&quot;/&gt;&lt;wsp:rsid wsp:val=&quot;009B5BE1&quot;/&gt;&lt;wsp:rsid wsp:val=&quot;009B7B39&quot;/&gt;&lt;wsp:rsid wsp:val=&quot;009C06DD&quot;/&gt;&lt;wsp:rsid wsp:val=&quot;009C0874&quot;/&gt;&lt;wsp:rsid wsp:val=&quot;009C1344&quot;/&gt;&lt;wsp:rsid wsp:val=&quot;009C240C&quot;/&gt;&lt;wsp:rsid wsp:val=&quot;009C2467&quot;/&gt;&lt;wsp:rsid wsp:val=&quot;009C346B&quot;/&gt;&lt;wsp:rsid wsp:val=&quot;009C36A0&quot;/&gt;&lt;wsp:rsid wsp:val=&quot;009C3ADC&quot;/&gt;&lt;wsp:rsid wsp:val=&quot;009C4F30&quot;/&gt;&lt;wsp:rsid wsp:val=&quot;009C54F1&quot;/&gt;&lt;wsp:rsid wsp:val=&quot;009C5AAD&quot;/&gt;&lt;wsp:rsid wsp:val=&quot;009C5D14&quot;/&gt;&lt;wsp:rsid wsp:val=&quot;009C607D&quot;/&gt;&lt;wsp:rsid wsp:val=&quot;009C61C2&quot;/&gt;&lt;wsp:rsid wsp:val=&quot;009C6297&quot;/&gt;&lt;wsp:rsid wsp:val=&quot;009C63C3&quot;/&gt;&lt;wsp:rsid wsp:val=&quot;009C68CA&quot;/&gt;&lt;wsp:rsid wsp:val=&quot;009C6D18&quot;/&gt;&lt;wsp:rsid wsp:val=&quot;009D032A&quot;/&gt;&lt;wsp:rsid wsp:val=&quot;009D0396&quot;/&gt;&lt;wsp:rsid wsp:val=&quot;009D077C&quot;/&gt;&lt;wsp:rsid wsp:val=&quot;009D1E0F&quot;/&gt;&lt;wsp:rsid wsp:val=&quot;009D20DA&quot;/&gt;&lt;wsp:rsid wsp:val=&quot;009D21EA&quot;/&gt;&lt;wsp:rsid wsp:val=&quot;009D23DD&quot;/&gt;&lt;wsp:rsid wsp:val=&quot;009D26EE&quot;/&gt;&lt;wsp:rsid wsp:val=&quot;009D37A3&quot;/&gt;&lt;wsp:rsid wsp:val=&quot;009D3ED2&quot;/&gt;&lt;wsp:rsid wsp:val=&quot;009D4BDA&quot;/&gt;&lt;wsp:rsid wsp:val=&quot;009D6527&quot;/&gt;&lt;wsp:rsid wsp:val=&quot;009D65AC&quot;/&gt;&lt;wsp:rsid wsp:val=&quot;009D6D95&quot;/&gt;&lt;wsp:rsid wsp:val=&quot;009D6FF6&quot;/&gt;&lt;wsp:rsid wsp:val=&quot;009D720A&quot;/&gt;&lt;wsp:rsid wsp:val=&quot;009D789E&quot;/&gt;&lt;wsp:rsid wsp:val=&quot;009D7C77&quot;/&gt;&lt;wsp:rsid wsp:val=&quot;009E0C8D&quot;/&gt;&lt;wsp:rsid wsp:val=&quot;009E13E1&quot;/&gt;&lt;wsp:rsid wsp:val=&quot;009E19D6&quot;/&gt;&lt;wsp:rsid wsp:val=&quot;009E1E02&quot;/&gt;&lt;wsp:rsid wsp:val=&quot;009E484C&quot;/&gt;&lt;wsp:rsid wsp:val=&quot;009E4C45&quot;/&gt;&lt;wsp:rsid wsp:val=&quot;009E51AF&quot;/&gt;&lt;wsp:rsid wsp:val=&quot;009E5608&quot;/&gt;&lt;wsp:rsid wsp:val=&quot;009E574B&quot;/&gt;&lt;wsp:rsid wsp:val=&quot;009E58F5&quot;/&gt;&lt;wsp:rsid wsp:val=&quot;009E640F&quot;/&gt;&lt;wsp:rsid wsp:val=&quot;009E66FE&quot;/&gt;&lt;wsp:rsid wsp:val=&quot;009E702A&quot;/&gt;&lt;wsp:rsid wsp:val=&quot;009F0E32&quot;/&gt;&lt;wsp:rsid wsp:val=&quot;009F1E97&quot;/&gt;&lt;wsp:rsid wsp:val=&quot;009F2605&quot;/&gt;&lt;wsp:rsid wsp:val=&quot;009F27CA&quot;/&gt;&lt;wsp:rsid wsp:val=&quot;009F3075&quot;/&gt;&lt;wsp:rsid wsp:val=&quot;009F46B0&quot;/&gt;&lt;wsp:rsid wsp:val=&quot;009F5373&quot;/&gt;&lt;wsp:rsid wsp:val=&quot;009F5BB8&quot;/&gt;&lt;wsp:rsid wsp:val=&quot;009F6D75&quot;/&gt;&lt;wsp:rsid wsp:val=&quot;009F6F44&quot;/&gt;&lt;wsp:rsid wsp:val=&quot;009F7509&quot;/&gt;&lt;wsp:rsid wsp:val=&quot;009F7B68&quot;/&gt;&lt;wsp:rsid wsp:val=&quot;00A003D5&quot;/&gt;&lt;wsp:rsid wsp:val=&quot;00A0112B&quot;/&gt;&lt;wsp:rsid wsp:val=&quot;00A011C9&quot;/&gt;&lt;wsp:rsid wsp:val=&quot;00A01699&quot;/&gt;&lt;wsp:rsid wsp:val=&quot;00A01FD4&quot;/&gt;&lt;wsp:rsid wsp:val=&quot;00A02953&quot;/&gt;&lt;wsp:rsid wsp:val=&quot;00A02E62&quot;/&gt;&lt;wsp:rsid wsp:val=&quot;00A02F39&quot;/&gt;&lt;wsp:rsid wsp:val=&quot;00A0302E&quot;/&gt;&lt;wsp:rsid wsp:val=&quot;00A046C6&quot;/&gt;&lt;wsp:rsid wsp:val=&quot;00A04D08&quot;/&gt;&lt;wsp:rsid wsp:val=&quot;00A057B7&quot;/&gt;&lt;wsp:rsid wsp:val=&quot;00A05C63&quot;/&gt;&lt;wsp:rsid wsp:val=&quot;00A06D3E&quot;/&gt;&lt;wsp:rsid wsp:val=&quot;00A073B4&quot;/&gt;&lt;wsp:rsid wsp:val=&quot;00A101A9&quot;/&gt;&lt;wsp:rsid wsp:val=&quot;00A10ECF&quot;/&gt;&lt;wsp:rsid wsp:val=&quot;00A11988&quot;/&gt;&lt;wsp:rsid wsp:val=&quot;00A11B20&quot;/&gt;&lt;wsp:rsid wsp:val=&quot;00A11F64&quot;/&gt;&lt;wsp:rsid wsp:val=&quot;00A13110&quot;/&gt;&lt;wsp:rsid wsp:val=&quot;00A132D1&quot;/&gt;&lt;wsp:rsid wsp:val=&quot;00A13580&quot;/&gt;&lt;wsp:rsid wsp:val=&quot;00A13A49&quot;/&gt;&lt;wsp:rsid wsp:val=&quot;00A1401E&quot;/&gt;&lt;wsp:rsid wsp:val=&quot;00A14583&quot;/&gt;&lt;wsp:rsid wsp:val=&quot;00A14794&quot;/&gt;&lt;wsp:rsid wsp:val=&quot;00A14945&quot;/&gt;&lt;wsp:rsid wsp:val=&quot;00A14F11&quot;/&gt;&lt;wsp:rsid wsp:val=&quot;00A16755&quot;/&gt;&lt;wsp:rsid wsp:val=&quot;00A16A31&quot;/&gt;&lt;wsp:rsid wsp:val=&quot;00A16B80&quot;/&gt;&lt;wsp:rsid wsp:val=&quot;00A17149&quot;/&gt;&lt;wsp:rsid wsp:val=&quot;00A173EC&quot;/&gt;&lt;wsp:rsid wsp:val=&quot;00A20B28&quot;/&gt;&lt;wsp:rsid wsp:val=&quot;00A2107A&quot;/&gt;&lt;wsp:rsid wsp:val=&quot;00A21601&quot;/&gt;&lt;wsp:rsid wsp:val=&quot;00A221B7&quot;/&gt;&lt;wsp:rsid wsp:val=&quot;00A22DDD&quot;/&gt;&lt;wsp:rsid wsp:val=&quot;00A23F3C&quot;/&gt;&lt;wsp:rsid wsp:val=&quot;00A24484&quot;/&gt;&lt;wsp:rsid wsp:val=&quot;00A24FB9&quot;/&gt;&lt;wsp:rsid wsp:val=&quot;00A2546D&quot;/&gt;&lt;wsp:rsid wsp:val=&quot;00A2650C&quot;/&gt;&lt;wsp:rsid wsp:val=&quot;00A26999&quot;/&gt;&lt;wsp:rsid wsp:val=&quot;00A27F65&quot;/&gt;&lt;wsp:rsid wsp:val=&quot;00A3082B&quot;/&gt;&lt;wsp:rsid wsp:val=&quot;00A3108F&quot;/&gt;&lt;wsp:rsid wsp:val=&quot;00A32815&quot;/&gt;&lt;wsp:rsid wsp:val=&quot;00A32978&quot;/&gt;&lt;wsp:rsid wsp:val=&quot;00A32CDE&quot;/&gt;&lt;wsp:rsid wsp:val=&quot;00A3309B&quot;/&gt;&lt;wsp:rsid wsp:val=&quot;00A33351&quot;/&gt;&lt;wsp:rsid wsp:val=&quot;00A34718&quot;/&gt;&lt;wsp:rsid wsp:val=&quot;00A347D7&quot;/&gt;&lt;wsp:rsid wsp:val=&quot;00A3523C&quot;/&gt;&lt;wsp:rsid wsp:val=&quot;00A35C74&quot;/&gt;&lt;wsp:rsid wsp:val=&quot;00A35E02&quot;/&gt;&lt;wsp:rsid wsp:val=&quot;00A36B39&quot;/&gt;&lt;wsp:rsid wsp:val=&quot;00A36DD2&quot;/&gt;&lt;wsp:rsid wsp:val=&quot;00A37147&quot;/&gt;&lt;wsp:rsid wsp:val=&quot;00A37398&quot;/&gt;&lt;wsp:rsid wsp:val=&quot;00A411D8&quot;/&gt;&lt;wsp:rsid wsp:val=&quot;00A42A30&quot;/&gt;&lt;wsp:rsid wsp:val=&quot;00A42D20&quot;/&gt;&lt;wsp:rsid wsp:val=&quot;00A44E8B&quot;/&gt;&lt;wsp:rsid wsp:val=&quot;00A472D9&quot;/&gt;&lt;wsp:rsid wsp:val=&quot;00A47D86&quot;/&gt;&lt;wsp:rsid wsp:val=&quot;00A47F22&quot;/&gt;&lt;wsp:rsid wsp:val=&quot;00A503CA&quot;/&gt;&lt;wsp:rsid wsp:val=&quot;00A505EF&quot;/&gt;&lt;wsp:rsid wsp:val=&quot;00A5246E&quot;/&gt;&lt;wsp:rsid wsp:val=&quot;00A531D6&quot;/&gt;&lt;wsp:rsid wsp:val=&quot;00A53665&quot;/&gt;&lt;wsp:rsid wsp:val=&quot;00A54B4C&quot;/&gt;&lt;wsp:rsid wsp:val=&quot;00A5634E&quot;/&gt;&lt;wsp:rsid wsp:val=&quot;00A566F4&quot;/&gt;&lt;wsp:rsid wsp:val=&quot;00A56BBB&quot;/&gt;&lt;wsp:rsid wsp:val=&quot;00A5711D&quot;/&gt;&lt;wsp:rsid wsp:val=&quot;00A5718F&quot;/&gt;&lt;wsp:rsid wsp:val=&quot;00A57E05&quot;/&gt;&lt;wsp:rsid wsp:val=&quot;00A607CA&quot;/&gt;&lt;wsp:rsid wsp:val=&quot;00A62314&quot;/&gt;&lt;wsp:rsid wsp:val=&quot;00A634B8&quot;/&gt;&lt;wsp:rsid wsp:val=&quot;00A643CA&quot;/&gt;&lt;wsp:rsid wsp:val=&quot;00A64E18&quot;/&gt;&lt;wsp:rsid wsp:val=&quot;00A65227&quot;/&gt;&lt;wsp:rsid wsp:val=&quot;00A660EF&quot;/&gt;&lt;wsp:rsid wsp:val=&quot;00A672F4&quot;/&gt;&lt;wsp:rsid wsp:val=&quot;00A675A1&quot;/&gt;&lt;wsp:rsid wsp:val=&quot;00A67FBC&quot;/&gt;&lt;wsp:rsid wsp:val=&quot;00A7047F&quot;/&gt;&lt;wsp:rsid wsp:val=&quot;00A72903&quot;/&gt;&lt;wsp:rsid wsp:val=&quot;00A73360&quot;/&gt;&lt;wsp:rsid wsp:val=&quot;00A734E2&quot;/&gt;&lt;wsp:rsid wsp:val=&quot;00A73640&quot;/&gt;&lt;wsp:rsid wsp:val=&quot;00A74729&quot;/&gt;&lt;wsp:rsid wsp:val=&quot;00A74DD1&quot;/&gt;&lt;wsp:rsid wsp:val=&quot;00A74E18&quot;/&gt;&lt;wsp:rsid wsp:val=&quot;00A756F2&quot;/&gt;&lt;wsp:rsid wsp:val=&quot;00A76073&quot;/&gt;&lt;wsp:rsid wsp:val=&quot;00A76243&quot;/&gt;&lt;wsp:rsid wsp:val=&quot;00A768C5&quot;/&gt;&lt;wsp:rsid wsp:val=&quot;00A77212&quot;/&gt;&lt;wsp:rsid wsp:val=&quot;00A80907&quot;/&gt;&lt;wsp:rsid wsp:val=&quot;00A81E19&quot;/&gt;&lt;wsp:rsid wsp:val=&quot;00A81F6D&quot;/&gt;&lt;wsp:rsid wsp:val=&quot;00A82428&quot;/&gt;&lt;wsp:rsid wsp:val=&quot;00A8299A&quot;/&gt;&lt;wsp:rsid wsp:val=&quot;00A82C1F&quot;/&gt;&lt;wsp:rsid wsp:val=&quot;00A82F5D&quot;/&gt;&lt;wsp:rsid wsp:val=&quot;00A8348B&quot;/&gt;&lt;wsp:rsid wsp:val=&quot;00A84999&quot;/&gt;&lt;wsp:rsid wsp:val=&quot;00A861CE&quot;/&gt;&lt;wsp:rsid wsp:val=&quot;00A865D3&quot;/&gt;&lt;wsp:rsid wsp:val=&quot;00A86E87&quot;/&gt;&lt;wsp:rsid wsp:val=&quot;00A8779F&quot;/&gt;&lt;wsp:rsid wsp:val=&quot;00A87961&quot;/&gt;&lt;wsp:rsid wsp:val=&quot;00A87D4B&quot;/&gt;&lt;wsp:rsid wsp:val=&quot;00A90974&quot;/&gt;&lt;wsp:rsid wsp:val=&quot;00A90D50&quot;/&gt;&lt;wsp:rsid wsp:val=&quot;00A90EE5&quot;/&gt;&lt;wsp:rsid wsp:val=&quot;00A90EE6&quot;/&gt;&lt;wsp:rsid wsp:val=&quot;00A91913&quot;/&gt;&lt;wsp:rsid wsp:val=&quot;00A92C50&quot;/&gt;&lt;wsp:rsid wsp:val=&quot;00A93947&quot;/&gt;&lt;wsp:rsid wsp:val=&quot;00A9451D&quot;/&gt;&lt;wsp:rsid wsp:val=&quot;00A948AC&quot;/&gt;&lt;wsp:rsid wsp:val=&quot;00A95439&quot;/&gt;&lt;wsp:rsid wsp:val=&quot;00A95C7A&quot;/&gt;&lt;wsp:rsid wsp:val=&quot;00A961F5&quot;/&gt;&lt;wsp:rsid wsp:val=&quot;00A962AD&quot;/&gt;&lt;wsp:rsid wsp:val=&quot;00A97B60&quot;/&gt;&lt;wsp:rsid wsp:val=&quot;00AA0BAA&quot;/&gt;&lt;wsp:rsid wsp:val=&quot;00AA14D7&quot;/&gt;&lt;wsp:rsid wsp:val=&quot;00AA15BD&quot;/&gt;&lt;wsp:rsid wsp:val=&quot;00AA1F2D&quot;/&gt;&lt;wsp:rsid wsp:val=&quot;00AA1FEF&quot;/&gt;&lt;wsp:rsid wsp:val=&quot;00AA29F0&quot;/&gt;&lt;wsp:rsid wsp:val=&quot;00AA5338&quot;/&gt;&lt;wsp:rsid wsp:val=&quot;00AA5B17&quot;/&gt;&lt;wsp:rsid wsp:val=&quot;00AA5BD7&quot;/&gt;&lt;wsp:rsid wsp:val=&quot;00AA613D&quot;/&gt;&lt;wsp:rsid wsp:val=&quot;00AA6162&quot;/&gt;&lt;wsp:rsid wsp:val=&quot;00AA67B5&quot;/&gt;&lt;wsp:rsid wsp:val=&quot;00AB0280&quot;/&gt;&lt;wsp:rsid wsp:val=&quot;00AB07C5&quot;/&gt;&lt;wsp:rsid wsp:val=&quot;00AB0D86&quot;/&gt;&lt;wsp:rsid wsp:val=&quot;00AB18CA&quot;/&gt;&lt;wsp:rsid wsp:val=&quot;00AB1928&quot;/&gt;&lt;wsp:rsid wsp:val=&quot;00AB1CFE&quot;/&gt;&lt;wsp:rsid wsp:val=&quot;00AB24CE&quot;/&gt;&lt;wsp:rsid wsp:val=&quot;00AB2F7C&quot;/&gt;&lt;wsp:rsid wsp:val=&quot;00AB3096&quot;/&gt;&lt;wsp:rsid wsp:val=&quot;00AB39C7&quot;/&gt;&lt;wsp:rsid wsp:val=&quot;00AB474B&quot;/&gt;&lt;wsp:rsid wsp:val=&quot;00AB50F5&quot;/&gt;&lt;wsp:rsid wsp:val=&quot;00AB628C&quot;/&gt;&lt;wsp:rsid wsp:val=&quot;00AB6786&quot;/&gt;&lt;wsp:rsid wsp:val=&quot;00AB680D&quot;/&gt;&lt;wsp:rsid wsp:val=&quot;00AB7532&quot;/&gt;&lt;wsp:rsid wsp:val=&quot;00AB793D&quot;/&gt;&lt;wsp:rsid wsp:val=&quot;00AB7A55&quot;/&gt;&lt;wsp:rsid wsp:val=&quot;00AB7D41&quot;/&gt;&lt;wsp:rsid wsp:val=&quot;00AC0199&quot;/&gt;&lt;wsp:rsid wsp:val=&quot;00AC0882&quot;/&gt;&lt;wsp:rsid wsp:val=&quot;00AC10B8&quot;/&gt;&lt;wsp:rsid wsp:val=&quot;00AC145D&quot;/&gt;&lt;wsp:rsid wsp:val=&quot;00AC1898&quot;/&gt;&lt;wsp:rsid wsp:val=&quot;00AC195C&quot;/&gt;&lt;wsp:rsid wsp:val=&quot;00AC1A25&quot;/&gt;&lt;wsp:rsid wsp:val=&quot;00AC233E&quot;/&gt;&lt;wsp:rsid wsp:val=&quot;00AC2B9D&quot;/&gt;&lt;wsp:rsid wsp:val=&quot;00AC3107&quot;/&gt;&lt;wsp:rsid wsp:val=&quot;00AC378F&quot;/&gt;&lt;wsp:rsid wsp:val=&quot;00AC37D5&quot;/&gt;&lt;wsp:rsid wsp:val=&quot;00AC3948&quot;/&gt;&lt;wsp:rsid wsp:val=&quot;00AC4168&quot;/&gt;&lt;wsp:rsid wsp:val=&quot;00AC44B3&quot;/&gt;&lt;wsp:rsid wsp:val=&quot;00AC450E&quot;/&gt;&lt;wsp:rsid wsp:val=&quot;00AC5149&quot;/&gt;&lt;wsp:rsid wsp:val=&quot;00AC6AF2&quot;/&gt;&lt;wsp:rsid wsp:val=&quot;00AC6C4A&quot;/&gt;&lt;wsp:rsid wsp:val=&quot;00AC6F70&quot;/&gt;&lt;wsp:rsid wsp:val=&quot;00AC7730&quot;/&gt;&lt;wsp:rsid wsp:val=&quot;00AC7CEB&quot;/&gt;&lt;wsp:rsid wsp:val=&quot;00AD0148&quot;/&gt;&lt;wsp:rsid wsp:val=&quot;00AD0B96&quot;/&gt;&lt;wsp:rsid wsp:val=&quot;00AD0CB0&quot;/&gt;&lt;wsp:rsid wsp:val=&quot;00AD12C4&quot;/&gt;&lt;wsp:rsid wsp:val=&quot;00AD12F9&quot;/&gt;&lt;wsp:rsid wsp:val=&quot;00AD217E&quot;/&gt;&lt;wsp:rsid wsp:val=&quot;00AD288B&quot;/&gt;&lt;wsp:rsid wsp:val=&quot;00AD2EC0&quot;/&gt;&lt;wsp:rsid wsp:val=&quot;00AD3AE7&quot;/&gt;&lt;wsp:rsid wsp:val=&quot;00AD3F83&quot;/&gt;&lt;wsp:rsid wsp:val=&quot;00AD4A39&quot;/&gt;&lt;wsp:rsid wsp:val=&quot;00AD4D3F&quot;/&gt;&lt;wsp:rsid wsp:val=&quot;00AD4F38&quot;/&gt;&lt;wsp:rsid wsp:val=&quot;00AD59EA&quot;/&gt;&lt;wsp:rsid wsp:val=&quot;00AD5C8B&quot;/&gt;&lt;wsp:rsid wsp:val=&quot;00AD5F6E&quot;/&gt;&lt;wsp:rsid wsp:val=&quot;00AD6746&quot;/&gt;&lt;wsp:rsid wsp:val=&quot;00AD728E&quot;/&gt;&lt;wsp:rsid wsp:val=&quot;00AD7596&quot;/&gt;&lt;wsp:rsid wsp:val=&quot;00AD77B7&quot;/&gt;&lt;wsp:rsid wsp:val=&quot;00AD785B&quot;/&gt;&lt;wsp:rsid wsp:val=&quot;00AD7C0F&quot;/&gt;&lt;wsp:rsid wsp:val=&quot;00AD7C55&quot;/&gt;&lt;wsp:rsid wsp:val=&quot;00AD7C60&quot;/&gt;&lt;wsp:rsid wsp:val=&quot;00AD7CF1&quot;/&gt;&lt;wsp:rsid wsp:val=&quot;00AE061D&quot;/&gt;&lt;wsp:rsid wsp:val=&quot;00AE0B46&quot;/&gt;&lt;wsp:rsid wsp:val=&quot;00AE1346&quot;/&gt;&lt;wsp:rsid wsp:val=&quot;00AE1C2A&quot;/&gt;&lt;wsp:rsid wsp:val=&quot;00AE1EFC&quot;/&gt;&lt;wsp:rsid wsp:val=&quot;00AE2265&quot;/&gt;&lt;wsp:rsid wsp:val=&quot;00AE25CB&quot;/&gt;&lt;wsp:rsid wsp:val=&quot;00AE29B7&quot;/&gt;&lt;wsp:rsid wsp:val=&quot;00AE378C&quot;/&gt;&lt;wsp:rsid wsp:val=&quot;00AE436C&quot;/&gt;&lt;wsp:rsid wsp:val=&quot;00AE49DD&quot;/&gt;&lt;wsp:rsid wsp:val=&quot;00AE577A&quot;/&gt;&lt;wsp:rsid wsp:val=&quot;00AE5859&quot;/&gt;&lt;wsp:rsid wsp:val=&quot;00AE58B1&quot;/&gt;&lt;wsp:rsid wsp:val=&quot;00AE58EF&quot;/&gt;&lt;wsp:rsid wsp:val=&quot;00AE5BA7&quot;/&gt;&lt;wsp:rsid wsp:val=&quot;00AE6153&quot;/&gt;&lt;wsp:rsid wsp:val=&quot;00AE6EC5&quot;/&gt;&lt;wsp:rsid wsp:val=&quot;00AE7263&quot;/&gt;&lt;wsp:rsid wsp:val=&quot;00AE7CAD&quot;/&gt;&lt;wsp:rsid wsp:val=&quot;00AF27AE&quot;/&gt;&lt;wsp:rsid wsp:val=&quot;00AF2B3B&quot;/&gt;&lt;wsp:rsid wsp:val=&quot;00AF2F85&quot;/&gt;&lt;wsp:rsid wsp:val=&quot;00AF335D&quot;/&gt;&lt;wsp:rsid wsp:val=&quot;00AF3B88&quot;/&gt;&lt;wsp:rsid wsp:val=&quot;00AF4736&quot;/&gt;&lt;wsp:rsid wsp:val=&quot;00AF473B&quot;/&gt;&lt;wsp:rsid wsp:val=&quot;00AF4F59&quot;/&gt;&lt;wsp:rsid wsp:val=&quot;00AF5136&quot;/&gt;&lt;wsp:rsid wsp:val=&quot;00AF52FF&quot;/&gt;&lt;wsp:rsid wsp:val=&quot;00AF6889&quot;/&gt;&lt;wsp:rsid wsp:val=&quot;00B00A27&quot;/&gt;&lt;wsp:rsid wsp:val=&quot;00B0123F&quot;/&gt;&lt;wsp:rsid wsp:val=&quot;00B01398&quot;/&gt;&lt;wsp:rsid wsp:val=&quot;00B01508&quot;/&gt;&lt;wsp:rsid wsp:val=&quot;00B019E1&quot;/&gt;&lt;wsp:rsid wsp:val=&quot;00B02CF2&quot;/&gt;&lt;wsp:rsid wsp:val=&quot;00B02E73&quot;/&gt;&lt;wsp:rsid wsp:val=&quot;00B04347&quot;/&gt;&lt;wsp:rsid wsp:val=&quot;00B04799&quot;/&gt;&lt;wsp:rsid wsp:val=&quot;00B04AE5&quot;/&gt;&lt;wsp:rsid wsp:val=&quot;00B04B28&quot;/&gt;&lt;wsp:rsid wsp:val=&quot;00B05F63&quot;/&gt;&lt;wsp:rsid wsp:val=&quot;00B06BE3&quot;/&gt;&lt;wsp:rsid wsp:val=&quot;00B07D7A&quot;/&gt;&lt;wsp:rsid wsp:val=&quot;00B07F45&quot;/&gt;&lt;wsp:rsid wsp:val=&quot;00B07FE4&quot;/&gt;&lt;wsp:rsid wsp:val=&quot;00B10C76&quot;/&gt;&lt;wsp:rsid wsp:val=&quot;00B1101F&quot;/&gt;&lt;wsp:rsid wsp:val=&quot;00B1267A&quot;/&gt;&lt;wsp:rsid wsp:val=&quot;00B12AE3&quot;/&gt;&lt;wsp:rsid wsp:val=&quot;00B13713&quot;/&gt;&lt;wsp:rsid wsp:val=&quot;00B1407B&quot;/&gt;&lt;wsp:rsid wsp:val=&quot;00B140DC&quot;/&gt;&lt;wsp:rsid wsp:val=&quot;00B145E7&quot;/&gt;&lt;wsp:rsid wsp:val=&quot;00B1602A&quot;/&gt;&lt;wsp:rsid wsp:val=&quot;00B16A89&quot;/&gt;&lt;wsp:rsid wsp:val=&quot;00B1713F&quot;/&gt;&lt;wsp:rsid wsp:val=&quot;00B17207&quot;/&gt;&lt;wsp:rsid wsp:val=&quot;00B17926&quot;/&gt;&lt;wsp:rsid wsp:val=&quot;00B2044B&quot;/&gt;&lt;wsp:rsid wsp:val=&quot;00B206C0&quot;/&gt;&lt;wsp:rsid wsp:val=&quot;00B21110&quot;/&gt;&lt;wsp:rsid wsp:val=&quot;00B21710&quot;/&gt;&lt;wsp:rsid wsp:val=&quot;00B21CA8&quot;/&gt;&lt;wsp:rsid wsp:val=&quot;00B21DAC&quot;/&gt;&lt;wsp:rsid wsp:val=&quot;00B236C5&quot;/&gt;&lt;wsp:rsid wsp:val=&quot;00B23BD0&quot;/&gt;&lt;wsp:rsid wsp:val=&quot;00B23ECD&quot;/&gt;&lt;wsp:rsid wsp:val=&quot;00B25139&quot;/&gt;&lt;wsp:rsid wsp:val=&quot;00B252B3&quot;/&gt;&lt;wsp:rsid wsp:val=&quot;00B25350&quot;/&gt;&lt;wsp:rsid wsp:val=&quot;00B258FD&quot;/&gt;&lt;wsp:rsid wsp:val=&quot;00B2683D&quot;/&gt;&lt;wsp:rsid wsp:val=&quot;00B275E3&quot;/&gt;&lt;wsp:rsid wsp:val=&quot;00B27C2F&quot;/&gt;&lt;wsp:rsid wsp:val=&quot;00B27C44&quot;/&gt;&lt;wsp:rsid wsp:val=&quot;00B27D92&quot;/&gt;&lt;wsp:rsid wsp:val=&quot;00B30256&quot;/&gt;&lt;wsp:rsid wsp:val=&quot;00B309F2&quot;/&gt;&lt;wsp:rsid wsp:val=&quot;00B3139A&quot;/&gt;&lt;wsp:rsid wsp:val=&quot;00B31658&quot;/&gt;&lt;wsp:rsid wsp:val=&quot;00B31771&quot;/&gt;&lt;wsp:rsid wsp:val=&quot;00B318B7&quot;/&gt;&lt;wsp:rsid wsp:val=&quot;00B32066&quot;/&gt;&lt;wsp:rsid wsp:val=&quot;00B32367&quot;/&gt;&lt;wsp:rsid wsp:val=&quot;00B32655&quot;/&gt;&lt;wsp:rsid wsp:val=&quot;00B3300B&quot;/&gt;&lt;wsp:rsid wsp:val=&quot;00B333B9&quot;/&gt;&lt;wsp:rsid wsp:val=&quot;00B334B8&quot;/&gt;&lt;wsp:rsid wsp:val=&quot;00B35294&quot;/&gt;&lt;wsp:rsid wsp:val=&quot;00B365A0&quot;/&gt;&lt;wsp:rsid wsp:val=&quot;00B36C50&quot;/&gt;&lt;wsp:rsid wsp:val=&quot;00B36EC6&quot;/&gt;&lt;wsp:rsid wsp:val=&quot;00B37269&quot;/&gt;&lt;wsp:rsid wsp:val=&quot;00B378C8&quot;/&gt;&lt;wsp:rsid wsp:val=&quot;00B40693&quot;/&gt;&lt;wsp:rsid wsp:val=&quot;00B4298E&quot;/&gt;&lt;wsp:rsid wsp:val=&quot;00B4317F&quot;/&gt;&lt;wsp:rsid wsp:val=&quot;00B46066&quot;/&gt;&lt;wsp:rsid wsp:val=&quot;00B469D9&quot;/&gt;&lt;wsp:rsid wsp:val=&quot;00B47496&quot;/&gt;&lt;wsp:rsid wsp:val=&quot;00B47B2C&quot;/&gt;&lt;wsp:rsid wsp:val=&quot;00B47D6C&quot;/&gt;&lt;wsp:rsid wsp:val=&quot;00B5038D&quot;/&gt;&lt;wsp:rsid wsp:val=&quot;00B507CB&quot;/&gt;&lt;wsp:rsid wsp:val=&quot;00B50C30&quot;/&gt;&lt;wsp:rsid wsp:val=&quot;00B50EC7&quot;/&gt;&lt;wsp:rsid wsp:val=&quot;00B5125A&quot;/&gt;&lt;wsp:rsid wsp:val=&quot;00B517BA&quot;/&gt;&lt;wsp:rsid wsp:val=&quot;00B51AFF&quot;/&gt;&lt;wsp:rsid wsp:val=&quot;00B52D19&quot;/&gt;&lt;wsp:rsid wsp:val=&quot;00B52E79&quot;/&gt;&lt;wsp:rsid wsp:val=&quot;00B542D6&quot;/&gt;&lt;wsp:rsid wsp:val=&quot;00B543A6&quot;/&gt;&lt;wsp:rsid wsp:val=&quot;00B54AFC&quot;/&gt;&lt;wsp:rsid wsp:val=&quot;00B55B34&quot;/&gt;&lt;wsp:rsid wsp:val=&quot;00B55D28&quot;/&gt;&lt;wsp:rsid wsp:val=&quot;00B55FCC&quot;/&gt;&lt;wsp:rsid wsp:val=&quot;00B5688E&quot;/&gt;&lt;wsp:rsid wsp:val=&quot;00B569B8&quot;/&gt;&lt;wsp:rsid wsp:val=&quot;00B56F0A&quot;/&gt;&lt;wsp:rsid wsp:val=&quot;00B575F1&quot;/&gt;&lt;wsp:rsid wsp:val=&quot;00B57F20&quot;/&gt;&lt;wsp:rsid wsp:val=&quot;00B60ABF&quot;/&gt;&lt;wsp:rsid wsp:val=&quot;00B60C37&quot;/&gt;&lt;wsp:rsid wsp:val=&quot;00B62653&quot;/&gt;&lt;wsp:rsid wsp:val=&quot;00B635CC&quot;/&gt;&lt;wsp:rsid wsp:val=&quot;00B63676&quot;/&gt;&lt;wsp:rsid wsp:val=&quot;00B6402C&quot;/&gt;&lt;wsp:rsid wsp:val=&quot;00B64FC8&quot;/&gt;&lt;wsp:rsid wsp:val=&quot;00B65D4D&quot;/&gt;&lt;wsp:rsid wsp:val=&quot;00B6684F&quot;/&gt;&lt;wsp:rsid wsp:val=&quot;00B66F64&quot;/&gt;&lt;wsp:rsid wsp:val=&quot;00B67141&quot;/&gt;&lt;wsp:rsid wsp:val=&quot;00B67211&quot;/&gt;&lt;wsp:rsid wsp:val=&quot;00B678F2&quot;/&gt;&lt;wsp:rsid wsp:val=&quot;00B67BD0&quot;/&gt;&lt;wsp:rsid wsp:val=&quot;00B702CC&quot;/&gt;&lt;wsp:rsid wsp:val=&quot;00B70744&quot;/&gt;&lt;wsp:rsid wsp:val=&quot;00B722A3&quot;/&gt;&lt;wsp:rsid wsp:val=&quot;00B724AB&quot;/&gt;&lt;wsp:rsid wsp:val=&quot;00B72CA3&quot;/&gt;&lt;wsp:rsid wsp:val=&quot;00B73714&quot;/&gt;&lt;wsp:rsid wsp:val=&quot;00B73FC0&quot;/&gt;&lt;wsp:rsid wsp:val=&quot;00B7467B&quot;/&gt;&lt;wsp:rsid wsp:val=&quot;00B754A5&quot;/&gt;&lt;wsp:rsid wsp:val=&quot;00B760BB&quot;/&gt;&lt;wsp:rsid wsp:val=&quot;00B77973&quot;/&gt;&lt;wsp:rsid wsp:val=&quot;00B77BD3&quot;/&gt;&lt;wsp:rsid wsp:val=&quot;00B77F0B&quot;/&gt;&lt;wsp:rsid wsp:val=&quot;00B801B7&quot;/&gt;&lt;wsp:rsid wsp:val=&quot;00B804FD&quot;/&gt;&lt;wsp:rsid wsp:val=&quot;00B807D7&quot;/&gt;&lt;wsp:rsid wsp:val=&quot;00B8160C&quot;/&gt;&lt;wsp:rsid wsp:val=&quot;00B82558&quot;/&gt;&lt;wsp:rsid wsp:val=&quot;00B832DC&quot;/&gt;&lt;wsp:rsid wsp:val=&quot;00B84F82&quot;/&gt;&lt;wsp:rsid wsp:val=&quot;00B85451&quot;/&gt;&lt;wsp:rsid wsp:val=&quot;00B858D2&quot;/&gt;&lt;wsp:rsid wsp:val=&quot;00B85A6A&quot;/&gt;&lt;wsp:rsid wsp:val=&quot;00B873C0&quot;/&gt;&lt;wsp:rsid wsp:val=&quot;00B87AB2&quot;/&gt;&lt;wsp:rsid wsp:val=&quot;00B90169&quot;/&gt;&lt;wsp:rsid wsp:val=&quot;00B907A6&quot;/&gt;&lt;wsp:rsid wsp:val=&quot;00B90FEE&quot;/&gt;&lt;wsp:rsid wsp:val=&quot;00B9123F&quot;/&gt;&lt;wsp:rsid wsp:val=&quot;00B91B97&quot;/&gt;&lt;wsp:rsid wsp:val=&quot;00B93265&quot;/&gt;&lt;wsp:rsid wsp:val=&quot;00B947D8&quot;/&gt;&lt;wsp:rsid wsp:val=&quot;00B95F41&quot;/&gt;&lt;wsp:rsid wsp:val=&quot;00B961DD&quot;/&gt;&lt;wsp:rsid wsp:val=&quot;00B96748&quot;/&gt;&lt;wsp:rsid wsp:val=&quot;00B9699C&quot;/&gt;&lt;wsp:rsid wsp:val=&quot;00B97060&quot;/&gt;&lt;wsp:rsid wsp:val=&quot;00BA004B&quot;/&gt;&lt;wsp:rsid wsp:val=&quot;00BA0220&quot;/&gt;&lt;wsp:rsid wsp:val=&quot;00BA1083&quot;/&gt;&lt;wsp:rsid wsp:val=&quot;00BA1A36&quot;/&gt;&lt;wsp:rsid wsp:val=&quot;00BA210F&quot;/&gt;&lt;wsp:rsid wsp:val=&quot;00BA2581&quot;/&gt;&lt;wsp:rsid wsp:val=&quot;00BA3443&quot;/&gt;&lt;wsp:rsid wsp:val=&quot;00BA3D68&quot;/&gt;&lt;wsp:rsid wsp:val=&quot;00BA4542&quot;/&gt;&lt;wsp:rsid wsp:val=&quot;00BA475F&quot;/&gt;&lt;wsp:rsid wsp:val=&quot;00BA4CEF&quot;/&gt;&lt;wsp:rsid wsp:val=&quot;00BA5A05&quot;/&gt;&lt;wsp:rsid wsp:val=&quot;00BA612C&quot;/&gt;&lt;wsp:rsid wsp:val=&quot;00BA6287&quot;/&gt;&lt;wsp:rsid wsp:val=&quot;00BA74A2&quot;/&gt;&lt;wsp:rsid wsp:val=&quot;00BA7A7F&quot;/&gt;&lt;wsp:rsid wsp:val=&quot;00BA7B1E&quot;/&gt;&lt;wsp:rsid wsp:val=&quot;00BB0A58&quot;/&gt;&lt;wsp:rsid wsp:val=&quot;00BB0E7C&quot;/&gt;&lt;wsp:rsid wsp:val=&quot;00BB19A0&quot;/&gt;&lt;wsp:rsid wsp:val=&quot;00BB2607&quot;/&gt;&lt;wsp:rsid wsp:val=&quot;00BB2658&quot;/&gt;&lt;wsp:rsid wsp:val=&quot;00BB2D3F&quot;/&gt;&lt;wsp:rsid wsp:val=&quot;00BB47AB&quot;/&gt;&lt;wsp:rsid wsp:val=&quot;00BB4D45&quot;/&gt;&lt;wsp:rsid wsp:val=&quot;00BB4D6F&quot;/&gt;&lt;wsp:rsid wsp:val=&quot;00BB5BF2&quot;/&gt;&lt;wsp:rsid wsp:val=&quot;00BB67DA&quot;/&gt;&lt;wsp:rsid wsp:val=&quot;00BB7AB5&quot;/&gt;&lt;wsp:rsid wsp:val=&quot;00BC1453&quot;/&gt;&lt;wsp:rsid wsp:val=&quot;00BC1A32&quot;/&gt;&lt;wsp:rsid wsp:val=&quot;00BC1E76&quot;/&gt;&lt;wsp:rsid wsp:val=&quot;00BC2392&quot;/&gt;&lt;wsp:rsid wsp:val=&quot;00BC2E71&quot;/&gt;&lt;wsp:rsid wsp:val=&quot;00BC333C&quot;/&gt;&lt;wsp:rsid wsp:val=&quot;00BC36F8&quot;/&gt;&lt;wsp:rsid wsp:val=&quot;00BC42F8&quot;/&gt;&lt;wsp:rsid wsp:val=&quot;00BC4352&quot;/&gt;&lt;wsp:rsid wsp:val=&quot;00BC48ED&quot;/&gt;&lt;wsp:rsid wsp:val=&quot;00BC4DAD&quot;/&gt;&lt;wsp:rsid wsp:val=&quot;00BC581F&quot;/&gt;&lt;wsp:rsid wsp:val=&quot;00BC66FB&quot;/&gt;&lt;wsp:rsid wsp:val=&quot;00BC6CE1&quot;/&gt;&lt;wsp:rsid wsp:val=&quot;00BC715D&quot;/&gt;&lt;wsp:rsid wsp:val=&quot;00BC727B&quot;/&gt;&lt;wsp:rsid wsp:val=&quot;00BC79F5&quot;/&gt;&lt;wsp:rsid wsp:val=&quot;00BC7A29&quot;/&gt;&lt;wsp:rsid wsp:val=&quot;00BC7AC4&quot;/&gt;&lt;wsp:rsid wsp:val=&quot;00BD078B&quot;/&gt;&lt;wsp:rsid wsp:val=&quot;00BD0B53&quot;/&gt;&lt;wsp:rsid wsp:val=&quot;00BD0D03&quot;/&gt;&lt;wsp:rsid wsp:val=&quot;00BD0E39&quot;/&gt;&lt;wsp:rsid wsp:val=&quot;00BD1B9D&quot;/&gt;&lt;wsp:rsid wsp:val=&quot;00BD1F16&quot;/&gt;&lt;wsp:rsid wsp:val=&quot;00BD20A3&quot;/&gt;&lt;wsp:rsid wsp:val=&quot;00BD22DB&quot;/&gt;&lt;wsp:rsid wsp:val=&quot;00BD23A5&quot;/&gt;&lt;wsp:rsid wsp:val=&quot;00BD248C&quot;/&gt;&lt;wsp:rsid wsp:val=&quot;00BD24DC&quot;/&gt;&lt;wsp:rsid wsp:val=&quot;00BD27A7&quot;/&gt;&lt;wsp:rsid wsp:val=&quot;00BD324F&quot;/&gt;&lt;wsp:rsid wsp:val=&quot;00BD4549&quot;/&gt;&lt;wsp:rsid wsp:val=&quot;00BD4712&quot;/&gt;&lt;wsp:rsid wsp:val=&quot;00BD4B62&quot;/&gt;&lt;wsp:rsid wsp:val=&quot;00BD62A0&quot;/&gt;&lt;wsp:rsid wsp:val=&quot;00BD677C&quot;/&gt;&lt;wsp:rsid wsp:val=&quot;00BD6EE1&quot;/&gt;&lt;wsp:rsid wsp:val=&quot;00BD735D&quot;/&gt;&lt;wsp:rsid wsp:val=&quot;00BE09C7&quot;/&gt;&lt;wsp:rsid wsp:val=&quot;00BE1185&quot;/&gt;&lt;wsp:rsid wsp:val=&quot;00BE213C&quot;/&gt;&lt;wsp:rsid wsp:val=&quot;00BE237D&quot;/&gt;&lt;wsp:rsid wsp:val=&quot;00BE448A&quot;/&gt;&lt;wsp:rsid wsp:val=&quot;00BE4E79&quot;/&gt;&lt;wsp:rsid wsp:val=&quot;00BE53CE&quot;/&gt;&lt;wsp:rsid wsp:val=&quot;00BE53F2&quot;/&gt;&lt;wsp:rsid wsp:val=&quot;00BE58BB&quot;/&gt;&lt;wsp:rsid wsp:val=&quot;00BE5CA8&quot;/&gt;&lt;wsp:rsid wsp:val=&quot;00BE6954&quot;/&gt;&lt;wsp:rsid wsp:val=&quot;00BE6C42&quot;/&gt;&lt;wsp:rsid wsp:val=&quot;00BE7838&quot;/&gt;&lt;wsp:rsid wsp:val=&quot;00BE7959&quot;/&gt;&lt;wsp:rsid wsp:val=&quot;00BE7FC1&quot;/&gt;&lt;wsp:rsid wsp:val=&quot;00BF0F0E&quot;/&gt;&lt;wsp:rsid wsp:val=&quot;00BF0FC3&quot;/&gt;&lt;wsp:rsid wsp:val=&quot;00BF1904&quot;/&gt;&lt;wsp:rsid wsp:val=&quot;00BF1921&quot;/&gt;&lt;wsp:rsid wsp:val=&quot;00BF1D13&quot;/&gt;&lt;wsp:rsid wsp:val=&quot;00BF3381&quot;/&gt;&lt;wsp:rsid wsp:val=&quot;00BF3980&quot;/&gt;&lt;wsp:rsid wsp:val=&quot;00BF6008&quot;/&gt;&lt;wsp:rsid wsp:val=&quot;00BF67E5&quot;/&gt;&lt;wsp:rsid wsp:val=&quot;00C00C2B&quot;/&gt;&lt;wsp:rsid wsp:val=&quot;00C01111&quot;/&gt;&lt;wsp:rsid wsp:val=&quot;00C01719&quot;/&gt;&lt;wsp:rsid wsp:val=&quot;00C01768&quot;/&gt;&lt;wsp:rsid wsp:val=&quot;00C01C0D&quot;/&gt;&lt;wsp:rsid wsp:val=&quot;00C0248B&quot;/&gt;&lt;wsp:rsid wsp:val=&quot;00C026AC&quot;/&gt;&lt;wsp:rsid wsp:val=&quot;00C03D56&quot;/&gt;&lt;wsp:rsid wsp:val=&quot;00C045C4&quot;/&gt;&lt;wsp:rsid wsp:val=&quot;00C04CFF&quot;/&gt;&lt;wsp:rsid wsp:val=&quot;00C04D40&quot;/&gt;&lt;wsp:rsid wsp:val=&quot;00C05243&quot;/&gt;&lt;wsp:rsid wsp:val=&quot;00C05762&quot;/&gt;&lt;wsp:rsid wsp:val=&quot;00C0586E&quot;/&gt;&lt;wsp:rsid wsp:val=&quot;00C058B3&quot;/&gt;&lt;wsp:rsid wsp:val=&quot;00C07E33&quot;/&gt;&lt;wsp:rsid wsp:val=&quot;00C07FD8&quot;/&gt;&lt;wsp:rsid wsp:val=&quot;00C1031A&quot;/&gt;&lt;wsp:rsid wsp:val=&quot;00C1114E&quot;/&gt;&lt;wsp:rsid wsp:val=&quot;00C111B8&quot;/&gt;&lt;wsp:rsid wsp:val=&quot;00C11768&quot;/&gt;&lt;wsp:rsid wsp:val=&quot;00C117F6&quot;/&gt;&lt;wsp:rsid wsp:val=&quot;00C1276E&quot;/&gt;&lt;wsp:rsid wsp:val=&quot;00C12FC9&quot;/&gt;&lt;wsp:rsid wsp:val=&quot;00C1376D&quot;/&gt;&lt;wsp:rsid wsp:val=&quot;00C13CE5&quot;/&gt;&lt;wsp:rsid wsp:val=&quot;00C154FB&quot;/&gt;&lt;wsp:rsid wsp:val=&quot;00C156D0&quot;/&gt;&lt;wsp:rsid wsp:val=&quot;00C1613F&quot;/&gt;&lt;wsp:rsid wsp:val=&quot;00C16F0E&quot;/&gt;&lt;wsp:rsid wsp:val=&quot;00C17639&quot;/&gt;&lt;wsp:rsid wsp:val=&quot;00C17D84&quot;/&gt;&lt;wsp:rsid wsp:val=&quot;00C20E9A&quot;/&gt;&lt;wsp:rsid wsp:val=&quot;00C2118C&quot;/&gt;&lt;wsp:rsid wsp:val=&quot;00C218E2&quot;/&gt;&lt;wsp:rsid wsp:val=&quot;00C21E4C&quot;/&gt;&lt;wsp:rsid wsp:val=&quot;00C22209&quot;/&gt;&lt;wsp:rsid wsp:val=&quot;00C238F1&quot;/&gt;&lt;wsp:rsid wsp:val=&quot;00C2400E&quot;/&gt;&lt;wsp:rsid wsp:val=&quot;00C256EC&quot;/&gt;&lt;wsp:rsid wsp:val=&quot;00C257A5&quot;/&gt;&lt;wsp:rsid wsp:val=&quot;00C25AF3&quot;/&gt;&lt;wsp:rsid wsp:val=&quot;00C25B20&quot;/&gt;&lt;wsp:rsid wsp:val=&quot;00C2634E&quot;/&gt;&lt;wsp:rsid wsp:val=&quot;00C27404&quot;/&gt;&lt;wsp:rsid wsp:val=&quot;00C27886&quot;/&gt;&lt;wsp:rsid wsp:val=&quot;00C3079D&quot;/&gt;&lt;wsp:rsid wsp:val=&quot;00C3092E&quot;/&gt;&lt;wsp:rsid wsp:val=&quot;00C3102B&quot;/&gt;&lt;wsp:rsid wsp:val=&quot;00C3127C&quot;/&gt;&lt;wsp:rsid wsp:val=&quot;00C31ACE&quot;/&gt;&lt;wsp:rsid wsp:val=&quot;00C31F6A&quot;/&gt;&lt;wsp:rsid wsp:val=&quot;00C3222C&quot;/&gt;&lt;wsp:rsid wsp:val=&quot;00C327B1&quot;/&gt;&lt;wsp:rsid wsp:val=&quot;00C32983&quot;/&gt;&lt;wsp:rsid wsp:val=&quot;00C3382D&quot;/&gt;&lt;wsp:rsid wsp:val=&quot;00C342D2&quot;/&gt;&lt;wsp:rsid wsp:val=&quot;00C35EC5&quot;/&gt;&lt;wsp:rsid wsp:val=&quot;00C36167&quot;/&gt;&lt;wsp:rsid wsp:val=&quot;00C365FA&quot;/&gt;&lt;wsp:rsid wsp:val=&quot;00C3746E&quot;/&gt;&lt;wsp:rsid wsp:val=&quot;00C374BA&quot;/&gt;&lt;wsp:rsid wsp:val=&quot;00C37628&quot;/&gt;&lt;wsp:rsid wsp:val=&quot;00C40D3F&quot;/&gt;&lt;wsp:rsid wsp:val=&quot;00C413E3&quot;/&gt;&lt;wsp:rsid wsp:val=&quot;00C419BC&quot;/&gt;&lt;wsp:rsid wsp:val=&quot;00C42A82&quot;/&gt;&lt;wsp:rsid wsp:val=&quot;00C42F31&quot;/&gt;&lt;wsp:rsid wsp:val=&quot;00C44333&quot;/&gt;&lt;wsp:rsid wsp:val=&quot;00C44CDD&quot;/&gt;&lt;wsp:rsid wsp:val=&quot;00C45286&quot;/&gt;&lt;wsp:rsid wsp:val=&quot;00C45906&quot;/&gt;&lt;wsp:rsid wsp:val=&quot;00C46A59&quot;/&gt;&lt;wsp:rsid wsp:val=&quot;00C46CCB&quot;/&gt;&lt;wsp:rsid wsp:val=&quot;00C46E9B&quot;/&gt;&lt;wsp:rsid wsp:val=&quot;00C47CC6&quot;/&gt;&lt;wsp:rsid wsp:val=&quot;00C50175&quot;/&gt;&lt;wsp:rsid wsp:val=&quot;00C505A8&quot;/&gt;&lt;wsp:rsid wsp:val=&quot;00C5192D&quot;/&gt;&lt;wsp:rsid wsp:val=&quot;00C51A13&quot;/&gt;&lt;wsp:rsid wsp:val=&quot;00C51C15&quot;/&gt;&lt;wsp:rsid wsp:val=&quot;00C51EEB&quot;/&gt;&lt;wsp:rsid wsp:val=&quot;00C525C6&quot;/&gt;&lt;wsp:rsid wsp:val=&quot;00C5290E&quot;/&gt;&lt;wsp:rsid wsp:val=&quot;00C53E01&quot;/&gt;&lt;wsp:rsid wsp:val=&quot;00C53EEF&quot;/&gt;&lt;wsp:rsid wsp:val=&quot;00C5473D&quot;/&gt;&lt;wsp:rsid wsp:val=&quot;00C55130&quot;/&gt;&lt;wsp:rsid wsp:val=&quot;00C55DA3&quot;/&gt;&lt;wsp:rsid wsp:val=&quot;00C5611A&quot;/&gt;&lt;wsp:rsid wsp:val=&quot;00C567B8&quot;/&gt;&lt;wsp:rsid wsp:val=&quot;00C57D53&quot;/&gt;&lt;wsp:rsid wsp:val=&quot;00C57E8F&quot;/&gt;&lt;wsp:rsid wsp:val=&quot;00C601D2&quot;/&gt;&lt;wsp:rsid wsp:val=&quot;00C6020A&quot;/&gt;&lt;wsp:rsid wsp:val=&quot;00C6057D&quot;/&gt;&lt;wsp:rsid wsp:val=&quot;00C60F22&quot;/&gt;&lt;wsp:rsid wsp:val=&quot;00C6227B&quot;/&gt;&lt;wsp:rsid wsp:val=&quot;00C62808&quot;/&gt;&lt;wsp:rsid wsp:val=&quot;00C62939&quot;/&gt;&lt;wsp:rsid wsp:val=&quot;00C63C93&quot;/&gt;&lt;wsp:rsid wsp:val=&quot;00C6401A&quot;/&gt;&lt;wsp:rsid wsp:val=&quot;00C6423B&quot;/&gt;&lt;wsp:rsid wsp:val=&quot;00C652C3&quot;/&gt;&lt;wsp:rsid wsp:val=&quot;00C663B0&quot;/&gt;&lt;wsp:rsid wsp:val=&quot;00C66B9B&quot;/&gt;&lt;wsp:rsid wsp:val=&quot;00C677DF&quot;/&gt;&lt;wsp:rsid wsp:val=&quot;00C678A5&quot;/&gt;&lt;wsp:rsid wsp:val=&quot;00C67991&quot;/&gt;&lt;wsp:rsid wsp:val=&quot;00C70221&quot;/&gt;&lt;wsp:rsid wsp:val=&quot;00C702BA&quot;/&gt;&lt;wsp:rsid wsp:val=&quot;00C70741&quot;/&gt;&lt;wsp:rsid wsp:val=&quot;00C70749&quot;/&gt;&lt;wsp:rsid wsp:val=&quot;00C70DB9&quot;/&gt;&lt;wsp:rsid wsp:val=&quot;00C70F2C&quot;/&gt;&lt;wsp:rsid wsp:val=&quot;00C71245&quot;/&gt;&lt;wsp:rsid wsp:val=&quot;00C71A58&quot;/&gt;&lt;wsp:rsid wsp:val=&quot;00C725B1&quot;/&gt;&lt;wsp:rsid wsp:val=&quot;00C72D00&quot;/&gt;&lt;wsp:rsid wsp:val=&quot;00C7312E&quot;/&gt;&lt;wsp:rsid wsp:val=&quot;00C73176&quot;/&gt;&lt;wsp:rsid wsp:val=&quot;00C7549E&quot;/&gt;&lt;wsp:rsid wsp:val=&quot;00C755B5&quot;/&gt;&lt;wsp:rsid wsp:val=&quot;00C75C31&quot;/&gt;&lt;wsp:rsid wsp:val=&quot;00C76052&quot;/&gt;&lt;wsp:rsid wsp:val=&quot;00C7695E&quot;/&gt;&lt;wsp:rsid wsp:val=&quot;00C77C28&quot;/&gt;&lt;wsp:rsid wsp:val=&quot;00C77F24&quot;/&gt;&lt;wsp:rsid wsp:val=&quot;00C8029B&quot;/&gt;&lt;wsp:rsid wsp:val=&quot;00C80528&quot;/&gt;&lt;wsp:rsid wsp:val=&quot;00C80580&quot;/&gt;&lt;wsp:rsid wsp:val=&quot;00C80D8D&quot;/&gt;&lt;wsp:rsid wsp:val=&quot;00C81574&quot;/&gt;&lt;wsp:rsid wsp:val=&quot;00C81C5F&quot;/&gt;&lt;wsp:rsid wsp:val=&quot;00C827BA&quot;/&gt;&lt;wsp:rsid wsp:val=&quot;00C82A0E&quot;/&gt;&lt;wsp:rsid wsp:val=&quot;00C82B23&quot;/&gt;&lt;wsp:rsid wsp:val=&quot;00C8395F&quot;/&gt;&lt;wsp:rsid wsp:val=&quot;00C83E01&quot;/&gt;&lt;wsp:rsid wsp:val=&quot;00C8485B&quot;/&gt;&lt;wsp:rsid wsp:val=&quot;00C84876&quot;/&gt;&lt;wsp:rsid wsp:val=&quot;00C86205&quot;/&gt;&lt;wsp:rsid wsp:val=&quot;00C86700&quot;/&gt;&lt;wsp:rsid wsp:val=&quot;00C87142&quot;/&gt;&lt;wsp:rsid wsp:val=&quot;00C875F6&quot;/&gt;&lt;wsp:rsid wsp:val=&quot;00C87819&quot;/&gt;&lt;wsp:rsid wsp:val=&quot;00C879AD&quot;/&gt;&lt;wsp:rsid wsp:val=&quot;00C90A5D&quot;/&gt;&lt;wsp:rsid wsp:val=&quot;00C91262&quot;/&gt;&lt;wsp:rsid wsp:val=&quot;00C91445&quot;/&gt;&lt;wsp:rsid wsp:val=&quot;00C916A4&quot;/&gt;&lt;wsp:rsid wsp:val=&quot;00C92E70&quot;/&gt;&lt;wsp:rsid wsp:val=&quot;00C931FA&quot;/&gt;&lt;wsp:rsid wsp:val=&quot;00C93B18&quot;/&gt;&lt;wsp:rsid wsp:val=&quot;00C93C9D&quot;/&gt;&lt;wsp:rsid wsp:val=&quot;00C93D01&quot;/&gt;&lt;wsp:rsid wsp:val=&quot;00C93F39&quot;/&gt;&lt;wsp:rsid wsp:val=&quot;00C94169&quot;/&gt;&lt;wsp:rsid wsp:val=&quot;00C943B7&quot;/&gt;&lt;wsp:rsid wsp:val=&quot;00C9460B&quot;/&gt;&lt;wsp:rsid wsp:val=&quot;00C9609A&quot;/&gt;&lt;wsp:rsid wsp:val=&quot;00C964ED&quot;/&gt;&lt;wsp:rsid wsp:val=&quot;00C96515&quot;/&gt;&lt;wsp:rsid wsp:val=&quot;00C9654E&quot;/&gt;&lt;wsp:rsid wsp:val=&quot;00C965B9&quot;/&gt;&lt;wsp:rsid wsp:val=&quot;00C97B99&quot;/&gt;&lt;wsp:rsid wsp:val=&quot;00CA0A39&quot;/&gt;&lt;wsp:rsid wsp:val=&quot;00CA0C3C&quot;/&gt;&lt;wsp:rsid wsp:val=&quot;00CA0CD5&quot;/&gt;&lt;wsp:rsid wsp:val=&quot;00CA132F&quot;/&gt;&lt;wsp:rsid wsp:val=&quot;00CA149B&quot;/&gt;&lt;wsp:rsid wsp:val=&quot;00CA1503&quot;/&gt;&lt;wsp:rsid wsp:val=&quot;00CA1F4B&quot;/&gt;&lt;wsp:rsid wsp:val=&quot;00CA2502&quot;/&gt;&lt;wsp:rsid wsp:val=&quot;00CA2BAB&quot;/&gt;&lt;wsp:rsid wsp:val=&quot;00CA3254&quot;/&gt;&lt;wsp:rsid wsp:val=&quot;00CA3FA9&quot;/&gt;&lt;wsp:rsid wsp:val=&quot;00CA4319&quot;/&gt;&lt;wsp:rsid wsp:val=&quot;00CA4508&quot;/&gt;&lt;wsp:rsid wsp:val=&quot;00CA5142&quot;/&gt;&lt;wsp:rsid wsp:val=&quot;00CA5DF1&quot;/&gt;&lt;wsp:rsid wsp:val=&quot;00CA6DB4&quot;/&gt;&lt;wsp:rsid wsp:val=&quot;00CB028B&quot;/&gt;&lt;wsp:rsid wsp:val=&quot;00CB04B3&quot;/&gt;&lt;wsp:rsid wsp:val=&quot;00CB0FA6&quot;/&gt;&lt;wsp:rsid wsp:val=&quot;00CB1928&quot;/&gt;&lt;wsp:rsid wsp:val=&quot;00CB28A0&quot;/&gt;&lt;wsp:rsid wsp:val=&quot;00CB3411&quot;/&gt;&lt;wsp:rsid wsp:val=&quot;00CB4328&quot;/&gt;&lt;wsp:rsid wsp:val=&quot;00CB5E3F&quot;/&gt;&lt;wsp:rsid wsp:val=&quot;00CB62B2&quot;/&gt;&lt;wsp:rsid wsp:val=&quot;00CB68E6&quot;/&gt;&lt;wsp:rsid wsp:val=&quot;00CB6ADE&quot;/&gt;&lt;wsp:rsid wsp:val=&quot;00CB7DAD&quot;/&gt;&lt;wsp:rsid wsp:val=&quot;00CC0371&quot;/&gt;&lt;wsp:rsid wsp:val=&quot;00CC0455&quot;/&gt;&lt;wsp:rsid wsp:val=&quot;00CC0E7E&quot;/&gt;&lt;wsp:rsid wsp:val=&quot;00CC0FAA&quot;/&gt;&lt;wsp:rsid wsp:val=&quot;00CC12C9&quot;/&gt;&lt;wsp:rsid wsp:val=&quot;00CC15D7&quot;/&gt;&lt;wsp:rsid wsp:val=&quot;00CC1B8A&quot;/&gt;&lt;wsp:rsid wsp:val=&quot;00CC21EA&quot;/&gt;&lt;wsp:rsid wsp:val=&quot;00CC2EE9&quot;/&gt;&lt;wsp:rsid wsp:val=&quot;00CC3159&quot;/&gt;&lt;wsp:rsid wsp:val=&quot;00CC3BAD&quot;/&gt;&lt;wsp:rsid wsp:val=&quot;00CC44EB&quot;/&gt;&lt;wsp:rsid wsp:val=&quot;00CC4537&quot;/&gt;&lt;wsp:rsid wsp:val=&quot;00CC613A&quot;/&gt;&lt;wsp:rsid wsp:val=&quot;00CC67B0&quot;/&gt;&lt;wsp:rsid wsp:val=&quot;00CC683B&quot;/&gt;&lt;wsp:rsid wsp:val=&quot;00CC6C3F&quot;/&gt;&lt;wsp:rsid wsp:val=&quot;00CD08D1&quot;/&gt;&lt;wsp:rsid wsp:val=&quot;00CD0A85&quot;/&gt;&lt;wsp:rsid wsp:val=&quot;00CD1170&quot;/&gt;&lt;wsp:rsid wsp:val=&quot;00CD12C5&quot;/&gt;&lt;wsp:rsid wsp:val=&quot;00CD1AED&quot;/&gt;&lt;wsp:rsid wsp:val=&quot;00CD23CE&quot;/&gt;&lt;wsp:rsid wsp:val=&quot;00CD2DFB&quot;/&gt;&lt;wsp:rsid wsp:val=&quot;00CD34AD&quot;/&gt;&lt;wsp:rsid wsp:val=&quot;00CD36E1&quot;/&gt;&lt;wsp:rsid wsp:val=&quot;00CD499F&quot;/&gt;&lt;wsp:rsid wsp:val=&quot;00CD537E&quot;/&gt;&lt;wsp:rsid wsp:val=&quot;00CD58E2&quot;/&gt;&lt;wsp:rsid wsp:val=&quot;00CD79C9&quot;/&gt;&lt;wsp:rsid wsp:val=&quot;00CD7F4B&quot;/&gt;&lt;wsp:rsid wsp:val=&quot;00CE0F9A&quot;/&gt;&lt;wsp:rsid wsp:val=&quot;00CE12E0&quot;/&gt;&lt;wsp:rsid wsp:val=&quot;00CE278A&quot;/&gt;&lt;wsp:rsid wsp:val=&quot;00CE279F&quot;/&gt;&lt;wsp:rsid wsp:val=&quot;00CE2A75&quot;/&gt;&lt;wsp:rsid wsp:val=&quot;00CE319E&quot;/&gt;&lt;wsp:rsid wsp:val=&quot;00CE3D82&quot;/&gt;&lt;wsp:rsid wsp:val=&quot;00CE5131&quot;/&gt;&lt;wsp:rsid wsp:val=&quot;00CE57C7&quot;/&gt;&lt;wsp:rsid wsp:val=&quot;00CE63B9&quot;/&gt;&lt;wsp:rsid wsp:val=&quot;00CE6454&quot;/&gt;&lt;wsp:rsid wsp:val=&quot;00CE6576&quot;/&gt;&lt;wsp:rsid wsp:val=&quot;00CE6917&quot;/&gt;&lt;wsp:rsid wsp:val=&quot;00CE7299&quot;/&gt;&lt;wsp:rsid wsp:val=&quot;00CE7A42&quot;/&gt;&lt;wsp:rsid wsp:val=&quot;00CE7D0C&quot;/&gt;&lt;wsp:rsid wsp:val=&quot;00CF00BE&quot;/&gt;&lt;wsp:rsid wsp:val=&quot;00CF0F3C&quot;/&gt;&lt;wsp:rsid wsp:val=&quot;00CF1473&quot;/&gt;&lt;wsp:rsid wsp:val=&quot;00CF1F99&quot;/&gt;&lt;wsp:rsid wsp:val=&quot;00CF25B8&quot;/&gt;&lt;wsp:rsid wsp:val=&quot;00CF3819&quot;/&gt;&lt;wsp:rsid wsp:val=&quot;00CF38AB&quot;/&gt;&lt;wsp:rsid wsp:val=&quot;00CF3DC4&quot;/&gt;&lt;wsp:rsid wsp:val=&quot;00CF43C5&quot;/&gt;&lt;wsp:rsid wsp:val=&quot;00CF4569&quot;/&gt;&lt;wsp:rsid wsp:val=&quot;00CF518A&quot;/&gt;&lt;wsp:rsid wsp:val=&quot;00CF53EE&quot;/&gt;&lt;wsp:rsid wsp:val=&quot;00CF5C48&quot;/&gt;&lt;wsp:rsid wsp:val=&quot;00CF6A25&quot;/&gt;&lt;wsp:rsid wsp:val=&quot;00CF7128&quot;/&gt;&lt;wsp:rsid wsp:val=&quot;00CF7D89&quot;/&gt;&lt;wsp:rsid wsp:val=&quot;00D000D7&quot;/&gt;&lt;wsp:rsid wsp:val=&quot;00D0016B&quot;/&gt;&lt;wsp:rsid wsp:val=&quot;00D015DC&quot;/&gt;&lt;wsp:rsid wsp:val=&quot;00D0174E&quot;/&gt;&lt;wsp:rsid wsp:val=&quot;00D019CF&quot;/&gt;&lt;wsp:rsid wsp:val=&quot;00D01CEB&quot;/&gt;&lt;wsp:rsid wsp:val=&quot;00D01E17&quot;/&gt;&lt;wsp:rsid wsp:val=&quot;00D02AA3&quot;/&gt;&lt;wsp:rsid wsp:val=&quot;00D02E90&quot;/&gt;&lt;wsp:rsid wsp:val=&quot;00D02E9A&quot;/&gt;&lt;wsp:rsid wsp:val=&quot;00D03215&quot;/&gt;&lt;wsp:rsid wsp:val=&quot;00D0398B&quot;/&gt;&lt;wsp:rsid wsp:val=&quot;00D03CD6&quot;/&gt;&lt;wsp:rsid wsp:val=&quot;00D05ECF&quot;/&gt;&lt;wsp:rsid wsp:val=&quot;00D06167&quot;/&gt;&lt;wsp:rsid wsp:val=&quot;00D06433&quot;/&gt;&lt;wsp:rsid wsp:val=&quot;00D06439&quot;/&gt;&lt;wsp:rsid wsp:val=&quot;00D064DA&quot;/&gt;&lt;wsp:rsid wsp:val=&quot;00D07AEF&quot;/&gt;&lt;wsp:rsid wsp:val=&quot;00D07E3B&quot;/&gt;&lt;wsp:rsid wsp:val=&quot;00D10136&quot;/&gt;&lt;wsp:rsid wsp:val=&quot;00D11729&quot;/&gt;&lt;wsp:rsid wsp:val=&quot;00D11923&quot;/&gt;&lt;wsp:rsid wsp:val=&quot;00D11D90&quot;/&gt;&lt;wsp:rsid wsp:val=&quot;00D12F9C&quot;/&gt;&lt;wsp:rsid wsp:val=&quot;00D132B5&quot;/&gt;&lt;wsp:rsid wsp:val=&quot;00D13AC3&quot;/&gt;&lt;wsp:rsid wsp:val=&quot;00D13CF5&quot;/&gt;&lt;wsp:rsid wsp:val=&quot;00D149DA&quot;/&gt;&lt;wsp:rsid wsp:val=&quot;00D15228&quot;/&gt;&lt;wsp:rsid wsp:val=&quot;00D15491&quot;/&gt;&lt;wsp:rsid wsp:val=&quot;00D15611&quot;/&gt;&lt;wsp:rsid wsp:val=&quot;00D164DD&quot;/&gt;&lt;wsp:rsid wsp:val=&quot;00D16745&quot;/&gt;&lt;wsp:rsid wsp:val=&quot;00D179BE&quot;/&gt;&lt;wsp:rsid wsp:val=&quot;00D201D5&quot;/&gt;&lt;wsp:rsid wsp:val=&quot;00D20A0C&quot;/&gt;&lt;wsp:rsid wsp:val=&quot;00D20C39&quot;/&gt;&lt;wsp:rsid wsp:val=&quot;00D21F04&quot;/&gt;&lt;wsp:rsid wsp:val=&quot;00D22634&quot;/&gt;&lt;wsp:rsid wsp:val=&quot;00D22774&quot;/&gt;&lt;wsp:rsid wsp:val=&quot;00D22A29&quot;/&gt;&lt;wsp:rsid wsp:val=&quot;00D23546&quot;/&gt;&lt;wsp:rsid wsp:val=&quot;00D2778B&quot;/&gt;&lt;wsp:rsid wsp:val=&quot;00D27AEF&quot;/&gt;&lt;wsp:rsid wsp:val=&quot;00D3040C&quot;/&gt;&lt;wsp:rsid wsp:val=&quot;00D32CFC&quot;/&gt;&lt;wsp:rsid wsp:val=&quot;00D32F4C&quot;/&gt;&lt;wsp:rsid wsp:val=&quot;00D32F98&quot;/&gt;&lt;wsp:rsid wsp:val=&quot;00D32FF2&quot;/&gt;&lt;wsp:rsid wsp:val=&quot;00D3322F&quot;/&gt;&lt;wsp:rsid wsp:val=&quot;00D33447&quot;/&gt;&lt;wsp:rsid wsp:val=&quot;00D35AF0&quot;/&gt;&lt;wsp:rsid wsp:val=&quot;00D36419&quot;/&gt;&lt;wsp:rsid wsp:val=&quot;00D36C74&quot;/&gt;&lt;wsp:rsid wsp:val=&quot;00D42061&quot;/&gt;&lt;wsp:rsid wsp:val=&quot;00D428C0&quot;/&gt;&lt;wsp:rsid wsp:val=&quot;00D43F95&quot;/&gt;&lt;wsp:rsid wsp:val=&quot;00D44AF5&quot;/&gt;&lt;wsp:rsid wsp:val=&quot;00D44D9D&quot;/&gt;&lt;wsp:rsid wsp:val=&quot;00D44DCB&quot;/&gt;&lt;wsp:rsid wsp:val=&quot;00D459BF&quot;/&gt;&lt;wsp:rsid wsp:val=&quot;00D45FBD&quot;/&gt;&lt;wsp:rsid wsp:val=&quot;00D465F0&quot;/&gt;&lt;wsp:rsid wsp:val=&quot;00D508B1&quot;/&gt;&lt;wsp:rsid wsp:val=&quot;00D50E39&quot;/&gt;&lt;wsp:rsid wsp:val=&quot;00D51316&quot;/&gt;&lt;wsp:rsid wsp:val=&quot;00D5280D&quot;/&gt;&lt;wsp:rsid wsp:val=&quot;00D53768&quot;/&gt;&lt;wsp:rsid wsp:val=&quot;00D53BE8&quot;/&gt;&lt;wsp:rsid wsp:val=&quot;00D54519&quot;/&gt;&lt;wsp:rsid wsp:val=&quot;00D555D8&quot;/&gt;&lt;wsp:rsid wsp:val=&quot;00D55637&quot;/&gt;&lt;wsp:rsid wsp:val=&quot;00D55803&quot;/&gt;&lt;wsp:rsid wsp:val=&quot;00D55DD9&quot;/&gt;&lt;wsp:rsid wsp:val=&quot;00D55E64&quot;/&gt;&lt;wsp:rsid wsp:val=&quot;00D564E3&quot;/&gt;&lt;wsp:rsid wsp:val=&quot;00D56575&quot;/&gt;&lt;wsp:rsid wsp:val=&quot;00D56A1B&quot;/&gt;&lt;wsp:rsid wsp:val=&quot;00D578A9&quot;/&gt;&lt;wsp:rsid wsp:val=&quot;00D608C1&quot;/&gt;&lt;wsp:rsid wsp:val=&quot;00D60D32&quot;/&gt;&lt;wsp:rsid wsp:val=&quot;00D61465&quot;/&gt;&lt;wsp:rsid wsp:val=&quot;00D615BF&quot;/&gt;&lt;wsp:rsid wsp:val=&quot;00D618ED&quot;/&gt;&lt;wsp:rsid wsp:val=&quot;00D61C01&quot;/&gt;&lt;wsp:rsid wsp:val=&quot;00D61F8C&quot;/&gt;&lt;wsp:rsid wsp:val=&quot;00D6253B&quot;/&gt;&lt;wsp:rsid wsp:val=&quot;00D62A6E&quot;/&gt;&lt;wsp:rsid wsp:val=&quot;00D63065&quot;/&gt;&lt;wsp:rsid wsp:val=&quot;00D63614&quot;/&gt;&lt;wsp:rsid wsp:val=&quot;00D63646&quot;/&gt;&lt;wsp:rsid wsp:val=&quot;00D65433&quot;/&gt;&lt;wsp:rsid wsp:val=&quot;00D6552B&quot;/&gt;&lt;wsp:rsid wsp:val=&quot;00D6609C&quot;/&gt;&lt;wsp:rsid wsp:val=&quot;00D66181&quot;/&gt;&lt;wsp:rsid wsp:val=&quot;00D6781B&quot;/&gt;&lt;wsp:rsid wsp:val=&quot;00D67B6C&quot;/&gt;&lt;wsp:rsid wsp:val=&quot;00D70422&quot;/&gt;&lt;wsp:rsid wsp:val=&quot;00D71618&quot;/&gt;&lt;wsp:rsid wsp:val=&quot;00D72039&quot;/&gt;&lt;wsp:rsid wsp:val=&quot;00D721B9&quot;/&gt;&lt;wsp:rsid wsp:val=&quot;00D7589B&quot;/&gt;&lt;wsp:rsid wsp:val=&quot;00D75966&quot;/&gt;&lt;wsp:rsid wsp:val=&quot;00D75BC7&quot;/&gt;&lt;wsp:rsid wsp:val=&quot;00D76F82&quot;/&gt;&lt;wsp:rsid wsp:val=&quot;00D80035&quot;/&gt;&lt;wsp:rsid wsp:val=&quot;00D801EE&quot;/&gt;&lt;wsp:rsid wsp:val=&quot;00D8067D&quot;/&gt;&lt;wsp:rsid wsp:val=&quot;00D80733&quot;/&gt;&lt;wsp:rsid wsp:val=&quot;00D810A2&quot;/&gt;&lt;wsp:rsid wsp:val=&quot;00D816DF&quot;/&gt;&lt;wsp:rsid wsp:val=&quot;00D82B26&quot;/&gt;&lt;wsp:rsid wsp:val=&quot;00D83396&quot;/&gt;&lt;wsp:rsid wsp:val=&quot;00D838C4&quot;/&gt;&lt;wsp:rsid wsp:val=&quot;00D83E0C&quot;/&gt;&lt;wsp:rsid wsp:val=&quot;00D841B6&quot;/&gt;&lt;wsp:rsid wsp:val=&quot;00D84AEA&quot;/&gt;&lt;wsp:rsid wsp:val=&quot;00D84B65&quot;/&gt;&lt;wsp:rsid wsp:val=&quot;00D8682B&quot;/&gt;&lt;wsp:rsid wsp:val=&quot;00D87B14&quot;/&gt;&lt;wsp:rsid wsp:val=&quot;00D87C1A&quot;/&gt;&lt;wsp:rsid wsp:val=&quot;00D9038D&quot;/&gt;&lt;wsp:rsid wsp:val=&quot;00D9081F&quot;/&gt;&lt;wsp:rsid wsp:val=&quot;00D90BA5&quot;/&gt;&lt;wsp:rsid wsp:val=&quot;00D918F2&quot;/&gt;&lt;wsp:rsid wsp:val=&quot;00D92045&quot;/&gt;&lt;wsp:rsid wsp:val=&quot;00D9266B&quot;/&gt;&lt;wsp:rsid wsp:val=&quot;00D92736&quot;/&gt;&lt;wsp:rsid wsp:val=&quot;00D92936&quot;/&gt;&lt;wsp:rsid wsp:val=&quot;00D9327E&quot;/&gt;&lt;wsp:rsid wsp:val=&quot;00D939E7&quot;/&gt;&lt;wsp:rsid wsp:val=&quot;00D93AFD&quot;/&gt;&lt;wsp:rsid wsp:val=&quot;00D93C10&quot;/&gt;&lt;wsp:rsid wsp:val=&quot;00D9434C&quot;/&gt;&lt;wsp:rsid wsp:val=&quot;00D94866&quot;/&gt;&lt;wsp:rsid wsp:val=&quot;00D94A3B&quot;/&gt;&lt;wsp:rsid wsp:val=&quot;00D94AF0&quot;/&gt;&lt;wsp:rsid wsp:val=&quot;00D95A0A&quot;/&gt;&lt;wsp:rsid wsp:val=&quot;00D96349&quot;/&gt;&lt;wsp:rsid wsp:val=&quot;00D96A80&quot;/&gt;&lt;wsp:rsid wsp:val=&quot;00D96C0C&quot;/&gt;&lt;wsp:rsid wsp:val=&quot;00D97012&quot;/&gt;&lt;wsp:rsid wsp:val=&quot;00D9764A&quot;/&gt;&lt;wsp:rsid wsp:val=&quot;00D97EB0&quot;/&gt;&lt;wsp:rsid wsp:val=&quot;00DA0A68&quot;/&gt;&lt;wsp:rsid wsp:val=&quot;00DA118D&quot;/&gt;&lt;wsp:rsid wsp:val=&quot;00DA122D&quot;/&gt;&lt;wsp:rsid wsp:val=&quot;00DA134F&quot;/&gt;&lt;wsp:rsid wsp:val=&quot;00DA2BFE&quot;/&gt;&lt;wsp:rsid wsp:val=&quot;00DA2D1B&quot;/&gt;&lt;wsp:rsid wsp:val=&quot;00DA356E&quot;/&gt;&lt;wsp:rsid wsp:val=&quot;00DA3A18&quot;/&gt;&lt;wsp:rsid wsp:val=&quot;00DA3B49&quot;/&gt;&lt;wsp:rsid wsp:val=&quot;00DA3D3E&quot;/&gt;&lt;wsp:rsid wsp:val=&quot;00DA3EED&quot;/&gt;&lt;wsp:rsid wsp:val=&quot;00DA4A77&quot;/&gt;&lt;wsp:rsid wsp:val=&quot;00DA5249&quot;/&gt;&lt;wsp:rsid wsp:val=&quot;00DA548E&quot;/&gt;&lt;wsp:rsid wsp:val=&quot;00DA5A17&quot;/&gt;&lt;wsp:rsid wsp:val=&quot;00DA5B98&quot;/&gt;&lt;wsp:rsid wsp:val=&quot;00DA61BA&quot;/&gt;&lt;wsp:rsid wsp:val=&quot;00DA6604&quot;/&gt;&lt;wsp:rsid wsp:val=&quot;00DA6786&quot;/&gt;&lt;wsp:rsid wsp:val=&quot;00DA6E16&quot;/&gt;&lt;wsp:rsid wsp:val=&quot;00DA729D&quot;/&gt;&lt;wsp:rsid wsp:val=&quot;00DA7A54&quot;/&gt;&lt;wsp:rsid wsp:val=&quot;00DB0322&quot;/&gt;&lt;wsp:rsid wsp:val=&quot;00DB07B5&quot;/&gt;&lt;wsp:rsid wsp:val=&quot;00DB195A&quot;/&gt;&lt;wsp:rsid wsp:val=&quot;00DB2EB2&quot;/&gt;&lt;wsp:rsid wsp:val=&quot;00DB30F6&quot;/&gt;&lt;wsp:rsid wsp:val=&quot;00DB340C&quot;/&gt;&lt;wsp:rsid wsp:val=&quot;00DB3FF2&quot;/&gt;&lt;wsp:rsid wsp:val=&quot;00DB5347&quot;/&gt;&lt;wsp:rsid wsp:val=&quot;00DB560A&quot;/&gt;&lt;wsp:rsid wsp:val=&quot;00DB5659&quot;/&gt;&lt;wsp:rsid wsp:val=&quot;00DB56F3&quot;/&gt;&lt;wsp:rsid wsp:val=&quot;00DB6FFD&quot;/&gt;&lt;wsp:rsid wsp:val=&quot;00DB75FA&quot;/&gt;&lt;wsp:rsid wsp:val=&quot;00DC1214&quot;/&gt;&lt;wsp:rsid wsp:val=&quot;00DC13FD&quot;/&gt;&lt;wsp:rsid wsp:val=&quot;00DC1440&quot;/&gt;&lt;wsp:rsid wsp:val=&quot;00DC1EDE&quot;/&gt;&lt;wsp:rsid wsp:val=&quot;00DC35D0&quot;/&gt;&lt;wsp:rsid wsp:val=&quot;00DC3DF8&quot;/&gt;&lt;wsp:rsid wsp:val=&quot;00DC3E52&quot;/&gt;&lt;wsp:rsid wsp:val=&quot;00DC42BC&quot;/&gt;&lt;wsp:rsid wsp:val=&quot;00DC476E&quot;/&gt;&lt;wsp:rsid wsp:val=&quot;00DC5048&quot;/&gt;&lt;wsp:rsid wsp:val=&quot;00DC568D&quot;/&gt;&lt;wsp:rsid wsp:val=&quot;00DC581E&quot;/&gt;&lt;wsp:rsid wsp:val=&quot;00DC6B02&quot;/&gt;&lt;wsp:rsid wsp:val=&quot;00DC6DCB&quot;/&gt;&lt;wsp:rsid wsp:val=&quot;00DC7913&quot;/&gt;&lt;wsp:rsid wsp:val=&quot;00DC7BD2&quot;/&gt;&lt;wsp:rsid wsp:val=&quot;00DD0104&quot;/&gt;&lt;wsp:rsid wsp:val=&quot;00DD04CF&quot;/&gt;&lt;wsp:rsid wsp:val=&quot;00DD1033&quot;/&gt;&lt;wsp:rsid wsp:val=&quot;00DD18C9&quot;/&gt;&lt;wsp:rsid wsp:val=&quot;00DD25A2&quot;/&gt;&lt;wsp:rsid wsp:val=&quot;00DD3AC0&quot;/&gt;&lt;wsp:rsid wsp:val=&quot;00DD42EB&quot;/&gt;&lt;wsp:rsid wsp:val=&quot;00DD4363&quot;/&gt;&lt;wsp:rsid wsp:val=&quot;00DD5AA0&quot;/&gt;&lt;wsp:rsid wsp:val=&quot;00DD5C22&quot;/&gt;&lt;wsp:rsid wsp:val=&quot;00DD5C5A&quot;/&gt;&lt;wsp:rsid wsp:val=&quot;00DD5CB0&quot;/&gt;&lt;wsp:rsid wsp:val=&quot;00DD6D24&quot;/&gt;&lt;wsp:rsid wsp:val=&quot;00DD6FFE&quot;/&gt;&lt;wsp:rsid wsp:val=&quot;00DD7D6F&quot;/&gt;&lt;wsp:rsid wsp:val=&quot;00DE08DD&quot;/&gt;&lt;wsp:rsid wsp:val=&quot;00DE1110&quot;/&gt;&lt;wsp:rsid wsp:val=&quot;00DE1EF4&quot;/&gt;&lt;wsp:rsid wsp:val=&quot;00DE2873&quot;/&gt;&lt;wsp:rsid wsp:val=&quot;00DE2D94&quot;/&gt;&lt;wsp:rsid wsp:val=&quot;00DE3A7A&quot;/&gt;&lt;wsp:rsid wsp:val=&quot;00DE3EA5&quot;/&gt;&lt;wsp:rsid wsp:val=&quot;00DE42FE&quot;/&gt;&lt;wsp:rsid wsp:val=&quot;00DE4C34&quot;/&gt;&lt;wsp:rsid wsp:val=&quot;00DE667F&quot;/&gt;&lt;wsp:rsid wsp:val=&quot;00DE6874&quot;/&gt;&lt;wsp:rsid wsp:val=&quot;00DF08FA&quot;/&gt;&lt;wsp:rsid wsp:val=&quot;00DF15F8&quot;/&gt;&lt;wsp:rsid wsp:val=&quot;00DF1793&quot;/&gt;&lt;wsp:rsid wsp:val=&quot;00DF2DC0&quot;/&gt;&lt;wsp:rsid wsp:val=&quot;00DF2FC6&quot;/&gt;&lt;wsp:rsid wsp:val=&quot;00DF4626&quot;/&gt;&lt;wsp:rsid wsp:val=&quot;00DF4BE8&quot;/&gt;&lt;wsp:rsid wsp:val=&quot;00DF573F&quot;/&gt;&lt;wsp:rsid wsp:val=&quot;00DF6136&quot;/&gt;&lt;wsp:rsid wsp:val=&quot;00DF6514&quot;/&gt;&lt;wsp:rsid wsp:val=&quot;00DF66B7&quot;/&gt;&lt;wsp:rsid wsp:val=&quot;00DF6DA7&quot;/&gt;&lt;wsp:rsid wsp:val=&quot;00DF711C&quot;/&gt;&lt;wsp:rsid wsp:val=&quot;00DF75F3&quot;/&gt;&lt;wsp:rsid wsp:val=&quot;00DF76DE&quot;/&gt;&lt;wsp:rsid wsp:val=&quot;00DF798A&quot;/&gt;&lt;wsp:rsid wsp:val=&quot;00DF7D15&quot;/&gt;&lt;wsp:rsid wsp:val=&quot;00DF7E25&quot;/&gt;&lt;wsp:rsid wsp:val=&quot;00E002DA&quot;/&gt;&lt;wsp:rsid wsp:val=&quot;00E0058F&quot;/&gt;&lt;wsp:rsid wsp:val=&quot;00E01D5F&quot;/&gt;&lt;wsp:rsid wsp:val=&quot;00E0207D&quot;/&gt;&lt;wsp:rsid wsp:val=&quot;00E02195&quot;/&gt;&lt;wsp:rsid wsp:val=&quot;00E023FD&quot;/&gt;&lt;wsp:rsid wsp:val=&quot;00E0341E&quot;/&gt;&lt;wsp:rsid wsp:val=&quot;00E04384&quot;/&gt;&lt;wsp:rsid wsp:val=&quot;00E050DE&quot;/&gt;&lt;wsp:rsid wsp:val=&quot;00E0583E&quot;/&gt;&lt;wsp:rsid wsp:val=&quot;00E06211&quot;/&gt;&lt;wsp:rsid wsp:val=&quot;00E06C08&quot;/&gt;&lt;wsp:rsid wsp:val=&quot;00E07E85&quot;/&gt;&lt;wsp:rsid wsp:val=&quot;00E10400&quot;/&gt;&lt;wsp:rsid wsp:val=&quot;00E10A54&quot;/&gt;&lt;wsp:rsid wsp:val=&quot;00E11056&quot;/&gt;&lt;wsp:rsid wsp:val=&quot;00E118B7&quot;/&gt;&lt;wsp:rsid wsp:val=&quot;00E11B0B&quot;/&gt;&lt;wsp:rsid wsp:val=&quot;00E1232B&quot;/&gt;&lt;wsp:rsid wsp:val=&quot;00E12BF8&quot;/&gt;&lt;wsp:rsid wsp:val=&quot;00E1335D&quot;/&gt;&lt;wsp:rsid wsp:val=&quot;00E13B35&quot;/&gt;&lt;wsp:rsid wsp:val=&quot;00E14C5D&quot;/&gt;&lt;wsp:rsid wsp:val=&quot;00E15159&quot;/&gt;&lt;wsp:rsid wsp:val=&quot;00E16082&quot;/&gt;&lt;wsp:rsid wsp:val=&quot;00E16B4C&quot;/&gt;&lt;wsp:rsid wsp:val=&quot;00E1793F&quot;/&gt;&lt;wsp:rsid wsp:val=&quot;00E179CB&quot;/&gt;&lt;wsp:rsid wsp:val=&quot;00E201FE&quot;/&gt;&lt;wsp:rsid wsp:val=&quot;00E202C9&quot;/&gt;&lt;wsp:rsid wsp:val=&quot;00E2067F&quot;/&gt;&lt;wsp:rsid wsp:val=&quot;00E20A83&quot;/&gt;&lt;wsp:rsid wsp:val=&quot;00E218A9&quot;/&gt;&lt;wsp:rsid wsp:val=&quot;00E21F2A&quot;/&gt;&lt;wsp:rsid wsp:val=&quot;00E229D1&quot;/&gt;&lt;wsp:rsid wsp:val=&quot;00E2649D&quot;/&gt;&lt;wsp:rsid wsp:val=&quot;00E26881&quot;/&gt;&lt;wsp:rsid wsp:val=&quot;00E26F7C&quot;/&gt;&lt;wsp:rsid wsp:val=&quot;00E27034&quot;/&gt;&lt;wsp:rsid wsp:val=&quot;00E275C4&quot;/&gt;&lt;wsp:rsid wsp:val=&quot;00E30B65&quot;/&gt;&lt;wsp:rsid wsp:val=&quot;00E32876&quot;/&gt;&lt;wsp:rsid wsp:val=&quot;00E328BB&quot;/&gt;&lt;wsp:rsid wsp:val=&quot;00E32B92&quot;/&gt;&lt;wsp:rsid wsp:val=&quot;00E33C7F&quot;/&gt;&lt;wsp:rsid wsp:val=&quot;00E33E89&quot;/&gt;&lt;wsp:rsid wsp:val=&quot;00E34424&quot;/&gt;&lt;wsp:rsid wsp:val=&quot;00E348E4&quot;/&gt;&lt;wsp:rsid wsp:val=&quot;00E34B35&quot;/&gt;&lt;wsp:rsid wsp:val=&quot;00E35748&quot;/&gt;&lt;wsp:rsid wsp:val=&quot;00E35BD8&quot;/&gt;&lt;wsp:rsid wsp:val=&quot;00E36288&quot;/&gt;&lt;wsp:rsid wsp:val=&quot;00E36B47&quot;/&gt;&lt;wsp:rsid wsp:val=&quot;00E37B6A&quot;/&gt;&lt;wsp:rsid wsp:val=&quot;00E4005F&quot;/&gt;&lt;wsp:rsid wsp:val=&quot;00E406E8&quot;/&gt;&lt;wsp:rsid wsp:val=&quot;00E41364&quot;/&gt;&lt;wsp:rsid wsp:val=&quot;00E41FFD&quot;/&gt;&lt;wsp:rsid wsp:val=&quot;00E42ACC&quot;/&gt;&lt;wsp:rsid wsp:val=&quot;00E42AE7&quot;/&gt;&lt;wsp:rsid wsp:val=&quot;00E42E36&quot;/&gt;&lt;wsp:rsid wsp:val=&quot;00E434FE&quot;/&gt;&lt;wsp:rsid wsp:val=&quot;00E436E6&quot;/&gt;&lt;wsp:rsid wsp:val=&quot;00E44DB6&quot;/&gt;&lt;wsp:rsid wsp:val=&quot;00E453EF&quot;/&gt;&lt;wsp:rsid wsp:val=&quot;00E4593E&quot;/&gt;&lt;wsp:rsid wsp:val=&quot;00E46004&quot;/&gt;&lt;wsp:rsid wsp:val=&quot;00E463BB&quot;/&gt;&lt;wsp:rsid wsp:val=&quot;00E464C4&quot;/&gt;&lt;wsp:rsid wsp:val=&quot;00E468CE&quot;/&gt;&lt;wsp:rsid wsp:val=&quot;00E46D25&quot;/&gt;&lt;wsp:rsid wsp:val=&quot;00E46D91&quot;/&gt;&lt;wsp:rsid wsp:val=&quot;00E47175&quot;/&gt;&lt;wsp:rsid wsp:val=&quot;00E47B44&quot;/&gt;&lt;wsp:rsid wsp:val=&quot;00E50BEE&quot;/&gt;&lt;wsp:rsid wsp:val=&quot;00E518A4&quot;/&gt;&lt;wsp:rsid wsp:val=&quot;00E51F22&quot;/&gt;&lt;wsp:rsid wsp:val=&quot;00E53A9E&quot;/&gt;&lt;wsp:rsid wsp:val=&quot;00E53DFB&quot;/&gt;&lt;wsp:rsid wsp:val=&quot;00E54A32&quot;/&gt;&lt;wsp:rsid wsp:val=&quot;00E56418&quot;/&gt;&lt;wsp:rsid wsp:val=&quot;00E5650B&quot;/&gt;&lt;wsp:rsid wsp:val=&quot;00E56CB6&quot;/&gt;&lt;wsp:rsid wsp:val=&quot;00E570FB&quot;/&gt;&lt;wsp:rsid wsp:val=&quot;00E57175&quot;/&gt;&lt;wsp:rsid wsp:val=&quot;00E5725F&quot;/&gt;&lt;wsp:rsid wsp:val=&quot;00E57E20&quot;/&gt;&lt;wsp:rsid wsp:val=&quot;00E615AC&quot;/&gt;&lt;wsp:rsid wsp:val=&quot;00E6196D&quot;/&gt;&lt;wsp:rsid wsp:val=&quot;00E620B1&quot;/&gt;&lt;wsp:rsid wsp:val=&quot;00E62262&quot;/&gt;&lt;wsp:rsid wsp:val=&quot;00E62BED&quot;/&gt;&lt;wsp:rsid wsp:val=&quot;00E6351D&quot;/&gt;&lt;wsp:rsid wsp:val=&quot;00E63E53&quot;/&gt;&lt;wsp:rsid wsp:val=&quot;00E645A3&quot;/&gt;&lt;wsp:rsid wsp:val=&quot;00E64DA7&quot;/&gt;&lt;wsp:rsid wsp:val=&quot;00E6512B&quot;/&gt;&lt;wsp:rsid wsp:val=&quot;00E65AB8&quot;/&gt;&lt;wsp:rsid wsp:val=&quot;00E65E5C&quot;/&gt;&lt;wsp:rsid wsp:val=&quot;00E66056&quot;/&gt;&lt;wsp:rsid wsp:val=&quot;00E66AD8&quot;/&gt;&lt;wsp:rsid wsp:val=&quot;00E672A5&quot;/&gt;&lt;wsp:rsid wsp:val=&quot;00E70B0B&quot;/&gt;&lt;wsp:rsid wsp:val=&quot;00E70D8F&quot;/&gt;&lt;wsp:rsid wsp:val=&quot;00E70F86&quot;/&gt;&lt;wsp:rsid wsp:val=&quot;00E71227&quot;/&gt;&lt;wsp:rsid wsp:val=&quot;00E7162D&quot;/&gt;&lt;wsp:rsid wsp:val=&quot;00E71910&quot;/&gt;&lt;wsp:rsid wsp:val=&quot;00E71CD1&quot;/&gt;&lt;wsp:rsid wsp:val=&quot;00E72046&quot;/&gt;&lt;wsp:rsid wsp:val=&quot;00E722AC&quot;/&gt;&lt;wsp:rsid wsp:val=&quot;00E72324&quot;/&gt;&lt;wsp:rsid wsp:val=&quot;00E72A40&quot;/&gt;&lt;wsp:rsid wsp:val=&quot;00E72B01&quot;/&gt;&lt;wsp:rsid wsp:val=&quot;00E736FA&quot;/&gt;&lt;wsp:rsid wsp:val=&quot;00E73A0B&quot;/&gt;&lt;wsp:rsid wsp:val=&quot;00E73B2A&quot;/&gt;&lt;wsp:rsid wsp:val=&quot;00E7452A&quot;/&gt;&lt;wsp:rsid wsp:val=&quot;00E747B4&quot;/&gt;&lt;wsp:rsid wsp:val=&quot;00E74C80&quot;/&gt;&lt;wsp:rsid wsp:val=&quot;00E74D02&quot;/&gt;&lt;wsp:rsid wsp:val=&quot;00E75295&quot;/&gt;&lt;wsp:rsid wsp:val=&quot;00E75F0B&quot;/&gt;&lt;wsp:rsid wsp:val=&quot;00E767A7&quot;/&gt;&lt;wsp:rsid wsp:val=&quot;00E77659&quot;/&gt;&lt;wsp:rsid wsp:val=&quot;00E778D0&quot;/&gt;&lt;wsp:rsid wsp:val=&quot;00E8018C&quot;/&gt;&lt;wsp:rsid wsp:val=&quot;00E81928&quot;/&gt;&lt;wsp:rsid wsp:val=&quot;00E82334&quot;/&gt;&lt;wsp:rsid wsp:val=&quot;00E825FF&quot;/&gt;&lt;wsp:rsid wsp:val=&quot;00E832F8&quot;/&gt;&lt;wsp:rsid wsp:val=&quot;00E83634&quot;/&gt;&lt;wsp:rsid wsp:val=&quot;00E83BD3&quot;/&gt;&lt;wsp:rsid wsp:val=&quot;00E84217&quot;/&gt;&lt;wsp:rsid wsp:val=&quot;00E84699&quot;/&gt;&lt;wsp:rsid wsp:val=&quot;00E84A2D&quot;/&gt;&lt;wsp:rsid wsp:val=&quot;00E8601A&quot;/&gt;&lt;wsp:rsid wsp:val=&quot;00E86852&quot;/&gt;&lt;wsp:rsid wsp:val=&quot;00E87665&quot;/&gt;&lt;wsp:rsid wsp:val=&quot;00E8792F&quot;/&gt;&lt;wsp:rsid wsp:val=&quot;00E87BEE&quot;/&gt;&lt;wsp:rsid wsp:val=&quot;00E87EF8&quot;/&gt;&lt;wsp:rsid wsp:val=&quot;00E87F9A&quot;/&gt;&lt;wsp:rsid wsp:val=&quot;00E9074F&quot;/&gt;&lt;wsp:rsid wsp:val=&quot;00E90CB2&quot;/&gt;&lt;wsp:rsid wsp:val=&quot;00E90F42&quot;/&gt;&lt;wsp:rsid wsp:val=&quot;00E918A2&quot;/&gt;&lt;wsp:rsid wsp:val=&quot;00E91988&quot;/&gt;&lt;wsp:rsid wsp:val=&quot;00E91DA7&quot;/&gt;&lt;wsp:rsid wsp:val=&quot;00E9203A&quot;/&gt;&lt;wsp:rsid wsp:val=&quot;00E92EF1&quot;/&gt;&lt;wsp:rsid wsp:val=&quot;00E93698&quot;/&gt;&lt;wsp:rsid wsp:val=&quot;00E93EE9&quot;/&gt;&lt;wsp:rsid wsp:val=&quot;00E941AB&quot;/&gt;&lt;wsp:rsid wsp:val=&quot;00E94B34&quot;/&gt;&lt;wsp:rsid wsp:val=&quot;00E94CFF&quot;/&gt;&lt;wsp:rsid wsp:val=&quot;00E94FEF&quot;/&gt;&lt;wsp:rsid wsp:val=&quot;00E9518F&quot;/&gt;&lt;wsp:rsid wsp:val=&quot;00E951BA&quot;/&gt;&lt;wsp:rsid wsp:val=&quot;00E953D3&quot;/&gt;&lt;wsp:rsid wsp:val=&quot;00E95538&quot;/&gt;&lt;wsp:rsid wsp:val=&quot;00E955A6&quot;/&gt;&lt;wsp:rsid wsp:val=&quot;00E95E5D&quot;/&gt;&lt;wsp:rsid wsp:val=&quot;00E961A4&quot;/&gt;&lt;wsp:rsid wsp:val=&quot;00E9645C&quot;/&gt;&lt;wsp:rsid wsp:val=&quot;00E97B42&quot;/&gt;&lt;wsp:rsid wsp:val=&quot;00EA1B78&quot;/&gt;&lt;wsp:rsid wsp:val=&quot;00EA1BAD&quot;/&gt;&lt;wsp:rsid wsp:val=&quot;00EA23B4&quot;/&gt;&lt;wsp:rsid wsp:val=&quot;00EA27F6&quot;/&gt;&lt;wsp:rsid wsp:val=&quot;00EA315F&quot;/&gt;&lt;wsp:rsid wsp:val=&quot;00EA3C0C&quot;/&gt;&lt;wsp:rsid wsp:val=&quot;00EA4302&quot;/&gt;&lt;wsp:rsid wsp:val=&quot;00EA4608&quot;/&gt;&lt;wsp:rsid wsp:val=&quot;00EA5575&quot;/&gt;&lt;wsp:rsid wsp:val=&quot;00EA59B7&quot;/&gt;&lt;wsp:rsid wsp:val=&quot;00EA5B8E&quot;/&gt;&lt;wsp:rsid wsp:val=&quot;00EA5D5B&quot;/&gt;&lt;wsp:rsid wsp:val=&quot;00EA6D99&quot;/&gt;&lt;wsp:rsid wsp:val=&quot;00EA6E0D&quot;/&gt;&lt;wsp:rsid wsp:val=&quot;00EA7CF6&quot;/&gt;&lt;wsp:rsid wsp:val=&quot;00EB1AED&quot;/&gt;&lt;wsp:rsid wsp:val=&quot;00EB1D19&quot;/&gt;&lt;wsp:rsid wsp:val=&quot;00EB24D1&quot;/&gt;&lt;wsp:rsid wsp:val=&quot;00EB2A3F&quot;/&gt;&lt;wsp:rsid wsp:val=&quot;00EB2B02&quot;/&gt;&lt;wsp:rsid wsp:val=&quot;00EB3528&quot;/&gt;&lt;wsp:rsid wsp:val=&quot;00EB463E&quot;/&gt;&lt;wsp:rsid wsp:val=&quot;00EB4E24&quot;/&gt;&lt;wsp:rsid wsp:val=&quot;00EB4F22&quot;/&gt;&lt;wsp:rsid wsp:val=&quot;00EB513B&quot;/&gt;&lt;wsp:rsid wsp:val=&quot;00EB550C&quot;/&gt;&lt;wsp:rsid wsp:val=&quot;00EB6D52&quot;/&gt;&lt;wsp:rsid wsp:val=&quot;00EB719D&quot;/&gt;&lt;wsp:rsid wsp:val=&quot;00EB7442&quot;/&gt;&lt;wsp:rsid wsp:val=&quot;00EB755A&quot;/&gt;&lt;wsp:rsid wsp:val=&quot;00EB7AAF&quot;/&gt;&lt;wsp:rsid wsp:val=&quot;00EB7BC8&quot;/&gt;&lt;wsp:rsid wsp:val=&quot;00EC08B2&quot;/&gt;&lt;wsp:rsid wsp:val=&quot;00EC1910&quot;/&gt;&lt;wsp:rsid wsp:val=&quot;00EC1B43&quot;/&gt;&lt;wsp:rsid wsp:val=&quot;00EC21FE&quot;/&gt;&lt;wsp:rsid wsp:val=&quot;00EC23B6&quot;/&gt;&lt;wsp:rsid wsp:val=&quot;00EC2572&quot;/&gt;&lt;wsp:rsid wsp:val=&quot;00EC2760&quot;/&gt;&lt;wsp:rsid wsp:val=&quot;00EC35E8&quot;/&gt;&lt;wsp:rsid wsp:val=&quot;00EC418F&quot;/&gt;&lt;wsp:rsid wsp:val=&quot;00EC6075&quot;/&gt;&lt;wsp:rsid wsp:val=&quot;00EC6487&quot;/&gt;&lt;wsp:rsid wsp:val=&quot;00EC73F4&quot;/&gt;&lt;wsp:rsid wsp:val=&quot;00EC770C&quot;/&gt;&lt;wsp:rsid wsp:val=&quot;00ED10E3&quot;/&gt;&lt;wsp:rsid wsp:val=&quot;00ED13F5&quot;/&gt;&lt;wsp:rsid wsp:val=&quot;00ED2094&quot;/&gt;&lt;wsp:rsid wsp:val=&quot;00ED274E&quot;/&gt;&lt;wsp:rsid wsp:val=&quot;00ED295D&quot;/&gt;&lt;wsp:rsid wsp:val=&quot;00ED2D9B&quot;/&gt;&lt;wsp:rsid wsp:val=&quot;00ED3F1B&quot;/&gt;&lt;wsp:rsid wsp:val=&quot;00ED48C9&quot;/&gt;&lt;wsp:rsid wsp:val=&quot;00ED4BFC&quot;/&gt;&lt;wsp:rsid wsp:val=&quot;00ED4DA9&quot;/&gt;&lt;wsp:rsid wsp:val=&quot;00ED62C7&quot;/&gt;&lt;wsp:rsid wsp:val=&quot;00ED67A2&quot;/&gt;&lt;wsp:rsid wsp:val=&quot;00ED6D95&quot;/&gt;&lt;wsp:rsid wsp:val=&quot;00EE017C&quot;/&gt;&lt;wsp:rsid wsp:val=&quot;00EE042D&quot;/&gt;&lt;wsp:rsid wsp:val=&quot;00EE0EF5&quot;/&gt;&lt;wsp:rsid wsp:val=&quot;00EE1EAB&quot;/&gt;&lt;wsp:rsid wsp:val=&quot;00EE2D7F&quot;/&gt;&lt;wsp:rsid wsp:val=&quot;00EE2F17&quot;/&gt;&lt;wsp:rsid wsp:val=&quot;00EE32EC&quot;/&gt;&lt;wsp:rsid wsp:val=&quot;00EE3573&quot;/&gt;&lt;wsp:rsid wsp:val=&quot;00EE3622&quot;/&gt;&lt;wsp:rsid wsp:val=&quot;00EE3CB2&quot;/&gt;&lt;wsp:rsid wsp:val=&quot;00EE4342&quot;/&gt;&lt;wsp:rsid wsp:val=&quot;00EE4F6A&quot;/&gt;&lt;wsp:rsid wsp:val=&quot;00EE527D&quot;/&gt;&lt;wsp:rsid wsp:val=&quot;00EE5972&quot;/&gt;&lt;wsp:rsid wsp:val=&quot;00EE5D30&quot;/&gt;&lt;wsp:rsid wsp:val=&quot;00EE5F68&quot;/&gt;&lt;wsp:rsid wsp:val=&quot;00EE6723&quot;/&gt;&lt;wsp:rsid wsp:val=&quot;00EE6FC7&quot;/&gt;&lt;wsp:rsid wsp:val=&quot;00EE7011&quot;/&gt;&lt;wsp:rsid wsp:val=&quot;00EE7ED3&quot;/&gt;&lt;wsp:rsid wsp:val=&quot;00EF0DF0&quot;/&gt;&lt;wsp:rsid wsp:val=&quot;00EF1956&quot;/&gt;&lt;wsp:rsid wsp:val=&quot;00EF20EB&quot;/&gt;&lt;wsp:rsid wsp:val=&quot;00EF318F&quot;/&gt;&lt;wsp:rsid wsp:val=&quot;00EF328D&quot;/&gt;&lt;wsp:rsid wsp:val=&quot;00EF4FF1&quot;/&gt;&lt;wsp:rsid wsp:val=&quot;00EF6208&quot;/&gt;&lt;wsp:rsid wsp:val=&quot;00EF78DC&quot;/&gt;&lt;wsp:rsid wsp:val=&quot;00F01CE9&quot;/&gt;&lt;wsp:rsid wsp:val=&quot;00F01D6F&quot;/&gt;&lt;wsp:rsid wsp:val=&quot;00F02144&quot;/&gt;&lt;wsp:rsid wsp:val=&quot;00F02902&quot;/&gt;&lt;wsp:rsid wsp:val=&quot;00F048E4&quot;/&gt;&lt;wsp:rsid wsp:val=&quot;00F04F80&quot;/&gt;&lt;wsp:rsid wsp:val=&quot;00F066F0&quot;/&gt;&lt;wsp:rsid wsp:val=&quot;00F06743&quot;/&gt;&lt;wsp:rsid wsp:val=&quot;00F06849&quot;/&gt;&lt;wsp:rsid wsp:val=&quot;00F06C8E&quot;/&gt;&lt;wsp:rsid wsp:val=&quot;00F07632&quot;/&gt;&lt;wsp:rsid wsp:val=&quot;00F0790A&quot;/&gt;&lt;wsp:rsid wsp:val=&quot;00F1080C&quot;/&gt;&lt;wsp:rsid wsp:val=&quot;00F10F5F&quot;/&gt;&lt;wsp:rsid wsp:val=&quot;00F1170A&quot;/&gt;&lt;wsp:rsid wsp:val=&quot;00F11756&quot;/&gt;&lt;wsp:rsid wsp:val=&quot;00F12735&quot;/&gt;&lt;wsp:rsid wsp:val=&quot;00F12D5A&quot;/&gt;&lt;wsp:rsid wsp:val=&quot;00F14A0B&quot;/&gt;&lt;wsp:rsid wsp:val=&quot;00F15269&quot;/&gt;&lt;wsp:rsid wsp:val=&quot;00F16340&quot;/&gt;&lt;wsp:rsid wsp:val=&quot;00F1748A&quot;/&gt;&lt;wsp:rsid wsp:val=&quot;00F177F0&quot;/&gt;&lt;wsp:rsid wsp:val=&quot;00F1785D&quot;/&gt;&lt;wsp:rsid wsp:val=&quot;00F20BC8&quot;/&gt;&lt;wsp:rsid wsp:val=&quot;00F21729&quot;/&gt;&lt;wsp:rsid wsp:val=&quot;00F2174F&quot;/&gt;&lt;wsp:rsid wsp:val=&quot;00F21ADD&quot;/&gt;&lt;wsp:rsid wsp:val=&quot;00F22018&quot;/&gt;&lt;wsp:rsid wsp:val=&quot;00F22035&quot;/&gt;&lt;wsp:rsid wsp:val=&quot;00F240E0&quot;/&gt;&lt;wsp:rsid wsp:val=&quot;00F244A8&quot;/&gt;&lt;wsp:rsid wsp:val=&quot;00F24B17&quot;/&gt;&lt;wsp:rsid wsp:val=&quot;00F252B8&quot;/&gt;&lt;wsp:rsid wsp:val=&quot;00F25509&quot;/&gt;&lt;wsp:rsid wsp:val=&quot;00F26EE5&quot;/&gt;&lt;wsp:rsid wsp:val=&quot;00F27EBE&quot;/&gt;&lt;wsp:rsid wsp:val=&quot;00F303E0&quot;/&gt;&lt;wsp:rsid wsp:val=&quot;00F30439&quot;/&gt;&lt;wsp:rsid wsp:val=&quot;00F30F9A&quot;/&gt;&lt;wsp:rsid wsp:val=&quot;00F327DB&quot;/&gt;&lt;wsp:rsid wsp:val=&quot;00F327DC&quot;/&gt;&lt;wsp:rsid wsp:val=&quot;00F32E2E&quot;/&gt;&lt;wsp:rsid wsp:val=&quot;00F34C4A&quot;/&gt;&lt;wsp:rsid wsp:val=&quot;00F35383&quot;/&gt;&lt;wsp:rsid wsp:val=&quot;00F369D5&quot;/&gt;&lt;wsp:rsid wsp:val=&quot;00F377D7&quot;/&gt;&lt;wsp:rsid wsp:val=&quot;00F37A36&quot;/&gt;&lt;wsp:rsid wsp:val=&quot;00F404DF&quot;/&gt;&lt;wsp:rsid wsp:val=&quot;00F40FCF&quot;/&gt;&lt;wsp:rsid wsp:val=&quot;00F4118F&quot;/&gt;&lt;wsp:rsid wsp:val=&quot;00F4133C&quot;/&gt;&lt;wsp:rsid wsp:val=&quot;00F41B8B&quot;/&gt;&lt;wsp:rsid wsp:val=&quot;00F42225&quot;/&gt;&lt;wsp:rsid wsp:val=&quot;00F423F8&quot;/&gt;&lt;wsp:rsid wsp:val=&quot;00F434E4&quot;/&gt;&lt;wsp:rsid wsp:val=&quot;00F4367D&quot;/&gt;&lt;wsp:rsid wsp:val=&quot;00F4394A&quot;/&gt;&lt;wsp:rsid wsp:val=&quot;00F43A44&quot;/&gt;&lt;wsp:rsid wsp:val=&quot;00F45FDD&quot;/&gt;&lt;wsp:rsid wsp:val=&quot;00F4666A&quot;/&gt;&lt;wsp:rsid wsp:val=&quot;00F472B3&quot;/&gt;&lt;wsp:rsid wsp:val=&quot;00F4799D&quot;/&gt;&lt;wsp:rsid wsp:val=&quot;00F50504&quot;/&gt;&lt;wsp:rsid wsp:val=&quot;00F50E69&quot;/&gt;&lt;wsp:rsid wsp:val=&quot;00F51039&quot;/&gt;&lt;wsp:rsid wsp:val=&quot;00F514A2&quot;/&gt;&lt;wsp:rsid wsp:val=&quot;00F52458&quot;/&gt;&lt;wsp:rsid wsp:val=&quot;00F52903&quot;/&gt;&lt;wsp:rsid wsp:val=&quot;00F53E40&quot;/&gt;&lt;wsp:rsid wsp:val=&quot;00F54655&quot;/&gt;&lt;wsp:rsid wsp:val=&quot;00F54AA3&quot;/&gt;&lt;wsp:rsid wsp:val=&quot;00F551A4&quot;/&gt;&lt;wsp:rsid wsp:val=&quot;00F554A0&quot;/&gt;&lt;wsp:rsid wsp:val=&quot;00F56AFB&quot;/&gt;&lt;wsp:rsid wsp:val=&quot;00F56EC2&quot;/&gt;&lt;wsp:rsid wsp:val=&quot;00F57495&quot;/&gt;&lt;wsp:rsid wsp:val=&quot;00F6041A&quot;/&gt;&lt;wsp:rsid wsp:val=&quot;00F605E8&quot;/&gt;&lt;wsp:rsid wsp:val=&quot;00F60840&quot;/&gt;&lt;wsp:rsid wsp:val=&quot;00F60B50&quot;/&gt;&lt;wsp:rsid wsp:val=&quot;00F60FD5&quot;/&gt;&lt;wsp:rsid wsp:val=&quot;00F618B7&quot;/&gt;&lt;wsp:rsid wsp:val=&quot;00F61952&quot;/&gt;&lt;wsp:rsid wsp:val=&quot;00F63485&quot;/&gt;&lt;wsp:rsid wsp:val=&quot;00F63B08&quot;/&gt;&lt;wsp:rsid wsp:val=&quot;00F643FC&quot;/&gt;&lt;wsp:rsid wsp:val=&quot;00F646BB&quot;/&gt;&lt;wsp:rsid wsp:val=&quot;00F655A9&quot;/&gt;&lt;wsp:rsid wsp:val=&quot;00F65A02&quot;/&gt;&lt;wsp:rsid wsp:val=&quot;00F66028&quot;/&gt;&lt;wsp:rsid wsp:val=&quot;00F662C3&quot;/&gt;&lt;wsp:rsid wsp:val=&quot;00F67051&quot;/&gt;&lt;wsp:rsid wsp:val=&quot;00F6741E&quot;/&gt;&lt;wsp:rsid wsp:val=&quot;00F67749&quot;/&gt;&lt;wsp:rsid wsp:val=&quot;00F67E3E&quot;/&gt;&lt;wsp:rsid wsp:val=&quot;00F71FBB&quot;/&gt;&lt;wsp:rsid wsp:val=&quot;00F72CA6&quot;/&gt;&lt;wsp:rsid wsp:val=&quot;00F738F7&quot;/&gt;&lt;wsp:rsid wsp:val=&quot;00F73C09&quot;/&gt;&lt;wsp:rsid wsp:val=&quot;00F73E31&quot;/&gt;&lt;wsp:rsid wsp:val=&quot;00F74C85&quot;/&gt;&lt;wsp:rsid wsp:val=&quot;00F75095&quot;/&gt;&lt;wsp:rsid wsp:val=&quot;00F7526A&quot;/&gt;&lt;wsp:rsid wsp:val=&quot;00F75D2E&quot;/&gt;&lt;wsp:rsid wsp:val=&quot;00F764C0&quot;/&gt;&lt;wsp:rsid wsp:val=&quot;00F76B03&quot;/&gt;&lt;wsp:rsid wsp:val=&quot;00F77A16&quot;/&gt;&lt;wsp:rsid wsp:val=&quot;00F77A4C&quot;/&gt;&lt;wsp:rsid wsp:val=&quot;00F77B3C&quot;/&gt;&lt;wsp:rsid wsp:val=&quot;00F80A94&quot;/&gt;&lt;wsp:rsid wsp:val=&quot;00F81EA8&quot;/&gt;&lt;wsp:rsid wsp:val=&quot;00F82740&quot;/&gt;&lt;wsp:rsid wsp:val=&quot;00F83C80&quot;/&gt;&lt;wsp:rsid wsp:val=&quot;00F83D4E&quot;/&gt;&lt;wsp:rsid wsp:val=&quot;00F84BAF&quot;/&gt;&lt;wsp:rsid wsp:val=&quot;00F85830&quot;/&gt;&lt;wsp:rsid wsp:val=&quot;00F861AF&quot;/&gt;&lt;wsp:rsid wsp:val=&quot;00F86702&quot;/&gt;&lt;wsp:rsid wsp:val=&quot;00F870CC&quot;/&gt;&lt;wsp:rsid wsp:val=&quot;00F872BC&quot;/&gt;&lt;wsp:rsid wsp:val=&quot;00F873B8&quot;/&gt;&lt;wsp:rsid wsp:val=&quot;00F879F1&quot;/&gt;&lt;wsp:rsid wsp:val=&quot;00F87E17&quot;/&gt;&lt;wsp:rsid wsp:val=&quot;00F9035C&quot;/&gt;&lt;wsp:rsid wsp:val=&quot;00F90E63&quot;/&gt;&lt;wsp:rsid wsp:val=&quot;00F91B44&quot;/&gt;&lt;wsp:rsid wsp:val=&quot;00F925AB&quot;/&gt;&lt;wsp:rsid wsp:val=&quot;00F92B36&quot;/&gt;&lt;wsp:rsid wsp:val=&quot;00F93B62&quot;/&gt;&lt;wsp:rsid wsp:val=&quot;00F949C0&quot;/&gt;&lt;wsp:rsid wsp:val=&quot;00F95093&quot;/&gt;&lt;wsp:rsid wsp:val=&quot;00F962CC&quot;/&gt;&lt;wsp:rsid wsp:val=&quot;00F96D6B&quot;/&gt;&lt;wsp:rsid wsp:val=&quot;00F96FFE&quot;/&gt;&lt;wsp:rsid wsp:val=&quot;00FA0697&quot;/&gt;&lt;wsp:rsid wsp:val=&quot;00FA0C6D&quot;/&gt;&lt;wsp:rsid wsp:val=&quot;00FA10FD&quot;/&gt;&lt;wsp:rsid wsp:val=&quot;00FA1829&quot;/&gt;&lt;wsp:rsid wsp:val=&quot;00FA312B&quot;/&gt;&lt;wsp:rsid wsp:val=&quot;00FA3F11&quot;/&gt;&lt;wsp:rsid wsp:val=&quot;00FA3F83&quot;/&gt;&lt;wsp:rsid wsp:val=&quot;00FA5DC4&quot;/&gt;&lt;wsp:rsid wsp:val=&quot;00FA6003&quot;/&gt;&lt;wsp:rsid wsp:val=&quot;00FA6A0C&quot;/&gt;&lt;wsp:rsid wsp:val=&quot;00FA6B11&quot;/&gt;&lt;wsp:rsid wsp:val=&quot;00FA7526&quot;/&gt;&lt;wsp:rsid wsp:val=&quot;00FA75FB&quot;/&gt;&lt;wsp:rsid wsp:val=&quot;00FB086B&quot;/&gt;&lt;wsp:rsid wsp:val=&quot;00FB0F82&quot;/&gt;&lt;wsp:rsid wsp:val=&quot;00FB19A1&quot;/&gt;&lt;wsp:rsid wsp:val=&quot;00FB344E&quot;/&gt;&lt;wsp:rsid wsp:val=&quot;00FB3F32&quot;/&gt;&lt;wsp:rsid wsp:val=&quot;00FB496B&quot;/&gt;&lt;wsp:rsid wsp:val=&quot;00FB5624&quot;/&gt;&lt;wsp:rsid wsp:val=&quot;00FB5A87&quot;/&gt;&lt;wsp:rsid wsp:val=&quot;00FB6000&quot;/&gt;&lt;wsp:rsid wsp:val=&quot;00FB6684&quot;/&gt;&lt;wsp:rsid wsp:val=&quot;00FB6C3B&quot;/&gt;&lt;wsp:rsid wsp:val=&quot;00FB776B&quot;/&gt;&lt;wsp:rsid wsp:val=&quot;00FC1109&quot;/&gt;&lt;wsp:rsid wsp:val=&quot;00FC1AEE&quot;/&gt;&lt;wsp:rsid wsp:val=&quot;00FC23A5&quot;/&gt;&lt;wsp:rsid wsp:val=&quot;00FC3066&quot;/&gt;&lt;wsp:rsid wsp:val=&quot;00FC3293&quot;/&gt;&lt;wsp:rsid wsp:val=&quot;00FC3916&quot;/&gt;&lt;wsp:rsid wsp:val=&quot;00FC3BE3&quot;/&gt;&lt;wsp:rsid wsp:val=&quot;00FC3E32&quot;/&gt;&lt;wsp:rsid wsp:val=&quot;00FC59E9&quot;/&gt;&lt;wsp:rsid wsp:val=&quot;00FC6766&quot;/&gt;&lt;wsp:rsid wsp:val=&quot;00FC7AB9&quot;/&gt;&lt;wsp:rsid wsp:val=&quot;00FC7D48&quot;/&gt;&lt;wsp:rsid wsp:val=&quot;00FD0DD6&quot;/&gt;&lt;wsp:rsid wsp:val=&quot;00FD19AD&quot;/&gt;&lt;wsp:rsid wsp:val=&quot;00FD3494&quot;/&gt;&lt;wsp:rsid wsp:val=&quot;00FD3E24&quot;/&gt;&lt;wsp:rsid wsp:val=&quot;00FD4856&quot;/&gt;&lt;wsp:rsid wsp:val=&quot;00FD5050&quot;/&gt;&lt;wsp:rsid wsp:val=&quot;00FD5068&quot;/&gt;&lt;wsp:rsid wsp:val=&quot;00FD5A19&quot;/&gt;&lt;wsp:rsid wsp:val=&quot;00FD5CD9&quot;/&gt;&lt;wsp:rsid wsp:val=&quot;00FD6004&quot;/&gt;&lt;wsp:rsid wsp:val=&quot;00FD62BC&quot;/&gt;&lt;wsp:rsid wsp:val=&quot;00FD6B4A&quot;/&gt;&lt;wsp:rsid wsp:val=&quot;00FD7141&quot;/&gt;&lt;wsp:rsid wsp:val=&quot;00FD7936&quot;/&gt;&lt;wsp:rsid wsp:val=&quot;00FD7E88&quot;/&gt;&lt;wsp:rsid wsp:val=&quot;00FE0261&quot;/&gt;&lt;wsp:rsid wsp:val=&quot;00FE107E&quot;/&gt;&lt;wsp:rsid wsp:val=&quot;00FE1EA7&quot;/&gt;&lt;wsp:rsid wsp:val=&quot;00FE231E&quot;/&gt;&lt;wsp:rsid wsp:val=&quot;00FE2697&quot;/&gt;&lt;wsp:rsid wsp:val=&quot;00FE2B98&quot;/&gt;&lt;wsp:rsid wsp:val=&quot;00FE2DF7&quot;/&gt;&lt;wsp:rsid wsp:val=&quot;00FE3A9B&quot;/&gt;&lt;wsp:rsid wsp:val=&quot;00FE3F46&quot;/&gt;&lt;wsp:rsid wsp:val=&quot;00FE4727&quot;/&gt;&lt;wsp:rsid wsp:val=&quot;00FE4779&quot;/&gt;&lt;wsp:rsid wsp:val=&quot;00FE4817&quot;/&gt;&lt;wsp:rsid wsp:val=&quot;00FE4CCE&quot;/&gt;&lt;wsp:rsid wsp:val=&quot;00FE5400&quot;/&gt;&lt;wsp:rsid wsp:val=&quot;00FE6FBF&quot;/&gt;&lt;wsp:rsid wsp:val=&quot;00FE7297&quot;/&gt;&lt;wsp:rsid wsp:val=&quot;00FE7520&quot;/&gt;&lt;wsp:rsid wsp:val=&quot;00FE756A&quot;/&gt;&lt;wsp:rsid wsp:val=&quot;00FF00DB&quot;/&gt;&lt;wsp:rsid wsp:val=&quot;00FF0BE9&quot;/&gt;&lt;wsp:rsid wsp:val=&quot;00FF1DB0&quot;/&gt;&lt;wsp:rsid wsp:val=&quot;00FF2506&quot;/&gt;&lt;wsp:rsid wsp:val=&quot;00FF2A05&quot;/&gt;&lt;wsp:rsid wsp:val=&quot;00FF3340&quot;/&gt;&lt;wsp:rsid wsp:val=&quot;00FF380D&quot;/&gt;&lt;wsp:rsid wsp:val=&quot;00FF4405&quot;/&gt;&lt;wsp:rsid wsp:val=&quot;00FF462E&quot;/&gt;&lt;wsp:rsid wsp:val=&quot;00FF4922&quot;/&gt;&lt;wsp:rsid wsp:val=&quot;00FF4976&quot;/&gt;&lt;wsp:rsid wsp:val=&quot;00FF70E4&quot;/&gt;&lt;wsp:rsid wsp:val=&quot;00FF7279&quot;/&gt;&lt;wsp:rsid wsp:val=&quot;00FF73C4&quot;/&gt;&lt;wsp:rsid wsp:val=&quot;00FF7468&quot;/&gt;&lt;wsp:rsid wsp:val=&quot;00FF7A38&quot;/&gt;&lt;/wsp:rsids&gt;&lt;/w:docPr&gt;&lt;w:body&gt;&lt;wx:sect&gt;&lt;w:p wsp:rsidR=&quot;00F11756&quot; wsp:rsidRDefault=&quot;00F11756&quot; wsp:rsidP=&quot;00F11756&quot;&gt;&lt;m:oMathPara&gt;&lt;m:oMath&gt;&lt;m:r&gt;&lt;aml:annotation aml:id=&quot;0&quot; w:type=&quot;Word.Insertion&quot; aml:author=&quot;jq ??&quot; aml:createdate=&quot;2024-12-04T09:02:00Z&quot;&gt;&lt;aml:content&gt;&lt;w:rP&gt;&gt;&gt;&gt;r&gt;/&lt;w:rFonts w:ascii=&quot;Cambria Math&quot; w:h-ansi=&quot;????&quot;/&gt;&lt;wx:font wx:val=&quot;Cambria Math&quot;/&gt;&lt;w:b w:val=&quot;off&quot;/&gt;&lt;w:i/&gt;&lt;w:sz w:val=&quot;21&quot;/&gt;&lt;w:sz-cs w:val=&quot;21&quot;/&gt;&lt;/w:rPr&gt;&lt;m:t&gt;??=&lt;/m:t&gt;&lt;/aml:content&gt;&lt;/aml:annotation&gt;&lt;/m:r&gt;&lt;m:f&gt;&lt;m:fPr&gt;&lt;m:ctrlPr&gt;&lt;aml:annotation aml:id=rP&gt;&quot;rP&gt;1rP&gt;&quot;rP&gt; w:r&gt;/type=&quot;Word.Insertion&quot; aml:author=&quot;jq ??&quot; aml:createdate=&quot;2024-12-04T09:02:00Z&quot;&gt;&lt;aml:content&gt;&lt;w:rPr&gt;&lt;w:rFonts w:ascii=&quot;Cambria Math&quot; w:h-ansi=&quot;????&quot;/&gt;&lt;wx:font wx:val=&quot;Cambria Math&quot;/&gt;&lt;w:b w:val=&quot;off&quot;/&gt;&lt;w:i/&gt;&lt;w:sz w:val=&quot;21&quot;/&gt;&lt;w:sz-cs w:valrP&gt;=&quot;21rP&gt;&quot;/&gt;&lt;rP&gt;/w:rrP&gt;Pr&gt;&lt;/ar&gt;/ml:content&gt;&lt;/aml:annotation&gt;&lt;/m:ctrlPr&gt;&lt;/m:fPr&gt;&lt;m:num&gt;&lt;m:r&gt;&lt;aml:annotation aml:id=&quot;2&quot; w:type=&quot;Word.Insertion&quot; aml:author=&quot;jq ??&quot; aml:createdate=&quot;2024-12-04T09:02:00Z&quot;&gt;&lt;aml:content&gt;&lt;w:rPr&gt;&lt;w:rFonts w:ascii=&quot;Cambria Math&quot; w:h-a&gt;nsi=&quot;??P&gt;??&quot;/&gt;&lt;wrP&gt;x:font rP&gt;wx:val=&quot;Cr&gt;/ambria Math&quot;/&gt;&lt;w:b w:val=&quot;off&quot;/&gt;&lt;w:i/&gt;&lt;w:sz w:val=&quot;21&quot;/&gt;&lt;w:sz-cs w:val=&quot;21&quot;/&gt;&lt;/w:rPr&gt;&lt;m:t&gt;Q&lt;/m:t&gt;&lt;/aml:content&gt;&lt;/aml:annotation&gt;&lt;/m:r&gt;&lt;/m:num&gt;&lt;m:den&gt;&lt;m:r&gt;&lt;aml:annotation aml:id=&quot;3&quot; w:type=&quot;Word.Insertion&quot; aml:authoa&gt;r=&quot;jq ??&quot;P&gt; aml:creat&gt;edate=&quot;202&gt;4-12-04T09:0/2:00Z&quot;&gt;&lt;aml:content&gt;&lt;w:rPr&gt;&lt;w:rFonts w:ascii=&quot;Cambria Math&quot; w:h-ansi=&quot;????&quot;/&gt;&lt;wx:font wx:val=&quot;Cambria Math&quot;/&gt;&lt;w:b w:val=&quot;off&quot;/&gt;&lt;w:i/&gt;&lt;w:sz w:val=&quot;21&quot;/&gt;&lt;w:sz-cs w:val=&quot;21&quot;/&gt;&lt;/w:rPr&gt;&lt;m:t&gt;n??&lt;/m:t&gt;&lt;/aml:content&gt;&lt;hoa&gt;/aml:annota&quot;P&gt;tion&gt;&lt;/m:r&gt;at&gt;&lt;m:r&gt;&lt;aml:a02&gt;nnotation aml:0/:id=&quot;4&quot; w:type=&quot;Word.Insertion&quot; aml:author=&quot;jq ??&quot; aml:createdate=&quot;2024-12-04T09:02:00Z&quot;&gt;&lt;aml:content&gt;&lt;w:rPr&gt;&lt;w:rFonts w:ascii=&quot;Cambria Math&quot; w:h-ansi=&quot;????&quot; w:hint=&quot;fareast&quot;/&gt;&lt;wx:font wx:val=&quot;????&lt;hoa&gt;&quot;/&gt;&lt;w:b w:val=ta&quot;P&gt;&quot;off&quot;/&gt;&lt;w:i/&gt;&lt;r&gt;at&gt;w:sz w:val=&quot;21:a02&gt;&quot;/&gt;&lt;w:sz-cs w:vaml:0/l=&quot;21&quot;/&gt;&lt;/w:rPr&gt;&lt;m:t&gt;??&lt;/m:t&gt;&lt;/aml:content&gt;&lt;/aml:annotation&gt;&lt;/m:r&gt;&lt;m:rad&gt;&lt;m:radPr&gt;&lt;m:degHide m:val=&quot;1&quot;/&gt;&lt;m:ctrlPr&gt;&lt;aml:annotation aml:id=&quot;5&quot; w:type=&quot;Word.Insertion&quot; aml:author=&quot;&gt;jq ??&quot; aml:createdaP&gt;te=&quot;2024-12-04T09:0t&gt;2:00Z&quot;&gt;&lt;aml:content2&gt;&gt;&lt;w:rPr&gt;&lt;w:rFonts w:a0/scii=&quot;Cambria Math&quot; w:h-ansi=&quot;????&quot;/&gt;&lt;wx:font wx:val=&quot;Cambria Math&quot;/&gt;&lt;w:b w:val=&quot;off&quot;/&gt;&lt;w:i/&gt;&lt;w:sz w:val=&quot;21&quot;/&gt;&lt;w:sz-cs w:val=&quot;21&quot;/&gt;&lt;/w:rPr&gt;&lt;/aml:content&gt;&lt;/aml:annotatio=&quot;&gt;n&gt;&lt;/m:ctrlPr&gt;&lt;/m:radPP&gt;r&gt;&lt;m:deg/&gt;&lt;m:e&gt;&lt;m:r&gt;&lt;t&gt;aml:annotation aml:id2&gt;=&quot;6&quot; w:type=&quot;Word.Inser0/tion&quot; aml:author=&quot;jq ??&quot; aml:createdate=&quot;2024-12-04T09:02:00Z&quot;&gt;&lt;aml:content&gt;&lt;w:rPr&gt;&lt;w:rFonts w:ascii=&quot;Cambria Math&quot; w:h-ansi=&quot;????&quot;/&gt;&lt;wx:font wx:val=&quot;Cambria Mat=&quot;&gt;h&quot;/&gt;&lt;w:b w:val=&quot;off&quot;/&gt;&lt;PP&gt;w:i/&gt;&lt;w:sz w:val=&quot;21&quot;/&gt;&lt;t&gt;&lt;w:sz-cs w:val=&quot;21&quot;/&gt;&lt;/d2&gt;w:rPr&gt;&lt;m:t&gt;2g&lt;/m:t&gt;&lt;/aml:r0/content&gt;&lt;/aml:annotation&gt;&lt;/m:r&gt;&lt;m:sSub&gt;&lt;m:sSubPr&gt;&lt;m:ctrlPr&gt;&lt;aml:annotation aml:id=&quot;7&quot; w:type=&quot;Word.Insertion&quot; aml:author=&quot;jq ??&quot; aml:createdate=&quot;2024&gt;-12-04T09:02:00Z&quot;&gt;&lt;aml:con&gt;tent&gt;&lt;w:rPr&gt;&lt;w:rFonts w:as&gt;cii=&quot;Cambria Math&quot; w:h-ans&gt;i=&quot;????&quot;/&gt;&lt;wx:font wx:val=&quot;Cr0/ambria Math&quot;/&gt;&lt;w:b w:val=&quot;off&quot;/&gt;&lt;w:i/&gt;&lt;w:sz w:val=&quot;21&quot;/&gt;&lt;w:sz-cs w:val=&quot;21&quot;/&gt;&lt;/w:rPr&gt;&lt;/aml:content&gt;&lt;/aml:annotation&gt;&lt;/m:ctrlPr&gt;&lt;/m:sSubPr&gt;&lt;m:e&gt;4&gt;&lt;m:r&gt;&lt;aml:annotation aml:idn&gt;=&quot;8&quot; w:type=&quot;Word.Insertions&gt;&quot; aml:author=&quot;jq ??&quot; aml:crns&gt;eatedate=&quot;2024-12-04T09:02:00Z&quot;/&gt;&lt;aml:content&gt;&lt;w:rPr&gt;&lt;w:rFonts w:ascii=&quot;Cambria Math&quot; w:h-ansi=&quot;????&quot;/&gt;&lt;wx:font wx:val=&quot;Cambria Math&quot;/&gt;&lt;w:b w:val=&quot;off&quot;/&gt;&lt;w:i/&gt;&lt;w:sz w:&gt;4&gt;val=&quot;21&quot;/&gt;&lt;w:sz-cs w:val=&quot;21&quot;dn&gt;/&gt;&lt;/w:rPr&gt;&lt;m:t&gt;H&lt;/m:t&gt;&lt;/aml:cns&gt;ontent&gt;&lt;/aml:annotation&gt;&lt;/m:r&gt;s&gt;&lt;/m:e&gt;&lt;m:sub&gt;&lt;m:r&gt;&lt;aml:annotatio&quot;/n aml:id=&quot;9&quot; w:type=&quot;Word.Insertion&quot; aml:author=&quot;jq ??&quot; aml:createdate=&quot;2024-12-04T09:02:00Z&quot;&gt;&lt;aml:content&gt;&lt;w:rPr&gt;&lt;w:rFonts w&gt;:ascii=&quot;Cambria Math&quot; w:h-ansi=&quot;&gt;????&quot;/&gt;&lt;wx:font wx:val=&quot;Cambria ns&gt;Math&quot;/&gt;&lt;w:b w:val=&quot;off&quot;/&gt;&lt;w:i/&gt;&lt;&gt;s&gt;w:sz w:val=&quot;21&quot;/&gt;&lt;w:sz-cs w:val=&quot;2o&quot;/1&quot;/&gt;&lt;/w:rPr&gt;&lt;m:t&gt;1&lt;/m:t&gt;&lt;/aml:content&gt;&lt;/aml:annotation&gt;&lt;/m:r&gt;&lt;/m:sub&gt;&lt;/m:sSub&gt;&lt;m:ctrlPr&gt;&lt;aml:annotation aml:id=&quot;10&quot;w&gt; w:type=&quot;Word.Insertion&quot; aml:auth&quot;&gt;or=&quot;jq ??&quot; aml:createdate=&quot;2024-12-&gt;04T09:02:00Z&quot;&gt;&lt;aml:content&gt;&lt;w:rPr&gt;&lt;&gt;w:rFonts w:ascii=&quot;Cambria Math&quot; w:h-a/nsi=&quot;Cambria Math&quot; w:hint=&quot;fareast&quot;/&gt;&lt;wx:font wx:val=&quot;Cambria Math&quot;/&gt;&lt;w:b w:val=&quot;off&quot;/&gt;&lt;w:i/&gt;&lt;w:sz w:val=&quot;21&quot;/&gt;&gt;&lt;w:sz-cs w:val=&quot;21&quot;/&gt;&lt;/w:rPr&gt;&lt;/aml&gt;:content&gt;&lt;/aml:annotation&gt;&lt;/m:ctrlPr&gt;&lt;/m:e&gt;&lt;/m:rad&gt;&lt;m:r&gt;&lt;aml:annotation aml:id=&quot;11&quot; w:type=&quot;Word.Insertion&quot; aml:author=&quot;jq ??&quot; aml:createdate=&quot;2024-12-04T09:02:00Z&quot;&gt;&lt;aml:content&gt;&lt;w:rPr&gt;&lt;w:rFonts w:ascii=&quot;Cambria Math&quot; w&gt;:h-ansi=&quot;????&quot;/&gt;&lt;wx:font wx:val=&quot;Camml&gt;bria Math&quot;/&gt;&lt;w:b w:val=&quot;off&quot;/&gt;&lt;w:i/&gt;lPr&lt;w:sz w:val=&quot;21&quot;/&gt;&lt;w:sz-cs w:val=&quot;21on &quot;/&gt;&lt;/w:rPr&gt;&lt;m:t&gt;+&lt;/m:t&gt;&lt;/aml:content&gt;&lt; am/aml:annotation&gt;&lt;/m:r&gt;&lt;m:rad&gt;&lt;m:radPr&gt;&lt;m:degHide m:val=&quot;1&quot;/&gt;&lt;m:ctrlPr&gt;&lt;aml:annotation aml:id=&quot;12&quot;w&gt; w:type=&quot;Word.Insertion&quot; aml:author=&quot;jq ??&quot; aml:createdate=&quot;2024-12-04T09:02:0r0Z&quot;&gt;&lt;aml:content&gt;&lt;w:rPr&gt;&lt;w:rFonts w:asc ii=&quot;Cambria Math&quot; w:h-ansi=&quot;????&quot;/&gt;&lt;wx:fo amnt wx:val=&quot;Cambria Math&quot;/&gt;&lt;w:b w:val=&quot;off&quot;/&gt;&lt;w:i/&gt;&lt;w:sz w:val=&quot;21&quot;/&gt;&lt;w:sz-cs w:val=&quot;21&quot;/&gt;&lt;/w&quot;w&gt;:rPr&gt;&lt;/aml:content&gt;&lt;/aml:annotation&gt;&lt;/m&quot;jq:ctrlPr&gt;&lt;/m:radPr&gt;&lt;m:deg/&gt;&lt;m:e&gt;&lt;m:r&gt;&lt;aml0r:annotation aml:id=&quot;13&quot; w:type=&quot;Word.Insc ertion&quot; aml:author=&quot;jq ??&quot; aml:createdate=&quot;2m024-12-04T09:02:00Z&quot;&gt;&lt;aml:content&gt;&lt;w:rPr&gt;&lt;w:rFonts w:ascii=&quot;Cambria Math&quot; w:h-ansi=&quot;&gt;????&quot;/&gt;&lt;wx:font wx:val=&quot;Cambria Math&quot;/&gt;&lt;w:&quot;jqb w:val=&quot;off&quot;/&gt;&lt;w:i/&gt;&lt;w:sz w:val=&quot;21&quot;/&gt;&lt;w:l0rsz-cs w:val=&quot;21&quot;/&gt;&lt;/w:rPr&gt;&lt;m:t&gt;2g&lt;/m:t&gt;&lt;/asc ml:content&gt;&lt;/aml:annotation&gt;&lt;/m:r&gt;&lt;m:sSub&gt;&lt;m:2msSubPr&gt;&lt;m:ctrlPr&gt;&lt;aml:annotation aml:id=&quot;14&quot; w:type=&quot;Word.Insertion&quot; aml:&quot;&gt;author=&quot;jq ??&quot; aml:createdate=&quot;2024-12-04T09:q02:00Z&quot;&gt;&lt;aml:content&gt;&lt;w:rPr&gt;&lt;w:rFonts w:asciir=&quot;Cambria Math&quot; w:h-ansi=&quot;????&quot;/&gt;&lt;wx:font wx:sc val=&quot;Cambria Math&quot;/&gt;&lt;w:b w:val=&quot;off&quot;/&gt;&lt;w:i/&gt;&lt;w::2msz w:val=&quot;21&quot;/&gt;&lt;w:sz-cs w:val=&quot;21&quot;/&gt;&lt;/w:rPr&gt;&lt;/aml:content&gt;&lt;/aml:a:&quot;&gt;nnotation&gt;&lt;/m:ctrlPr&gt;&lt;/m:sSubPr&gt;&lt;m:e&gt;&lt;m:r&gt;&lt;aml:q:annotation aml:id=&quot;15&quot; w:type=&quot;Word.Insertionir&quot; aml:author=&quot;jq ??&quot; aml:createdate=&quot;2024-12-04T 09:02:00Z&quot;&gt;&lt;aml:content&gt;&lt;w:rPr&gt;&lt;w:rFonts w:ascii=&quot;mCambria Math&quot; w:h-ansi=&quot;????&quot;/&gt;&lt;wx:font wx:val=&quot;Cambria Mat:&quot;&gt;h&quot;/&gt;&lt;w:b w:val=&quot;off&quot;/&gt;&lt;w:i/&gt;&lt;w:sz w:val=&quot;21&quot;/&gt;&lt;wl:q:sz-cs w:val=&quot;21&quot;/&gt;&lt;/w:rPr&gt;&lt;m:t&gt;H&lt;/m:t&gt;&lt;/aml:connirtent&gt;&lt;/aml:annotation&gt;&lt;/m:r&gt;&lt;/m:e&gt;&lt;m:sub&gt;&lt;m:r&gt;&lt;amT l:annotation aml:id=&quot;16&quot; w:type=&quot;Word.Insertion&quot; am&quot;ml:author=&quot;jq ??&quot; aml:createdate=&quot;2024-12-04T09:02&gt;:00Z&quot;&gt;&lt;aml:content&gt;&lt;w:rPr&gt;&lt;w:rFonts w:ascii=&quot;Cambriqa Math&quot; w:h-ansi=&quot;????&quot;/&gt;&lt;wx:font wx:val=&quot;Cambria Mnirath&quot;/&gt;&lt;w:b w:val=&quot;off&quot;/&gt;&lt;w:i/&gt;&lt;w:sz w:val=&quot;21&quot;/&gt;&lt;w:mT sz-cs w:val=&quot;21&quot;/&gt;&lt;/w:rPr&gt;&lt;m:t&gt;2&lt;/m:t&gt;&lt;/aml:content&gt;&lt;m&quot;m/aml:annotation&gt;&lt;/m:r&gt;&lt;/m:sub&gt;&lt;/m:sSub&gt;2&gt;&lt;m:ctrlPr&gt;&lt;aml:annotation aml:id=&quot;17&quot; w:type=&quot;Word.Iiqnsertion&quot; aml:author=&quot;jq ??&quot; aml:createdate=&quot;2024-12-0r4T09:02:00Z&quot;&gt;&lt;aml:content&gt;&lt;w:rPr&gt;&lt;w:rFonts w:ascii=&quot;Ca mbria Math&quot; w:h-ansi=&quot;Cambria Math&quot; w:hint=&quot;fareast&quot;/&gt;&lt;wmx:font wx:val=&quot;Cambria Math&quot;/&gt;&lt;w:b&gt; w:val=&quot;off&quot;/&gt;&lt;w:i/&gt;&lt;w:sz w:val=&quot;21&quot;/&gt;&lt;w:sz-cs w:val=&quot;q21&quot;/&gt;&lt;/w:rPr&gt;&lt;/aml:content&gt;&lt;/aml:annotation&gt;&lt;/m:ctrlPr&gt;&lt;/m:e&gt;&lt;/m:rad&gt;&lt;m:r&gt;&lt;aml:annotation aml:id=&quot;18&quot; w:type=&quot;Word.Insertion&quot; aml:author=&quot;jq ??&quot; aml:createdate=&quot;2024-1m2-04T09:02:00Z&quot;&gt;&lt;aml:content&gt;&lt;w:&gt;rPr&gt;&lt;w:rFonts w:ascii=&quot;Cambria Math&quot; w:h-ansi=&quot;????&quot;/&gt;&lt;=&quot;qwx:font wx:val=&quot;Cambria Math&quot;/&gt;&lt;w:b w:val=&quot;off&quot;/&gt;&lt;w:i/&gt;Pr&gt;&lt;w:sz w:val=&quot;21&quot;/&gt;&lt;w:sz-cs w:val=&quot;21&quot;/&gt;&lt;/w:rPr&gt;&lt;m:t&gt;+&lt;/e=&quot;m:t&gt;&lt;/aml:content&gt;&lt;/aml:annotation&gt;&lt;/m:r&gt;&lt;m:rad&gt;&lt;m:radPr&gt;&lt;1mm:degHide m:val=&quot;1&quot;/&gt;:&gt;&lt;m:ctrlPr&gt;&lt;aml:annotation aml:id=&quot;19&quot; w:type=&quot;Word.Insertion&quot; aml:author=&quot;jq ??&quot; aml:createdate=&quot;2024-12-04T09:02:00&gt;Z&quot;&gt;&lt;aml:content&gt;&lt;w:rPr&gt;&lt;w:rFonts w:ascii=&quot;Cambria Math&quot; w:&quot;h-ansi=&quot;????&quot;/&gt;&lt;wx:font wx:val=&quot;Cambria Math&quot;/&gt;&lt;w:b w:val=&quot;o&lt;1mff&quot;/&gt;&lt;w:i/&gt;&lt;w:sz&gt;:&gt; w:val=&quot;21&quot;/&gt;&lt;w:sz-cs w:val=&quot;21&quot;/&gt;&lt;/w:rPr&gt;&lt;/aml:content&gt;&lt;/rtiaml:annotation&gt;&lt;/m:ctrlPr&gt;&lt;/m:radPr&gt;&lt;m:deg/&gt;&lt;m:e&gt;&lt;m:r&gt;&lt;aml:0&gt;annotation aml:id=&quot;20&quot; w:type=&quot;Word.Insertion&quot; aml:author=&quot;:&quot;jq ??&quot; aml:createdate=&quot;2024-12-04T09:02:00Z&quot;&gt;&lt;aml:content&gt;&lt;w:rPmr&gt;&lt;w:rFo&gt;nts w:ascii=&quot;Cambria Math&quot; w:h-ansi=&quot;????&quot;/&gt;&lt;wx:font wx:val=&quot;rtiCambria Math&quot;/&gt;&lt;w:b w:val=&quot;off&quot;/&gt;&lt;w:i/&gt;&lt;w:sz w:val=&quot;21&quot;/&gt;&lt;w:s:0&gt;z-cs w:val=&quot;21&quot;/&gt;&lt;/w:rPr&gt;&lt;m:t&gt;2g&lt;/m:t&gt;&lt;/aml:content&gt;&lt;/aml:ann&quot;:&quot;otation&gt;&lt;/m:r&gt;&lt;m:sSub&gt;&lt;m:sSubPr&gt;&lt;m:ctrlPr&gt;&lt;aml:annotation aml:io&gt;dPm=&quot;21&quot; w:type=&quot;Word.Insertion&quot; aml:author=&quot;jq ??&quot; aml:createdaite=&quot;2024-12-04T09:02:00Z&quot;&gt;&lt;aml:content&gt;&lt;w:rPr&gt;&lt;w:rFonts w:ascii=&gt;&quot;Cambria Math&quot; w:h-ansi=&quot;????&quot;/&gt;&lt;wx:font wx:val=&quot;Cambria Math&quot;/&gt;&quot;:&quot;&lt;w:b w:val=&quot;off&quot;/&gt;&lt;w:i/&gt;&lt;w:sz w:val=&quot;21&quot;/&gt;&lt;w:sz-cs w:val=&quot;io&gt;21&quot;/&gt;&lt;/wdPm:rPr&gt;&lt;/aml:content&gt;&lt;/aml:annotation&gt;&lt;/m:ctrlPr&gt;&lt;/m:sSuaibPr&gt;&lt;m:e&gt;&lt;m:r&gt;&lt;aml:annotation aml:id=&quot;22&quot; w:type=&quot;Word.Insertion&quot;=&gt; aml:author=&quot;jq ??&quot; aml:createdate=&quot;2024-12-04T09:02:00Z&quot;&gt;&lt;aml:cont&quot;ent&gt;&lt;w:rPr&gt;&lt;w:rFonts w:ascii=&quot;Cambria Math&quot; w:h-ansi=&gt;&quot;????&quot;/&gt;&lt;wx:fontdPm wx:val=&quot;Cambria Math&quot;/&gt;&lt;w:b w:val=&quot;off&quot;/&gt;&lt;w:i/&gt;uai&lt;w:sz w:val=&quot;21&quot;/&gt;&lt;w:sz-cs w:val=&quot;21&quot;/&gt;&lt;/w:rPr&gt;&lt;m:t&gt;H&lt;/m:t&gt;&lt;/aml:co&quot;=&gt;ntent&gt;&lt;/aml:annotation&gt;&lt;/m:r&gt;&lt;/m:e&gt;&lt;m:sub&gt;&lt;m:r&gt;&lt;aml:annotation aml:it&quot;d=&quot;23&quot; w:type=&quot;Word.Insertion&quot; aml:author=&quot;jq=&gt; ??&quot; aml:createdate=&quot;2024-1m2-04T09:02:00Z&quot;&gt;&lt;aml:content&gt;&lt;w:rPr&gt;&lt;w:rFoints w:ascii=&quot;Cambria Math&quot; w:h-ansi=&quot;????&quot;/&gt;&lt;wx:font wx:val=&quot;Cambria M&quot;=&gt;ath&quot;/&gt;&lt;w:b w:val=&quot;off&quot;/&gt;&lt;w:i/&gt;&lt;w:sz w:val=&quot;21&quot;/&gt;&lt;w:sz-cs w:val=&quot;21&quot;/&gt;&lt;it&quot;/w:rPr&gt;&lt;m:t&gt;3&lt;/m:t&gt;&lt;/aml:content&gt;&lt;/amlq=&gt;:annotation&gt;&lt;/m:r&gt;&lt;/m:sub&gt;&lt;/m:sSub&gt;1m&lt;m:ctrlPr&gt;&lt;aml:annotation aml:id=&quot;oi24&quot; w:type=&quot;Word.Insertion&quot; aml:author=&quot;jq ??&quot; aml:createdate=&quot;2024-12-04&gt;T09:02:00Z&quot;&gt;&lt;aml:content&gt;&lt;w:rPr&gt;&lt;w:rFonts w:ascii=&quot;Cambria Math&quot; w:h-ansi&quot;=&quot;Cambria Math&quot; w:hint=&quot;fareast&quot;/&gt;&gt;&lt;wx:font wx:val=&quot;Cambria Math&quot;/&gt;&lt;w:b w:vaml=&quot;off&quot;/&gt;&lt;w:i/&gt;&lt;w:sz w:val=&quot;21&quot;i/&gt;&lt;w:sz-cs w:val=&quot;21&quot;/&gt;&lt;/w:rPr&gt;&lt;/aml:content&gt;&lt;/aml:annotation&gt;&lt;/m:ctrlPr&gt;&lt;/m:e&gt;&lt;/m:rad&gt;&lt;m:r&gt;&lt;aml:annotation aml:id=&quot;25&quot; w:type=&quot;Word.Insertion&quot; aml:author=&quot;jq ??&quot; aml:createdate=&quot;20&gt;24-12-04T09:02:00Z&quot;&gt;&lt;aml:content&gt;&lt;w:rPr&gt;&lt;w:mrFonts w:ascii=&quot;Cambria Math&quot; iw:h-ansi=&quot;Cambria Math&quot; w:hint=&quot;fareast&quot;/&gt;&lt;wx:font wx:val=&quot;????&quot;/&gt;&lt;w:b w:vr&gt;&lt;al=&quot;off&quot;/&gt;&lt;w:i/&gt;&lt;w:sz w:val=&quot;21&quot;/&gt;&lt;w:sz-cs w:val=&quot;21&quot;/&gt;&lt;/w:rPr&gt;&lt;m:t&gt;??&lt;/m:aml:t&gt;&lt;/aml:content&gt;&lt;/aml:ann20&gt;otation&gt;&lt;/m:r&gt;&lt;m:ctrlPr&gt;&lt;aml:annotation aml:id=&quot;26&quot; w:mw:type=&quot;Word.Inserti&quot; ion&quot; aml:author=&quot;jq ??&quot; aml:createdate=&quot;2024-12-04T09:02:00Z&quot;&gt;&lt;aml:content&gt;&lt;w:&gt;&lt;rPr&gt;&lt;w:rFonts w:ascii=&quot;Cambria Math&quot; w:h-ansi=&quot;Cambria Math&quot; w:hint=&quot;fareast&quot;/:&gt;&lt;wx:font wx:val=&quot;C&gt;ambria Math&quot;/&gt;&lt;w:b w:val=&quot;off&quot;/&gt;&lt;w:i/&gt;&lt;w:sz w:val=&quot;21&quot;/&gt;&lt;w:szm-cs w:val=&quot;21&quot;/&gt;i&lt;/w:rPr&gt;&lt;/aml:content&gt;&lt;/aml:annotation&gt;&lt;/m:ctrlP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
            <v:path/>
            <v:fill on="f" focussize="0,0"/>
            <v:stroke on="f" joinstyle="miter"/>
            <v:imagedata r:id="rId74" chromakey="#FFFFFF" o:title=""/>
            <o:lock v:ext="edit" aspectratio="t"/>
            <w10:wrap type="none"/>
            <w10:anchorlock/>
          </v:shape>
        </w:pict>
      </w:r>
      <w:r>
        <w:rPr>
          <w:rFonts w:ascii="Times New Roman" w:hAnsi="Times New Roman" w:cs="Times New Roman"/>
          <w:sz w:val="21"/>
          <w:szCs w:val="21"/>
        </w:rPr>
        <w:instrText xml:space="preserve"> </w:instrText>
      </w:r>
      <w:r>
        <w:rPr>
          <w:rFonts w:ascii="Times New Roman" w:hAnsi="Times New Roman" w:cs="Times New Roman"/>
          <w:sz w:val="21"/>
          <w:szCs w:val="21"/>
        </w:rPr>
        <w:fldChar w:fldCharType="separate"/>
      </w:r>
      <w:r>
        <w:rPr>
          <w:rFonts w:ascii="Times New Roman" w:hAnsi="Times New Roman" w:cs="Times New Roman"/>
          <w:b/>
          <w:position w:val="-27"/>
          <w:sz w:val="24"/>
          <w:szCs w:val="24"/>
        </w:rPr>
        <w:pict>
          <v:shape id="_x0000_i1054" o:spt="75" type="#_x0000_t75" style="height:31.8pt;width:128.95pt;" filled="f" o:preferrelative="t" stroked="f" coordsize="21600,2160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20&quot;/&gt;&lt;w:doNotEmbedSystemFonts/&gt;&lt;w:bordersDontSurroundHeader/&gt;&lt;w:bordersDontSurroundFooter/&gt;&lt;w:hideSpellingErrors/&gt;&lt;w:hideGrammaticalErrors/&gt;&lt;w:stylePaneFormatFilter w:val=&quot;3F01&quot;/&gt;&lt;w:defaultTabStop w:val=&quot;420&quot;/&gt;&lt;w:drawingGridHorizontalSpacing w:val=&quot;241&quot;/&gt;&lt;w:drawingGridVerticalSpacing w:val=&quot;233&quot;/&gt;&lt;w:displayHorizontalDrawingGridEvery w:val=&quot;0&quot;/&gt;&lt;w:displayVerticalDrawingGridEvery w:val=&quot;2&quot;/&gt;&lt;w:punctuationKerning/&gt;&lt;w:characterSpacingControl w:val=&quot;CompressPunctuation&quot;/&gt;&lt;w:optimizeForBrowser/&gt;&lt;w:targetScreenSz w:val=&quot;800x600&quot;/&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0A4E03&quot;/&gt;&lt;wsp:rsid wsp:val=&quot;000005D5&quot;/&gt;&lt;wsp:rsid wsp:val=&quot;000015F7&quot;/&gt;&lt;wsp:rsid wsp:val=&quot;00001DDF&quot;/&gt;&lt;wsp:rsid wsp:val=&quot;00001FA6&quot;/&gt;&lt;wsp:rsid wsp:val=&quot;00002D2F&quot;/&gt;&lt;wsp:rsid wsp:val=&quot;00002E12&quot;/&gt;&lt;wsp:rsid wsp:val=&quot;00003028&quot;/&gt;&lt;wsp:rsid wsp:val=&quot;00004463&quot;/&gt;&lt;wsp:rsid wsp:val=&quot;00005015&quot;/&gt;&lt;wsp:rsid wsp:val=&quot;00005E30&quot;/&gt;&lt;wsp:rsid wsp:val=&quot;00007713&quot;/&gt;&lt;wsp:rsid wsp:val=&quot;0001033B&quot;/&gt;&lt;wsp:rsid wsp:val=&quot;000103F8&quot;/&gt;&lt;wsp:rsid wsp:val=&quot;000108CF&quot;/&gt;&lt;wsp:rsid wsp:val=&quot;000108EE&quot;/&gt;&lt;wsp:rsid wsp:val=&quot;00011130&quot;/&gt;&lt;wsp:rsid wsp:val=&quot;00012F61&quot;/&gt;&lt;wsp:rsid wsp:val=&quot;00013530&quot;/&gt;&lt;wsp:rsid wsp:val=&quot;00015C25&quot;/&gt;&lt;wsp:rsid wsp:val=&quot;0001714F&quot;/&gt;&lt;wsp:rsid wsp:val=&quot;00017590&quot;/&gt;&lt;wsp:rsid wsp:val=&quot;00017C0C&quot;/&gt;&lt;wsp:rsid wsp:val=&quot;00017C23&quot;/&gt;&lt;wsp:rsid wsp:val=&quot;00020187&quot;/&gt;&lt;wsp:rsid wsp:val=&quot;00020469&quot;/&gt;&lt;wsp:rsid wsp:val=&quot;00020576&quot;/&gt;&lt;wsp:rsid wsp:val=&quot;0002076B&quot;/&gt;&lt;wsp:rsid wsp:val=&quot;00020DF2&quot;/&gt;&lt;wsp:rsid wsp:val=&quot;00020E26&quot;/&gt;&lt;wsp:rsid wsp:val=&quot;00020EDB&quot;/&gt;&lt;wsp:rsid wsp:val=&quot;000212EB&quot;/&gt;&lt;wsp:rsid wsp:val=&quot;00021F13&quot;/&gt;&lt;wsp:rsid wsp:val=&quot;0002264D&quot;/&gt;&lt;wsp:rsid wsp:val=&quot;00023258&quot;/&gt;&lt;wsp:rsid wsp:val=&quot;00023372&quot;/&gt;&lt;wsp:rsid wsp:val=&quot;00023C19&quot;/&gt;&lt;wsp:rsid wsp:val=&quot;000241BF&quot;/&gt;&lt;wsp:rsid wsp:val=&quot;0002454F&quot;/&gt;&lt;wsp:rsid wsp:val=&quot;0002512B&quot;/&gt;&lt;wsp:rsid wsp:val=&quot;00025419&quot;/&gt;&lt;wsp:rsid wsp:val=&quot;00025893&quot;/&gt;&lt;wsp:rsid wsp:val=&quot;0002760F&quot;/&gt;&lt;wsp:rsid wsp:val=&quot;00027CF0&quot;/&gt;&lt;wsp:rsid wsp:val=&quot;00030121&quot;/&gt;&lt;wsp:rsid wsp:val=&quot;000303E3&quot;/&gt;&lt;wsp:rsid wsp:val=&quot;000304DA&quot;/&gt;&lt;wsp:rsid wsp:val=&quot;00030A30&quot;/&gt;&lt;wsp:rsid wsp:val=&quot;00030A64&quot;/&gt;&lt;wsp:rsid wsp:val=&quot;00030DA5&quot;/&gt;&lt;wsp:rsid wsp:val=&quot;00030E77&quot;/&gt;&lt;wsp:rsid wsp:val=&quot;000322EA&quot;/&gt;&lt;wsp:rsid wsp:val=&quot;00032604&quot;/&gt;&lt;wsp:rsid wsp:val=&quot;00032C35&quot;/&gt;&lt;wsp:rsid wsp:val=&quot;00033E4E&quot;/&gt;&lt;wsp:rsid wsp:val=&quot;00034678&quot;/&gt;&lt;wsp:rsid wsp:val=&quot;00034954&quot;/&gt;&lt;wsp:rsid wsp:val=&quot;000349C6&quot;/&gt;&lt;wsp:rsid wsp:val=&quot;00035F74&quot;/&gt;&lt;wsp:rsid wsp:val=&quot;00035FC3&quot;/&gt;&lt;wsp:rsid wsp:val=&quot;0003753F&quot;/&gt;&lt;wsp:rsid wsp:val=&quot;000375D9&quot;/&gt;&lt;wsp:rsid wsp:val=&quot;00040E0E&quot;/&gt;&lt;wsp:rsid wsp:val=&quot;0004156C&quot;/&gt;&lt;wsp:rsid wsp:val=&quot;0004186F&quot;/&gt;&lt;wsp:rsid wsp:val=&quot;000419C4&quot;/&gt;&lt;wsp:rsid wsp:val=&quot;00041E59&quot;/&gt;&lt;wsp:rsid wsp:val=&quot;0004233D&quot;/&gt;&lt;wsp:rsid wsp:val=&quot;00042B66&quot;/&gt;&lt;wsp:rsid wsp:val=&quot;00043710&quot;/&gt;&lt;wsp:rsid wsp:val=&quot;0004394B&quot;/&gt;&lt;wsp:rsid wsp:val=&quot;000442BC&quot;/&gt;&lt;wsp:rsid wsp:val=&quot;00044B60&quot;/&gt;&lt;wsp:rsid wsp:val=&quot;000450E2&quot;/&gt;&lt;wsp:rsid wsp:val=&quot;0004645D&quot;/&gt;&lt;wsp:rsid wsp:val=&quot;00046EC6&quot;/&gt;&lt;wsp:rsid wsp:val=&quot;00050176&quot;/&gt;&lt;wsp:rsid wsp:val=&quot;00051E98&quot;/&gt;&lt;wsp:rsid wsp:val=&quot;000524CF&quot;/&gt;&lt;wsp:rsid wsp:val=&quot;000526FE&quot;/&gt;&lt;wsp:rsid wsp:val=&quot;000527B1&quot;/&gt;&lt;wsp:rsid wsp:val=&quot;00052815&quot;/&gt;&lt;wsp:rsid wsp:val=&quot;000542C8&quot;/&gt;&lt;wsp:rsid wsp:val=&quot;000545AF&quot;/&gt;&lt;wsp:rsid wsp:val=&quot;00054824&quot;/&gt;&lt;wsp:rsid wsp:val=&quot;000548D0&quot;/&gt;&lt;wsp:rsid wsp:val=&quot;00054922&quot;/&gt;&lt;wsp:rsid wsp:val=&quot;000559D1&quot;/&gt;&lt;wsp:rsid wsp:val=&quot;00056343&quot;/&gt;&lt;wsp:rsid wsp:val=&quot;000566FA&quot;/&gt;&lt;wsp:rsid wsp:val=&quot;000567C9&quot;/&gt;&lt;wsp:rsid wsp:val=&quot;00056817&quot;/&gt;&lt;wsp:rsid wsp:val=&quot;00057668&quot;/&gt;&lt;wsp:rsid wsp:val=&quot;00057C69&quot;/&gt;&lt;wsp:rsid wsp:val=&quot;00057C97&quot;/&gt;&lt;wsp:rsid wsp:val=&quot;000608A9&quot;/&gt;&lt;wsp:rsid wsp:val=&quot;00060C58&quot;/&gt;&lt;wsp:rsid wsp:val=&quot;00061017&quot;/&gt;&lt;wsp:rsid wsp:val=&quot;00061611&quot;/&gt;&lt;wsp:rsid wsp:val=&quot;00061BD5&quot;/&gt;&lt;wsp:rsid wsp:val=&quot;00061FDF&quot;/&gt;&lt;wsp:rsid wsp:val=&quot;000625BA&quot;/&gt;&lt;wsp:rsid wsp:val=&quot;00062D9B&quot;/&gt;&lt;wsp:rsid wsp:val=&quot;000638A7&quot;/&gt;&lt;wsp:rsid wsp:val=&quot;00063D6D&quot;/&gt;&lt;wsp:rsid wsp:val=&quot;00064A03&quot;/&gt;&lt;wsp:rsid wsp:val=&quot;00064F3B&quot;/&gt;&lt;wsp:rsid wsp:val=&quot;00064F87&quot;/&gt;&lt;wsp:rsid wsp:val=&quot;00065633&quot;/&gt;&lt;wsp:rsid wsp:val=&quot;00066D7B&quot;/&gt;&lt;wsp:rsid wsp:val=&quot;00067516&quot;/&gt;&lt;wsp:rsid wsp:val=&quot;00067EA5&quot;/&gt;&lt;wsp:rsid wsp:val=&quot;00070567&quot;/&gt;&lt;wsp:rsid wsp:val=&quot;00070D52&quot;/&gt;&lt;wsp:rsid wsp:val=&quot;000716AF&quot;/&gt;&lt;wsp:rsid wsp:val=&quot;00071DDC&quot;/&gt;&lt;wsp:rsid wsp:val=&quot;000723DE&quot;/&gt;&lt;wsp:rsid wsp:val=&quot;000724C1&quot;/&gt;&lt;wsp:rsid wsp:val=&quot;00072BB6&quot;/&gt;&lt;wsp:rsid wsp:val=&quot;00072F9D&quot;/&gt;&lt;wsp:rsid wsp:val=&quot;00073E89&quot;/&gt;&lt;wsp:rsid wsp:val=&quot;000747B5&quot;/&gt;&lt;wsp:rsid wsp:val=&quot;0007598A&quot;/&gt;&lt;wsp:rsid wsp:val=&quot;00077030&quot;/&gt;&lt;wsp:rsid wsp:val=&quot;00077A74&quot;/&gt;&lt;wsp:rsid wsp:val=&quot;00077AC4&quot;/&gt;&lt;wsp:rsid wsp:val=&quot;00077CE3&quot;/&gt;&lt;wsp:rsid wsp:val=&quot;00077D95&quot;/&gt;&lt;wsp:rsid wsp:val=&quot;00080E0F&quot;/&gt;&lt;wsp:rsid wsp:val=&quot;00081AE8&quot;/&gt;&lt;wsp:rsid wsp:val=&quot;0008307F&quot;/&gt;&lt;wsp:rsid wsp:val=&quot;000833C9&quot;/&gt;&lt;wsp:rsid wsp:val=&quot;00083821&quot;/&gt;&lt;wsp:rsid wsp:val=&quot;000838EF&quot;/&gt;&lt;wsp:rsid wsp:val=&quot;00084B9D&quot;/&gt;&lt;wsp:rsid wsp:val=&quot;00084D3B&quot;/&gt;&lt;wsp:rsid wsp:val=&quot;00090117&quot;/&gt;&lt;wsp:rsid wsp:val=&quot;00090B14&quot;/&gt;&lt;wsp:rsid wsp:val=&quot;00090EAB&quot;/&gt;&lt;wsp:rsid wsp:val=&quot;00090EEF&quot;/&gt;&lt;wsp:rsid wsp:val=&quot;000911F4&quot;/&gt;&lt;wsp:rsid wsp:val=&quot;00091E28&quot;/&gt;&lt;wsp:rsid wsp:val=&quot;00092541&quot;/&gt;&lt;wsp:rsid wsp:val=&quot;000928BD&quot;/&gt;&lt;wsp:rsid wsp:val=&quot;00092906&quot;/&gt;&lt;wsp:rsid wsp:val=&quot;00093E6E&quot;/&gt;&lt;wsp:rsid wsp:val=&quot;00094816&quot;/&gt;&lt;wsp:rsid wsp:val=&quot;00094B1A&quot;/&gt;&lt;wsp:rsid wsp:val=&quot;00095006&quot;/&gt;&lt;wsp:rsid wsp:val=&quot;0009701A&quot;/&gt;&lt;wsp:rsid wsp:val=&quot;00097324&quot;/&gt;&lt;wsp:rsid wsp:val=&quot;00097655&quot;/&gt;&lt;wsp:rsid wsp:val=&quot;0009793F&quot;/&gt;&lt;wsp:rsid wsp:val=&quot;000979E6&quot;/&gt;&lt;wsp:rsid wsp:val=&quot;000A1061&quot;/&gt;&lt;wsp:rsid wsp:val=&quot;000A1EE5&quot;/&gt;&lt;wsp:rsid wsp:val=&quot;000A2018&quot;/&gt;&lt;wsp:rsid wsp:val=&quot;000A2033&quot;/&gt;&lt;wsp:rsid wsp:val=&quot;000A2F2A&quot;/&gt;&lt;wsp:rsid wsp:val=&quot;000A30A4&quot;/&gt;&lt;wsp:rsid wsp:val=&quot;000A33AD&quot;/&gt;&lt;wsp:rsid wsp:val=&quot;000A46E9&quot;/&gt;&lt;wsp:rsid wsp:val=&quot;000A4E03&quot;/&gt;&lt;wsp:rsid wsp:val=&quot;000A572B&quot;/&gt;&lt;wsp:rsid wsp:val=&quot;000A64F8&quot;/&gt;&lt;wsp:rsid wsp:val=&quot;000A73BB&quot;/&gt;&lt;wsp:rsid wsp:val=&quot;000A78AC&quot;/&gt;&lt;wsp:rsid wsp:val=&quot;000A7A05&quot;/&gt;&lt;wsp:rsid wsp:val=&quot;000B0347&quot;/&gt;&lt;wsp:rsid wsp:val=&quot;000B05DC&quot;/&gt;&lt;wsp:rsid wsp:val=&quot;000B0BAA&quot;/&gt;&lt;wsp:rsid wsp:val=&quot;000B161E&quot;/&gt;&lt;wsp:rsid wsp:val=&quot;000B23EE&quot;/&gt;&lt;wsp:rsid wsp:val=&quot;000B2908&quot;/&gt;&lt;wsp:rsid wsp:val=&quot;000B2E5C&quot;/&gt;&lt;wsp:rsid wsp:val=&quot;000B3126&quot;/&gt;&lt;wsp:rsid wsp:val=&quot;000B3CBD&quot;/&gt;&lt;wsp:rsid wsp:val=&quot;000B442D&quot;/&gt;&lt;wsp:rsid wsp:val=&quot;000B4BD8&quot;/&gt;&lt;wsp:rsid wsp:val=&quot;000B547D&quot;/&gt;&lt;wsp:rsid wsp:val=&quot;000B576E&quot;/&gt;&lt;wsp:rsid wsp:val=&quot;000B595D&quot;/&gt;&lt;wsp:rsid wsp:val=&quot;000B5CBB&quot;/&gt;&lt;wsp:rsid wsp:val=&quot;000B612A&quot;/&gt;&lt;wsp:rsid wsp:val=&quot;000B6302&quot;/&gt;&lt;wsp:rsid wsp:val=&quot;000B7B6B&quot;/&gt;&lt;wsp:rsid wsp:val=&quot;000C0504&quot;/&gt;&lt;wsp:rsid wsp:val=&quot;000C0841&quot;/&gt;&lt;wsp:rsid wsp:val=&quot;000C17DC&quot;/&gt;&lt;wsp:rsid wsp:val=&quot;000C1968&quot;/&gt;&lt;wsp:rsid wsp:val=&quot;000C2D25&quot;/&gt;&lt;wsp:rsid wsp:val=&quot;000C3289&quot;/&gt;&lt;wsp:rsid wsp:val=&quot;000C3A0E&quot;/&gt;&lt;wsp:rsid wsp:val=&quot;000C51B7&quot;/&gt;&lt;wsp:rsid wsp:val=&quot;000C617F&quot;/&gt;&lt;wsp:rsid wsp:val=&quot;000C6591&quot;/&gt;&lt;wsp:rsid wsp:val=&quot;000D0629&quot;/&gt;&lt;wsp:rsid wsp:val=&quot;000D06A2&quot;/&gt;&lt;wsp:rsid wsp:val=&quot;000D0B9E&quot;/&gt;&lt;wsp:rsid wsp:val=&quot;000D0FE3&quot;/&gt;&lt;wsp:rsid wsp:val=&quot;000D20DB&quot;/&gt;&lt;wsp:rsid wsp:val=&quot;000D2875&quot;/&gt;&lt;wsp:rsid wsp:val=&quot;000D2EE4&quot;/&gt;&lt;wsp:rsid wsp:val=&quot;000D301C&quot;/&gt;&lt;wsp:rsid wsp:val=&quot;000D4594&quot;/&gt;&lt;wsp:rsid wsp:val=&quot;000D4AF3&quot;/&gt;&lt;wsp:rsid wsp:val=&quot;000D4B29&quot;/&gt;&lt;wsp:rsid wsp:val=&quot;000D5090&quot;/&gt;&lt;wsp:rsid wsp:val=&quot;000D5882&quot;/&gt;&lt;wsp:rsid wsp:val=&quot;000D7851&quot;/&gt;&lt;wsp:rsid wsp:val=&quot;000E0DA2&quot;/&gt;&lt;wsp:rsid wsp:val=&quot;000E1417&quot;/&gt;&lt;wsp:rsid wsp:val=&quot;000E152E&quot;/&gt;&lt;wsp:rsid wsp:val=&quot;000E1AAA&quot;/&gt;&lt;wsp:rsid wsp:val=&quot;000E2746&quot;/&gt;&lt;wsp:rsid wsp:val=&quot;000E30C5&quot;/&gt;&lt;wsp:rsid wsp:val=&quot;000E4123&quot;/&gt;&lt;wsp:rsid wsp:val=&quot;000E5052&quot;/&gt;&lt;wsp:rsid wsp:val=&quot;000E662C&quot;/&gt;&lt;wsp:rsid wsp:val=&quot;000E790C&quot;/&gt;&lt;wsp:rsid wsp:val=&quot;000F069F&quot;/&gt;&lt;wsp:rsid wsp:val=&quot;000F0E7C&quot;/&gt;&lt;wsp:rsid wsp:val=&quot;000F1285&quot;/&gt;&lt;wsp:rsid wsp:val=&quot;000F12ED&quot;/&gt;&lt;wsp:rsid wsp:val=&quot;000F30D7&quot;/&gt;&lt;wsp:rsid wsp:val=&quot;000F37CE&quot;/&gt;&lt;wsp:rsid wsp:val=&quot;000F3D45&quot;/&gt;&lt;wsp:rsid wsp:val=&quot;000F46EC&quot;/&gt;&lt;wsp:rsid wsp:val=&quot;000F4C2B&quot;/&gt;&lt;wsp:rsid wsp:val=&quot;000F7A6C&quot;/&gt;&lt;wsp:rsid wsp:val=&quot;000F7FBD&quot;/&gt;&lt;wsp:rsid wsp:val=&quot;001017D6&quot;/&gt;&lt;wsp:rsid wsp:val=&quot;00101C87&quot;/&gt;&lt;wsp:rsid wsp:val=&quot;00101F91&quot;/&gt;&lt;wsp:rsid wsp:val=&quot;00102C21&quot;/&gt;&lt;wsp:rsid wsp:val=&quot;00103B36&quot;/&gt;&lt;wsp:rsid wsp:val=&quot;00103F5C&quot;/&gt;&lt;wsp:rsid wsp:val=&quot;00104622&quot;/&gt;&lt;wsp:rsid wsp:val=&quot;00104699&quot;/&gt;&lt;wsp:rsid wsp:val=&quot;0010479E&quot;/&gt;&lt;wsp:rsid wsp:val=&quot;00105016&quot;/&gt;&lt;wsp:rsid wsp:val=&quot;001060D2&quot;/&gt;&lt;wsp:rsid wsp:val=&quot;001061CA&quot;/&gt;&lt;wsp:rsid wsp:val=&quot;001062F5&quot;/&gt;&lt;wsp:rsid wsp:val=&quot;0010674B&quot;/&gt;&lt;wsp:rsid wsp:val=&quot;0010743A&quot;/&gt;&lt;wsp:rsid wsp:val=&quot;00107875&quot;/&gt;&lt;wsp:rsid wsp:val=&quot;00107A10&quot;/&gt;&lt;wsp:rsid wsp:val=&quot;001102CD&quot;/&gt;&lt;wsp:rsid wsp:val=&quot;001113E2&quot;/&gt;&lt;wsp:rsid wsp:val=&quot;001119DA&quot;/&gt;&lt;wsp:rsid wsp:val=&quot;00112531&quot;/&gt;&lt;wsp:rsid wsp:val=&quot;001125C4&quot;/&gt;&lt;wsp:rsid wsp:val=&quot;001131B0&quot;/&gt;&lt;wsp:rsid wsp:val=&quot;001136C9&quot;/&gt;&lt;wsp:rsid wsp:val=&quot;001137E5&quot;/&gt;&lt;wsp:rsid wsp:val=&quot;001138CD&quot;/&gt;&lt;wsp:rsid wsp:val=&quot;001152B4&quot;/&gt;&lt;wsp:rsid wsp:val=&quot;0011766A&quot;/&gt;&lt;wsp:rsid wsp:val=&quot;0011772F&quot;/&gt;&lt;wsp:rsid wsp:val=&quot;00117A02&quot;/&gt;&lt;wsp:rsid wsp:val=&quot;00117ACD&quot;/&gt;&lt;wsp:rsid wsp:val=&quot;0012022B&quot;/&gt;&lt;wsp:rsid wsp:val=&quot;0012050E&quot;/&gt;&lt;wsp:rsid wsp:val=&quot;00121A66&quot;/&gt;&lt;wsp:rsid wsp:val=&quot;00121B07&quot;/&gt;&lt;wsp:rsid wsp:val=&quot;0012409B&quot;/&gt;&lt;wsp:rsid wsp:val=&quot;00125390&quot;/&gt;&lt;wsp:rsid wsp:val=&quot;00125874&quot;/&gt;&lt;wsp:rsid wsp:val=&quot;00125A41&quot;/&gt;&lt;wsp:rsid wsp:val=&quot;00125C90&quot;/&gt;&lt;wsp:rsid wsp:val=&quot;00126345&quot;/&gt;&lt;wsp:rsid wsp:val=&quot;0012641F&quot;/&gt;&lt;wsp:rsid wsp:val=&quot;00126579&quot;/&gt;&lt;wsp:rsid wsp:val=&quot;001268FD&quot;/&gt;&lt;wsp:rsid wsp:val=&quot;00126AFF&quot;/&gt;&lt;wsp:rsid wsp:val=&quot;001277A8&quot;/&gt;&lt;wsp:rsid wsp:val=&quot;00127809&quot;/&gt;&lt;wsp:rsid wsp:val=&quot;00127AE3&quot;/&gt;&lt;wsp:rsid wsp:val=&quot;0013076E&quot;/&gt;&lt;wsp:rsid wsp:val=&quot;001310FC&quot;/&gt;&lt;wsp:rsid wsp:val=&quot;00131BF7&quot;/&gt;&lt;wsp:rsid wsp:val=&quot;00132A85&quot;/&gt;&lt;wsp:rsid wsp:val=&quot;00133830&quot;/&gt;&lt;wsp:rsid wsp:val=&quot;00133EE9&quot;/&gt;&lt;wsp:rsid wsp:val=&quot;00133FD6&quot;/&gt;&lt;wsp:rsid wsp:val=&quot;00134165&quot;/&gt;&lt;wsp:rsid wsp:val=&quot;00134F94&quot;/&gt;&lt;wsp:rsid wsp:val=&quot;00135121&quot;/&gt;&lt;wsp:rsid wsp:val=&quot;00136A8C&quot;/&gt;&lt;wsp:rsid wsp:val=&quot;001376DC&quot;/&gt;&lt;wsp:rsid wsp:val=&quot;00137EF0&quot;/&gt;&lt;wsp:rsid wsp:val=&quot;00140567&quot;/&gt;&lt;wsp:rsid wsp:val=&quot;00141A67&quot;/&gt;&lt;wsp:rsid wsp:val=&quot;00142766&quot;/&gt;&lt;wsp:rsid wsp:val=&quot;001435EE&quot;/&gt;&lt;wsp:rsid wsp:val=&quot;00143B54&quot;/&gt;&lt;wsp:rsid wsp:val=&quot;00143BA4&quot;/&gt;&lt;wsp:rsid wsp:val=&quot;00144B1F&quot;/&gt;&lt;wsp:rsid wsp:val=&quot;00145074&quot;/&gt;&lt;wsp:rsid wsp:val=&quot;001452C5&quot;/&gt;&lt;wsp:rsid wsp:val=&quot;001458AE&quot;/&gt;&lt;wsp:rsid wsp:val=&quot;00145A8B&quot;/&gt;&lt;wsp:rsid wsp:val=&quot;00145B4D&quot;/&gt;&lt;wsp:rsid wsp:val=&quot;0014614C&quot;/&gt;&lt;wsp:rsid wsp:val=&quot;001461DD&quot;/&gt;&lt;wsp:rsid wsp:val=&quot;0014621C&quot;/&gt;&lt;wsp:rsid wsp:val=&quot;00146FA9&quot;/&gt;&lt;wsp:rsid wsp:val=&quot;001470E5&quot;/&gt;&lt;wsp:rsid wsp:val=&quot;001500D0&quot;/&gt;&lt;wsp:rsid wsp:val=&quot;001503B7&quot;/&gt;&lt;wsp:rsid wsp:val=&quot;0015075D&quot;/&gt;&lt;wsp:rsid wsp:val=&quot;001507AF&quot;/&gt;&lt;wsp:rsid wsp:val=&quot;00150EBE&quot;/&gt;&lt;wsp:rsid wsp:val=&quot;00150FDD&quot;/&gt;&lt;wsp:rsid wsp:val=&quot;00151A98&quot;/&gt;&lt;wsp:rsid wsp:val=&quot;00151D77&quot;/&gt;&lt;wsp:rsid wsp:val=&quot;00151EE8&quot;/&gt;&lt;wsp:rsid wsp:val=&quot;001529A5&quot;/&gt;&lt;wsp:rsid wsp:val=&quot;00152BA1&quot;/&gt;&lt;wsp:rsid wsp:val=&quot;00152D04&quot;/&gt;&lt;wsp:rsid wsp:val=&quot;001532F5&quot;/&gt;&lt;wsp:rsid wsp:val=&quot;001536CC&quot;/&gt;&lt;wsp:rsid wsp:val=&quot;00153ED5&quot;/&gt;&lt;wsp:rsid wsp:val=&quot;00154602&quot;/&gt;&lt;wsp:rsid wsp:val=&quot;001546A2&quot;/&gt;&lt;wsp:rsid wsp:val=&quot;001548D4&quot;/&gt;&lt;wsp:rsid wsp:val=&quot;00154C86&quot;/&gt;&lt;wsp:rsid wsp:val=&quot;00154F69&quot;/&gt;&lt;wsp:rsid wsp:val=&quot;00156E05&quot;/&gt;&lt;wsp:rsid wsp:val=&quot;0016051D&quot;/&gt;&lt;wsp:rsid wsp:val=&quot;00160E6F&quot;/&gt;&lt;wsp:rsid wsp:val=&quot;0016124F&quot;/&gt;&lt;wsp:rsid wsp:val=&quot;001623E8&quot;/&gt;&lt;wsp:rsid wsp:val=&quot;001625EC&quot;/&gt;&lt;wsp:rsid wsp:val=&quot;00162BC3&quot;/&gt;&lt;wsp:rsid wsp:val=&quot;00163E40&quot;/&gt;&lt;wsp:rsid wsp:val=&quot;0016450F&quot;/&gt;&lt;wsp:rsid wsp:val=&quot;001648C8&quot;/&gt;&lt;wsp:rsid wsp:val=&quot;00164CCB&quot;/&gt;&lt;wsp:rsid wsp:val=&quot;00165507&quot;/&gt;&lt;wsp:rsid wsp:val=&quot;0016571B&quot;/&gt;&lt;wsp:rsid wsp:val=&quot;00166700&quot;/&gt;&lt;wsp:rsid wsp:val=&quot;00166BFE&quot;/&gt;&lt;wsp:rsid wsp:val=&quot;00166D29&quot;/&gt;&lt;wsp:rsid wsp:val=&quot;00167641&quot;/&gt;&lt;wsp:rsid wsp:val=&quot;00167F75&quot;/&gt;&lt;wsp:rsid wsp:val=&quot;0017174C&quot;/&gt;&lt;wsp:rsid wsp:val=&quot;00173D54&quot;/&gt;&lt;wsp:rsid wsp:val=&quot;00173F9E&quot;/&gt;&lt;wsp:rsid wsp:val=&quot;00174DDE&quot;/&gt;&lt;wsp:rsid wsp:val=&quot;00174FD5&quot;/&gt;&lt;wsp:rsid wsp:val=&quot;0017536D&quot;/&gt;&lt;wsp:rsid wsp:val=&quot;00175B8B&quot;/&gt;&lt;wsp:rsid wsp:val=&quot;00175DD2&quot;/&gt;&lt;wsp:rsid wsp:val=&quot;0017691E&quot;/&gt;&lt;wsp:rsid wsp:val=&quot;00176CAA&quot;/&gt;&lt;wsp:rsid wsp:val=&quot;00180B42&quot;/&gt;&lt;wsp:rsid wsp:val=&quot;00181802&quot;/&gt;&lt;wsp:rsid wsp:val=&quot;00181AFC&quot;/&gt;&lt;wsp:rsid wsp:val=&quot;00181F01&quot;/&gt;&lt;wsp:rsid wsp:val=&quot;00182152&quot;/&gt;&lt;wsp:rsid wsp:val=&quot;001825E5&quot;/&gt;&lt;wsp:rsid wsp:val=&quot;001828C9&quot;/&gt;&lt;wsp:rsid wsp:val=&quot;0018366D&quot;/&gt;&lt;wsp:rsid wsp:val=&quot;00183678&quot;/&gt;&lt;wsp:rsid wsp:val=&quot;001848D6&quot;/&gt;&lt;wsp:rsid wsp:val=&quot;001850DE&quot;/&gt;&lt;wsp:rsid wsp:val=&quot;001850F7&quot;/&gt;&lt;wsp:rsid wsp:val=&quot;00185797&quot;/&gt;&lt;wsp:rsid wsp:val=&quot;00185B9A&quot;/&gt;&lt;wsp:rsid wsp:val=&quot;001869D9&quot;/&gt;&lt;wsp:rsid wsp:val=&quot;0018706D&quot;/&gt;&lt;wsp:rsid wsp:val=&quot;00187866&quot;/&gt;&lt;wsp:rsid wsp:val=&quot;00187EE0&quot;/&gt;&lt;wsp:rsid wsp:val=&quot;00190378&quot;/&gt;&lt;wsp:rsid wsp:val=&quot;00190615&quot;/&gt;&lt;wsp:rsid wsp:val=&quot;00190AC1&quot;/&gt;&lt;wsp:rsid wsp:val=&quot;001916F5&quot;/&gt;&lt;wsp:rsid wsp:val=&quot;00192639&quot;/&gt;&lt;wsp:rsid wsp:val=&quot;0019268A&quot;/&gt;&lt;wsp:rsid wsp:val=&quot;00193049&quot;/&gt;&lt;wsp:rsid wsp:val=&quot;00193536&quot;/&gt;&lt;wsp:rsid wsp:val=&quot;001937A5&quot;/&gt;&lt;wsp:rsid wsp:val=&quot;00193B74&quot;/&gt;&lt;wsp:rsid wsp:val=&quot;001944FD&quot;/&gt;&lt;wsp:rsid wsp:val=&quot;00195B95&quot;/&gt;&lt;wsp:rsid wsp:val=&quot;00195F0D&quot;/&gt;&lt;wsp:rsid wsp:val=&quot;0019622A&quot;/&gt;&lt;wsp:rsid wsp:val=&quot;0019627F&quot;/&gt;&lt;wsp:rsid wsp:val=&quot;00197700&quot;/&gt;&lt;wsp:rsid wsp:val=&quot;001A00A4&quot;/&gt;&lt;wsp:rsid wsp:val=&quot;001A111D&quot;/&gt;&lt;wsp:rsid wsp:val=&quot;001A1333&quot;/&gt;&lt;wsp:rsid wsp:val=&quot;001A194D&quot;/&gt;&lt;wsp:rsid wsp:val=&quot;001A1C07&quot;/&gt;&lt;wsp:rsid wsp:val=&quot;001A1E4C&quot;/&gt;&lt;wsp:rsid wsp:val=&quot;001A1F64&quot;/&gt;&lt;wsp:rsid wsp:val=&quot;001A2039&quot;/&gt;&lt;wsp:rsid wsp:val=&quot;001A26C4&quot;/&gt;&lt;wsp:rsid wsp:val=&quot;001A27B1&quot;/&gt;&lt;wsp:rsid wsp:val=&quot;001A3474&quot;/&gt;&lt;wsp:rsid wsp:val=&quot;001A3946&quot;/&gt;&lt;wsp:rsid wsp:val=&quot;001A3D00&quot;/&gt;&lt;wsp:rsid wsp:val=&quot;001A4339&quot;/&gt;&lt;wsp:rsid wsp:val=&quot;001A453B&quot;/&gt;&lt;wsp:rsid wsp:val=&quot;001A5914&quot;/&gt;&lt;wsp:rsid wsp:val=&quot;001A5F84&quot;/&gt;&lt;wsp:rsid wsp:val=&quot;001A6A3A&quot;/&gt;&lt;wsp:rsid wsp:val=&quot;001A712F&quot;/&gt;&lt;wsp:rsid wsp:val=&quot;001A7475&quot;/&gt;&lt;wsp:rsid wsp:val=&quot;001A770D&quot;/&gt;&lt;wsp:rsid wsp:val=&quot;001A77C5&quot;/&gt;&lt;wsp:rsid wsp:val=&quot;001B1F9C&quot;/&gt;&lt;wsp:rsid wsp:val=&quot;001B2524&quot;/&gt;&lt;wsp:rsid wsp:val=&quot;001B25E0&quot;/&gt;&lt;wsp:rsid wsp:val=&quot;001B2636&quot;/&gt;&lt;wsp:rsid wsp:val=&quot;001B274F&quot;/&gt;&lt;wsp:rsid wsp:val=&quot;001B2C04&quot;/&gt;&lt;wsp:rsid wsp:val=&quot;001B2E25&quot;/&gt;&lt;wsp:rsid wsp:val=&quot;001B35B4&quot;/&gt;&lt;wsp:rsid wsp:val=&quot;001B36A1&quot;/&gt;&lt;wsp:rsid wsp:val=&quot;001B49CC&quot;/&gt;&lt;wsp:rsid wsp:val=&quot;001B4FA3&quot;/&gt;&lt;wsp:rsid wsp:val=&quot;001B50E9&quot;/&gt;&lt;wsp:rsid wsp:val=&quot;001B6142&quot;/&gt;&lt;wsp:rsid wsp:val=&quot;001B7036&quot;/&gt;&lt;wsp:rsid wsp:val=&quot;001C06CF&quot;/&gt;&lt;wsp:rsid wsp:val=&quot;001C0813&quot;/&gt;&lt;wsp:rsid wsp:val=&quot;001C0B6B&quot;/&gt;&lt;wsp:rsid wsp:val=&quot;001C0E5F&quot;/&gt;&lt;wsp:rsid wsp:val=&quot;001C10C2&quot;/&gt;&lt;wsp:rsid wsp:val=&quot;001C1911&quot;/&gt;&lt;wsp:rsid wsp:val=&quot;001C1D95&quot;/&gt;&lt;wsp:rsid wsp:val=&quot;001C26AF&quot;/&gt;&lt;wsp:rsid wsp:val=&quot;001C2C7F&quot;/&gt;&lt;wsp:rsid wsp:val=&quot;001C3E8F&quot;/&gt;&lt;wsp:rsid wsp:val=&quot;001C3F2D&quot;/&gt;&lt;wsp:rsid wsp:val=&quot;001C3F35&quot;/&gt;&lt;wsp:rsid wsp:val=&quot;001C4955&quot;/&gt;&lt;wsp:rsid wsp:val=&quot;001C4B72&quot;/&gt;&lt;wsp:rsid wsp:val=&quot;001C4DAC&quot;/&gt;&lt;wsp:rsid wsp:val=&quot;001C59CA&quot;/&gt;&lt;wsp:rsid wsp:val=&quot;001C609B&quot;/&gt;&lt;wsp:rsid wsp:val=&quot;001C66C8&quot;/&gt;&lt;wsp:rsid wsp:val=&quot;001C692B&quot;/&gt;&lt;wsp:rsid wsp:val=&quot;001C710B&quot;/&gt;&lt;wsp:rsid wsp:val=&quot;001C7706&quot;/&gt;&lt;wsp:rsid wsp:val=&quot;001C7B90&quot;/&gt;&lt;wsp:rsid wsp:val=&quot;001D00DD&quot;/&gt;&lt;wsp:rsid wsp:val=&quot;001D12DE&quot;/&gt;&lt;wsp:rsid wsp:val=&quot;001D2C43&quot;/&gt;&lt;wsp:rsid wsp:val=&quot;001D3DE0&quot;/&gt;&lt;wsp:rsid wsp:val=&quot;001D3DF2&quot;/&gt;&lt;wsp:rsid wsp:val=&quot;001D3E47&quot;/&gt;&lt;wsp:rsid wsp:val=&quot;001D4A14&quot;/&gt;&lt;wsp:rsid wsp:val=&quot;001D5BBF&quot;/&gt;&lt;wsp:rsid wsp:val=&quot;001D639F&quot;/&gt;&lt;wsp:rsid wsp:val=&quot;001D7203&quot;/&gt;&lt;wsp:rsid wsp:val=&quot;001E0B80&quot;/&gt;&lt;wsp:rsid wsp:val=&quot;001E1E97&quot;/&gt;&lt;wsp:rsid wsp:val=&quot;001E1EEE&quot;/&gt;&lt;wsp:rsid wsp:val=&quot;001E2557&quot;/&gt;&lt;wsp:rsid wsp:val=&quot;001E3AB9&quot;/&gt;&lt;wsp:rsid wsp:val=&quot;001E43C7&quot;/&gt;&lt;wsp:rsid wsp:val=&quot;001E4410&quot;/&gt;&lt;wsp:rsid wsp:val=&quot;001E46C9&quot;/&gt;&lt;wsp:rsid wsp:val=&quot;001E4823&quot;/&gt;&lt;wsp:rsid wsp:val=&quot;001E51C2&quot;/&gt;&lt;wsp:rsid wsp:val=&quot;001E54CB&quot;/&gt;&lt;wsp:rsid wsp:val=&quot;001E54F7&quot;/&gt;&lt;wsp:rsid wsp:val=&quot;001E6721&quot;/&gt;&lt;wsp:rsid wsp:val=&quot;001F0544&quot;/&gt;&lt;wsp:rsid wsp:val=&quot;001F1A7F&quot;/&gt;&lt;wsp:rsid wsp:val=&quot;001F3C04&quot;/&gt;&lt;wsp:rsid wsp:val=&quot;001F484E&quot;/&gt;&lt;wsp:rsid wsp:val=&quot;001F48EE&quot;/&gt;&lt;wsp:rsid wsp:val=&quot;001F4AC5&quot;/&gt;&lt;wsp:rsid wsp:val=&quot;001F61C2&quot;/&gt;&lt;wsp:rsid wsp:val=&quot;001F64B3&quot;/&gt;&lt;wsp:rsid wsp:val=&quot;001F76F0&quot;/&gt;&lt;wsp:rsid wsp:val=&quot;001F7A36&quot;/&gt;&lt;wsp:rsid wsp:val=&quot;0020039B&quot;/&gt;&lt;wsp:rsid wsp:val=&quot;00200557&quot;/&gt;&lt;wsp:rsid wsp:val=&quot;00200E4F&quot;/&gt;&lt;wsp:rsid wsp:val=&quot;00201E6B&quot;/&gt;&lt;wsp:rsid wsp:val=&quot;00201EAB&quot;/&gt;&lt;wsp:rsid wsp:val=&quot;00201FA3&quot;/&gt;&lt;wsp:rsid wsp:val=&quot;00203DCC&quot;/&gt;&lt;wsp:rsid wsp:val=&quot;002040CD&quot;/&gt;&lt;wsp:rsid wsp:val=&quot;0020444A&quot;/&gt;&lt;wsp:rsid wsp:val=&quot;00205031&quot;/&gt;&lt;wsp:rsid wsp:val=&quot;002050BD&quot;/&gt;&lt;wsp:rsid wsp:val=&quot;00205929&quot;/&gt;&lt;wsp:rsid wsp:val=&quot;00205AA0&quot;/&gt;&lt;wsp:rsid wsp:val=&quot;002065C3&quot;/&gt;&lt;wsp:rsid wsp:val=&quot;00206743&quot;/&gt;&lt;wsp:rsid wsp:val=&quot;00210116&quot;/&gt;&lt;wsp:rsid wsp:val=&quot;002105A8&quot;/&gt;&lt;wsp:rsid wsp:val=&quot;00210DE1&quot;/&gt;&lt;wsp:rsid wsp:val=&quot;002110E8&quot;/&gt;&lt;wsp:rsid wsp:val=&quot;0021149E&quot;/&gt;&lt;wsp:rsid wsp:val=&quot;00211621&quot;/&gt;&lt;wsp:rsid wsp:val=&quot;0021179C&quot;/&gt;&lt;wsp:rsid wsp:val=&quot;00211B25&quot;/&gt;&lt;wsp:rsid wsp:val=&quot;00212A14&quot;/&gt;&lt;wsp:rsid wsp:val=&quot;0021307A&quot;/&gt;&lt;wsp:rsid wsp:val=&quot;002135F6&quot;/&gt;&lt;wsp:rsid wsp:val=&quot;00214ADE&quot;/&gt;&lt;wsp:rsid wsp:val=&quot;00214D96&quot;/&gt;&lt;wsp:rsid wsp:val=&quot;00215643&quot;/&gt;&lt;wsp:rsid wsp:val=&quot;0021585C&quot;/&gt;&lt;wsp:rsid wsp:val=&quot;00216D85&quot;/&gt;&lt;wsp:rsid wsp:val=&quot;0021733D&quot;/&gt;&lt;wsp:rsid wsp:val=&quot;0021748C&quot;/&gt;&lt;wsp:rsid wsp:val=&quot;00221566&quot;/&gt;&lt;wsp:rsid wsp:val=&quot;002229A3&quot;/&gt;&lt;wsp:rsid wsp:val=&quot;0022318F&quot;/&gt;&lt;wsp:rsid wsp:val=&quot;00223389&quot;/&gt;&lt;wsp:rsid wsp:val=&quot;00223B2F&quot;/&gt;&lt;wsp:rsid wsp:val=&quot;00223EBA&quot;/&gt;&lt;wsp:rsid wsp:val=&quot;00223ED4&quot;/&gt;&lt;wsp:rsid wsp:val=&quot;0022466F&quot;/&gt;&lt;wsp:rsid wsp:val=&quot;00224BC9&quot;/&gt;&lt;wsp:rsid wsp:val=&quot;00224E4B&quot;/&gt;&lt;wsp:rsid wsp:val=&quot;002252F9&quot;/&gt;&lt;wsp:rsid wsp:val=&quot;00225DC4&quot;/&gt;&lt;wsp:rsid wsp:val=&quot;00225DF8&quot;/&gt;&lt;wsp:rsid wsp:val=&quot;00226335&quot;/&gt;&lt;wsp:rsid wsp:val=&quot;00226405&quot;/&gt;&lt;wsp:rsid wsp:val=&quot;00226416&quot;/&gt;&lt;wsp:rsid wsp:val=&quot;002264F3&quot;/&gt;&lt;wsp:rsid wsp:val=&quot;00226793&quot;/&gt;&lt;wsp:rsid wsp:val=&quot;00226DA1&quot;/&gt;&lt;wsp:rsid wsp:val=&quot;00226E70&quot;/&gt;&lt;wsp:rsid wsp:val=&quot;00227028&quot;/&gt;&lt;wsp:rsid wsp:val=&quot;002274C7&quot;/&gt;&lt;wsp:rsid wsp:val=&quot;00227FE5&quot;/&gt;&lt;wsp:rsid wsp:val=&quot;0023033E&quot;/&gt;&lt;wsp:rsid wsp:val=&quot;00232CD6&quot;/&gt;&lt;wsp:rsid wsp:val=&quot;00232DF6&quot;/&gt;&lt;wsp:rsid wsp:val=&quot;00233946&quot;/&gt;&lt;wsp:rsid wsp:val=&quot;00233A88&quot;/&gt;&lt;wsp:rsid wsp:val=&quot;00233ACA&quot;/&gt;&lt;wsp:rsid wsp:val=&quot;00233AD0&quot;/&gt;&lt;wsp:rsid wsp:val=&quot;002343B5&quot;/&gt;&lt;wsp:rsid wsp:val=&quot;00234459&quot;/&gt;&lt;wsp:rsid wsp:val=&quot;00234BAD&quot;/&gt;&lt;wsp:rsid wsp:val=&quot;0023535E&quot;/&gt;&lt;wsp:rsid wsp:val=&quot;00235A39&quot;/&gt;&lt;wsp:rsid wsp:val=&quot;00235C43&quot;/&gt;&lt;wsp:rsid wsp:val=&quot;0023680A&quot;/&gt;&lt;wsp:rsid wsp:val=&quot;00236DA4&quot;/&gt;&lt;wsp:rsid wsp:val=&quot;00240BF7&quot;/&gt;&lt;wsp:rsid wsp:val=&quot;00240D71&quot;/&gt;&lt;wsp:rsid wsp:val=&quot;00242266&quot;/&gt;&lt;wsp:rsid wsp:val=&quot;00242404&quot;/&gt;&lt;wsp:rsid wsp:val=&quot;0024265D&quot;/&gt;&lt;wsp:rsid wsp:val=&quot;00242CED&quot;/&gt;&lt;wsp:rsid wsp:val=&quot;00242F9E&quot;/&gt;&lt;wsp:rsid wsp:val=&quot;002431C7&quot;/&gt;&lt;wsp:rsid wsp:val=&quot;00245151&quot;/&gt;&lt;wsp:rsid wsp:val=&quot;0024517D&quot;/&gt;&lt;wsp:rsid wsp:val=&quot;002452E1&quot;/&gt;&lt;wsp:rsid wsp:val=&quot;002458D9&quot;/&gt;&lt;wsp:rsid wsp:val=&quot;0024741C&quot;/&gt;&lt;wsp:rsid wsp:val=&quot;00247952&quot;/&gt;&lt;wsp:rsid wsp:val=&quot;00247ADE&quot;/&gt;&lt;wsp:rsid wsp:val=&quot;00250241&quot;/&gt;&lt;wsp:rsid wsp:val=&quot;00250718&quot;/&gt;&lt;wsp:rsid wsp:val=&quot;00250772&quot;/&gt;&lt;wsp:rsid wsp:val=&quot;0025174E&quot;/&gt;&lt;wsp:rsid wsp:val=&quot;00252E1B&quot;/&gt;&lt;wsp:rsid wsp:val=&quot;002538AE&quot;/&gt;&lt;wsp:rsid wsp:val=&quot;00253A3E&quot;/&gt;&lt;wsp:rsid wsp:val=&quot;002541A9&quot;/&gt;&lt;wsp:rsid wsp:val=&quot;00254A7D&quot;/&gt;&lt;wsp:rsid wsp:val=&quot;00254D72&quot;/&gt;&lt;wsp:rsid wsp:val=&quot;00254FE2&quot;/&gt;&lt;wsp:rsid wsp:val=&quot;00255C22&quot;/&gt;&lt;wsp:rsid wsp:val=&quot;00256112&quot;/&gt;&lt;wsp:rsid wsp:val=&quot;00256A2B&quot;/&gt;&lt;wsp:rsid wsp:val=&quot;00256D0D&quot;/&gt;&lt;wsp:rsid wsp:val=&quot;002604D9&quot;/&gt;&lt;wsp:rsid wsp:val=&quot;00260614&quot;/&gt;&lt;wsp:rsid wsp:val=&quot;00261189&quot;/&gt;&lt;wsp:rsid wsp:val=&quot;0026122C&quot;/&gt;&lt;wsp:rsid wsp:val=&quot;002615BC&quot;/&gt;&lt;wsp:rsid wsp:val=&quot;002615F2&quot;/&gt;&lt;wsp:rsid wsp:val=&quot;002629C0&quot;/&gt;&lt;wsp:rsid wsp:val=&quot;00262E5F&quot;/&gt;&lt;wsp:rsid wsp:val=&quot;0026324A&quot;/&gt;&lt;wsp:rsid wsp:val=&quot;00264417&quot;/&gt;&lt;wsp:rsid wsp:val=&quot;0026557F&quot;/&gt;&lt;wsp:rsid wsp:val=&quot;00265B79&quot;/&gt;&lt;wsp:rsid wsp:val=&quot;00265FE9&quot;/&gt;&lt;wsp:rsid wsp:val=&quot;00266B6A&quot;/&gt;&lt;wsp:rsid wsp:val=&quot;00266E3C&quot;/&gt;&lt;wsp:rsid wsp:val=&quot;002670DB&quot;/&gt;&lt;wsp:rsid wsp:val=&quot;00270193&quot;/&gt;&lt;wsp:rsid wsp:val=&quot;00270DF3&quot;/&gt;&lt;wsp:rsid wsp:val=&quot;00271B15&quot;/&gt;&lt;wsp:rsid wsp:val=&quot;00271C1A&quot;/&gt;&lt;wsp:rsid wsp:val=&quot;00272889&quot;/&gt;&lt;wsp:rsid wsp:val=&quot;002729CD&quot;/&gt;&lt;wsp:rsid wsp:val=&quot;00272BCE&quot;/&gt;&lt;wsp:rsid wsp:val=&quot;00273845&quot;/&gt;&lt;wsp:rsid wsp:val=&quot;00274004&quot;/&gt;&lt;wsp:rsid wsp:val=&quot;002749CE&quot;/&gt;&lt;wsp:rsid wsp:val=&quot;002752DD&quot;/&gt;&lt;wsp:rsid wsp:val=&quot;0027587D&quot;/&gt;&lt;wsp:rsid wsp:val=&quot;00275FDC&quot;/&gt;&lt;wsp:rsid wsp:val=&quot;00276142&quot;/&gt;&lt;wsp:rsid wsp:val=&quot;00276BB2&quot;/&gt;&lt;wsp:rsid wsp:val=&quot;00276ED7&quot;/&gt;&lt;wsp:rsid wsp:val=&quot;002772F7&quot;/&gt;&lt;wsp:rsid wsp:val=&quot;00280246&quot;/&gt;&lt;wsp:rsid wsp:val=&quot;00280F6B&quot;/&gt;&lt;wsp:rsid wsp:val=&quot;00280FE5&quot;/&gt;&lt;wsp:rsid wsp:val=&quot;002823E3&quot;/&gt;&lt;wsp:rsid wsp:val=&quot;00282429&quot;/&gt;&lt;wsp:rsid wsp:val=&quot;00282E11&quot;/&gt;&lt;wsp:rsid wsp:val=&quot;0028341A&quot;/&gt;&lt;wsp:rsid wsp:val=&quot;00283561&quot;/&gt;&lt;wsp:rsid wsp:val=&quot;002844C5&quot;/&gt;&lt;wsp:rsid wsp:val=&quot;00284854&quot;/&gt;&lt;wsp:rsid wsp:val=&quot;0028772E&quot;/&gt;&lt;wsp:rsid wsp:val=&quot;00287A9E&quot;/&gt;&lt;wsp:rsid wsp:val=&quot;00287C17&quot;/&gt;&lt;wsp:rsid wsp:val=&quot;002909C9&quot;/&gt;&lt;wsp:rsid wsp:val=&quot;002911DD&quot;/&gt;&lt;wsp:rsid wsp:val=&quot;00291790&quot;/&gt;&lt;wsp:rsid wsp:val=&quot;00292688&quot;/&gt;&lt;wsp:rsid wsp:val=&quot;0029304F&quot;/&gt;&lt;wsp:rsid wsp:val=&quot;00293179&quot;/&gt;&lt;wsp:rsid wsp:val=&quot;002945EB&quot;/&gt;&lt;wsp:rsid wsp:val=&quot;00294826&quot;/&gt;&lt;wsp:rsid wsp:val=&quot;00294C3C&quot;/&gt;&lt;wsp:rsid wsp:val=&quot;0029544B&quot;/&gt;&lt;wsp:rsid wsp:val=&quot;002963EB&quot;/&gt;&lt;wsp:rsid wsp:val=&quot;002967ED&quot;/&gt;&lt;wsp:rsid wsp:val=&quot;00296CDA&quot;/&gt;&lt;wsp:rsid wsp:val=&quot;00296D4B&quot;/&gt;&lt;wsp:rsid wsp:val=&quot;00296F75&quot;/&gt;&lt;wsp:rsid wsp:val=&quot;002972D4&quot;/&gt;&lt;wsp:rsid wsp:val=&quot;002975EF&quot;/&gt;&lt;wsp:rsid wsp:val=&quot;002A0526&quot;/&gt;&lt;wsp:rsid wsp:val=&quot;002A1E44&quot;/&gt;&lt;wsp:rsid wsp:val=&quot;002A208C&quot;/&gt;&lt;wsp:rsid wsp:val=&quot;002A454D&quot;/&gt;&lt;wsp:rsid wsp:val=&quot;002A4573&quot;/&gt;&lt;wsp:rsid wsp:val=&quot;002A5FE7&quot;/&gt;&lt;wsp:rsid wsp:val=&quot;002A68AA&quot;/&gt;&lt;wsp:rsid wsp:val=&quot;002A775B&quot;/&gt;&lt;wsp:rsid wsp:val=&quot;002A7C21&quot;/&gt;&lt;wsp:rsid wsp:val=&quot;002B06DF&quot;/&gt;&lt;wsp:rsid wsp:val=&quot;002B12FE&quot;/&gt;&lt;wsp:rsid wsp:val=&quot;002B14F2&quot;/&gt;&lt;wsp:rsid wsp:val=&quot;002B1F65&quot;/&gt;&lt;wsp:rsid wsp:val=&quot;002B1FB6&quot;/&gt;&lt;wsp:rsid wsp:val=&quot;002B212C&quot;/&gt;&lt;wsp:rsid wsp:val=&quot;002B3ED4&quot;/&gt;&lt;wsp:rsid wsp:val=&quot;002B46DF&quot;/&gt;&lt;wsp:rsid wsp:val=&quot;002B48B4&quot;/&gt;&lt;wsp:rsid wsp:val=&quot;002B499C&quot;/&gt;&lt;wsp:rsid wsp:val=&quot;002B4B68&quot;/&gt;&lt;wsp:rsid wsp:val=&quot;002B5565&quot;/&gt;&lt;wsp:rsid wsp:val=&quot;002B5CF1&quot;/&gt;&lt;wsp:rsid wsp:val=&quot;002B5E7D&quot;/&gt;&lt;wsp:rsid wsp:val=&quot;002B65DA&quot;/&gt;&lt;wsp:rsid wsp:val=&quot;002B71AB&quot;/&gt;&lt;wsp:rsid wsp:val=&quot;002C15FB&quot;/&gt;&lt;wsp:rsid wsp:val=&quot;002C1B7A&quot;/&gt;&lt;wsp:rsid wsp:val=&quot;002C2257&quot;/&gt;&lt;wsp:rsid wsp:val=&quot;002C24D9&quot;/&gt;&lt;wsp:rsid wsp:val=&quot;002C26E8&quot;/&gt;&lt;wsp:rsid wsp:val=&quot;002C2E90&quot;/&gt;&lt;wsp:rsid wsp:val=&quot;002C3F99&quot;/&gt;&lt;wsp:rsid wsp:val=&quot;002C4497&quot;/&gt;&lt;wsp:rsid wsp:val=&quot;002C45F1&quot;/&gt;&lt;wsp:rsid wsp:val=&quot;002C4653&quot;/&gt;&lt;wsp:rsid wsp:val=&quot;002C4857&quot;/&gt;&lt;wsp:rsid wsp:val=&quot;002C4AC8&quot;/&gt;&lt;wsp:rsid wsp:val=&quot;002C4E2D&quot;/&gt;&lt;wsp:rsid wsp:val=&quot;002C5BBE&quot;/&gt;&lt;wsp:rsid wsp:val=&quot;002C5E4F&quot;/&gt;&lt;wsp:rsid wsp:val=&quot;002C6BD4&quot;/&gt;&lt;wsp:rsid wsp:val=&quot;002C6C9D&quot;/&gt;&lt;wsp:rsid wsp:val=&quot;002C7459&quot;/&gt;&lt;wsp:rsid wsp:val=&quot;002C7C19&quot;/&gt;&lt;wsp:rsid wsp:val=&quot;002D1100&quot;/&gt;&lt;wsp:rsid wsp:val=&quot;002D174E&quot;/&gt;&lt;wsp:rsid wsp:val=&quot;002D17CB&quot;/&gt;&lt;wsp:rsid wsp:val=&quot;002D1C33&quot;/&gt;&lt;wsp:rsid wsp:val=&quot;002D2235&quot;/&gt;&lt;wsp:rsid wsp:val=&quot;002D2D57&quot;/&gt;&lt;wsp:rsid wsp:val=&quot;002D34CD&quot;/&gt;&lt;wsp:rsid wsp:val=&quot;002D3837&quot;/&gt;&lt;wsp:rsid wsp:val=&quot;002D48C3&quot;/&gt;&lt;wsp:rsid wsp:val=&quot;002D53F4&quot;/&gt;&lt;wsp:rsid wsp:val=&quot;002D541F&quot;/&gt;&lt;wsp:rsid wsp:val=&quot;002D6888&quot;/&gt;&lt;wsp:rsid wsp:val=&quot;002D6D28&quot;/&gt;&lt;wsp:rsid wsp:val=&quot;002D75D3&quot;/&gt;&lt;wsp:rsid wsp:val=&quot;002D77DF&quot;/&gt;&lt;wsp:rsid wsp:val=&quot;002E01D6&quot;/&gt;&lt;wsp:rsid wsp:val=&quot;002E29AF&quot;/&gt;&lt;wsp:rsid wsp:val=&quot;002E2ABE&quot;/&gt;&lt;wsp:rsid wsp:val=&quot;002E429F&quot;/&gt;&lt;wsp:rsid wsp:val=&quot;002E4420&quot;/&gt;&lt;wsp:rsid wsp:val=&quot;002E5CFC&quot;/&gt;&lt;wsp:rsid wsp:val=&quot;002E6702&quot;/&gt;&lt;wsp:rsid wsp:val=&quot;002E6BA6&quot;/&gt;&lt;wsp:rsid wsp:val=&quot;002E74A3&quot;/&gt;&lt;wsp:rsid wsp:val=&quot;002E7730&quot;/&gt;&lt;wsp:rsid wsp:val=&quot;002E7D60&quot;/&gt;&lt;wsp:rsid wsp:val=&quot;002F072B&quot;/&gt;&lt;wsp:rsid wsp:val=&quot;002F09EB&quot;/&gt;&lt;wsp:rsid wsp:val=&quot;002F112A&quot;/&gt;&lt;wsp:rsid wsp:val=&quot;002F287D&quot;/&gt;&lt;wsp:rsid wsp:val=&quot;002F2CAD&quot;/&gt;&lt;wsp:rsid wsp:val=&quot;002F3451&quot;/&gt;&lt;wsp:rsid wsp:val=&quot;002F3CD2&quot;/&gt;&lt;wsp:rsid wsp:val=&quot;002F495F&quot;/&gt;&lt;wsp:rsid wsp:val=&quot;002F5AF2&quot;/&gt;&lt;wsp:rsid wsp:val=&quot;002F6392&quot;/&gt;&lt;wsp:rsid wsp:val=&quot;002F7B97&quot;/&gt;&lt;wsp:rsid wsp:val=&quot;00300C66&quot;/&gt;&lt;wsp:rsid wsp:val=&quot;00300EC5&quot;/&gt;&lt;wsp:rsid wsp:val=&quot;00300FA2&quot;/&gt;&lt;wsp:rsid wsp:val=&quot;00301A67&quot;/&gt;&lt;wsp:rsid wsp:val=&quot;00301CA8&quot;/&gt;&lt;wsp:rsid wsp:val=&quot;00301DBB&quot;/&gt;&lt;wsp:rsid wsp:val=&quot;00301DF4&quot;/&gt;&lt;wsp:rsid wsp:val=&quot;00302714&quot;/&gt;&lt;wsp:rsid wsp:val=&quot;00302B27&quot;/&gt;&lt;wsp:rsid wsp:val=&quot;003036E0&quot;/&gt;&lt;wsp:rsid wsp:val=&quot;00303B47&quot;/&gt;&lt;wsp:rsid wsp:val=&quot;00303D0B&quot;/&gt;&lt;wsp:rsid wsp:val=&quot;003040B6&quot;/&gt;&lt;wsp:rsid wsp:val=&quot;003065F4&quot;/&gt;&lt;wsp:rsid wsp:val=&quot;00306F33&quot;/&gt;&lt;wsp:rsid wsp:val=&quot;00307A53&quot;/&gt;&lt;wsp:rsid wsp:val=&quot;003106DA&quot;/&gt;&lt;wsp:rsid wsp:val=&quot;00310D6F&quot;/&gt;&lt;wsp:rsid wsp:val=&quot;003139FD&quot;/&gt;&lt;wsp:rsid wsp:val=&quot;0031429F&quot;/&gt;&lt;wsp:rsid wsp:val=&quot;003147D8&quot;/&gt;&lt;wsp:rsid wsp:val=&quot;00314B4D&quot;/&gt;&lt;wsp:rsid wsp:val=&quot;00314E16&quot;/&gt;&lt;wsp:rsid wsp:val=&quot;00315486&quot;/&gt;&lt;wsp:rsid wsp:val=&quot;00315828&quot;/&gt;&lt;wsp:rsid wsp:val=&quot;0031647C&quot;/&gt;&lt;wsp:rsid wsp:val=&quot;0031684D&quot;/&gt;&lt;wsp:rsid wsp:val=&quot;00317220&quot;/&gt;&lt;wsp:rsid wsp:val=&quot;00317959&quot;/&gt;&lt;wsp:rsid wsp:val=&quot;003220D3&quot;/&gt;&lt;wsp:rsid wsp:val=&quot;003229D1&quot;/&gt;&lt;wsp:rsid wsp:val=&quot;003236FF&quot;/&gt;&lt;wsp:rsid wsp:val=&quot;00323E0E&quot;/&gt;&lt;wsp:rsid wsp:val=&quot;00323EE1&quot;/&gt;&lt;wsp:rsid wsp:val=&quot;00324F91&quot;/&gt;&lt;wsp:rsid wsp:val=&quot;0032521D&quot;/&gt;&lt;wsp:rsid wsp:val=&quot;00325E6F&quot;/&gt;&lt;wsp:rsid wsp:val=&quot;00326031&quot;/&gt;&lt;wsp:rsid wsp:val=&quot;00326923&quot;/&gt;&lt;wsp:rsid wsp:val=&quot;003272BF&quot;/&gt;&lt;wsp:rsid wsp:val=&quot;00330AD2&quot;/&gt;&lt;wsp:rsid wsp:val=&quot;00331527&quot;/&gt;&lt;wsp:rsid wsp:val=&quot;003318C5&quot;/&gt;&lt;wsp:rsid wsp:val=&quot;00331A3A&quot;/&gt;&lt;wsp:rsid wsp:val=&quot;00331C73&quot;/&gt;&lt;wsp:rsid wsp:val=&quot;003320B7&quot;/&gt;&lt;wsp:rsid wsp:val=&quot;00332406&quot;/&gt;&lt;wsp:rsid wsp:val=&quot;003325DC&quot;/&gt;&lt;wsp:rsid wsp:val=&quot;00332F0D&quot;/&gt;&lt;wsp:rsid wsp:val=&quot;003335DD&quot;/&gt;&lt;wsp:rsid wsp:val=&quot;00333AD7&quot;/&gt;&lt;wsp:rsid wsp:val=&quot;00334AC6&quot;/&gt;&lt;wsp:rsid wsp:val=&quot;00334CCB&quot;/&gt;&lt;wsp:rsid wsp:val=&quot;00335185&quot;/&gt;&lt;wsp:rsid wsp:val=&quot;00335223&quot;/&gt;&lt;wsp:rsid wsp:val=&quot;003369E7&quot;/&gt;&lt;wsp:rsid wsp:val=&quot;00336AED&quot;/&gt;&lt;wsp:rsid wsp:val=&quot;00341D12&quot;/&gt;&lt;wsp:rsid wsp:val=&quot;003422A5&quot;/&gt;&lt;wsp:rsid wsp:val=&quot;00342723&quot;/&gt;&lt;wsp:rsid wsp:val=&quot;00343A17&quot;/&gt;&lt;wsp:rsid wsp:val=&quot;00343C2F&quot;/&gt;&lt;wsp:rsid wsp:val=&quot;003444E6&quot;/&gt;&lt;wsp:rsid wsp:val=&quot;00344534&quot;/&gt;&lt;wsp:rsid wsp:val=&quot;003446C0&quot;/&gt;&lt;wsp:rsid wsp:val=&quot;00344AAF&quot;/&gt;&lt;wsp:rsid wsp:val=&quot;00344F44&quot;/&gt;&lt;wsp:rsid wsp:val=&quot;00345782&quot;/&gt;&lt;wsp:rsid wsp:val=&quot;00345DB2&quot;/&gt;&lt;wsp:rsid wsp:val=&quot;0034772C&quot;/&gt;&lt;wsp:rsid wsp:val=&quot;0034780E&quot;/&gt;&lt;wsp:rsid wsp:val=&quot;00347865&quot;/&gt;&lt;wsp:rsid wsp:val=&quot;00347C67&quot;/&gt;&lt;wsp:rsid wsp:val=&quot;00351D78&quot;/&gt;&lt;wsp:rsid wsp:val=&quot;003521F1&quot;/&gt;&lt;wsp:rsid wsp:val=&quot;00353196&quot;/&gt;&lt;wsp:rsid wsp:val=&quot;00355456&quot;/&gt;&lt;wsp:rsid wsp:val=&quot;003555B2&quot;/&gt;&lt;wsp:rsid wsp:val=&quot;00356505&quot;/&gt;&lt;wsp:rsid wsp:val=&quot;00356727&quot;/&gt;&lt;wsp:rsid wsp:val=&quot;00356E51&quot;/&gt;&lt;wsp:rsid wsp:val=&quot;00357A8F&quot;/&gt;&lt;wsp:rsid wsp:val=&quot;00357A9C&quot;/&gt;&lt;wsp:rsid wsp:val=&quot;0036142F&quot;/&gt;&lt;wsp:rsid wsp:val=&quot;00362AF6&quot;/&gt;&lt;wsp:rsid wsp:val=&quot;00363057&quot;/&gt;&lt;wsp:rsid wsp:val=&quot;00363B4D&quot;/&gt;&lt;wsp:rsid wsp:val=&quot;00363FAF&quot;/&gt;&lt;wsp:rsid wsp:val=&quot;00364047&quot;/&gt;&lt;wsp:rsid wsp:val=&quot;0036533A&quot;/&gt;&lt;wsp:rsid wsp:val=&quot;00365352&quot;/&gt;&lt;wsp:rsid wsp:val=&quot;00365AD9&quot;/&gt;&lt;wsp:rsid wsp:val=&quot;00365EA2&quot;/&gt;&lt;wsp:rsid wsp:val=&quot;003669E0&quot;/&gt;&lt;wsp:rsid wsp:val=&quot;00366FAD&quot;/&gt;&lt;wsp:rsid wsp:val=&quot;00367090&quot;/&gt;&lt;wsp:rsid wsp:val=&quot;0036766E&quot;/&gt;&lt;wsp:rsid wsp:val=&quot;00367A74&quot;/&gt;&lt;wsp:rsid wsp:val=&quot;003721C6&quot;/&gt;&lt;wsp:rsid wsp:val=&quot;00372B75&quot;/&gt;&lt;wsp:rsid wsp:val=&quot;00372DB4&quot;/&gt;&lt;wsp:rsid wsp:val=&quot;00372FB3&quot;/&gt;&lt;wsp:rsid wsp:val=&quot;00373466&quot;/&gt;&lt;wsp:rsid wsp:val=&quot;003734DB&quot;/&gt;&lt;wsp:rsid wsp:val=&quot;00373711&quot;/&gt;&lt;wsp:rsid wsp:val=&quot;00373ABB&quot;/&gt;&lt;wsp:rsid wsp:val=&quot;00373B7E&quot;/&gt;&lt;wsp:rsid wsp:val=&quot;003758C6&quot;/&gt;&lt;wsp:rsid wsp:val=&quot;00375A0F&quot;/&gt;&lt;wsp:rsid wsp:val=&quot;00376410&quot;/&gt;&lt;wsp:rsid wsp:val=&quot;00377B01&quot;/&gt;&lt;wsp:rsid wsp:val=&quot;0038087E&quot;/&gt;&lt;wsp:rsid wsp:val=&quot;00380BAF&quot;/&gt;&lt;wsp:rsid wsp:val=&quot;00381FD1&quot;/&gt;&lt;wsp:rsid wsp:val=&quot;0038274A&quot;/&gt;&lt;wsp:rsid wsp:val=&quot;00383F29&quot;/&gt;&lt;wsp:rsid wsp:val=&quot;003844CB&quot;/&gt;&lt;wsp:rsid wsp:val=&quot;00384A11&quot;/&gt;&lt;wsp:rsid wsp:val=&quot;00384CC3&quot;/&gt;&lt;wsp:rsid wsp:val=&quot;003855E3&quot;/&gt;&lt;wsp:rsid wsp:val=&quot;00385AA1&quot;/&gt;&lt;wsp:rsid wsp:val=&quot;00385D23&quot;/&gt;&lt;wsp:rsid wsp:val=&quot;00385DB9&quot;/&gt;&lt;wsp:rsid wsp:val=&quot;003866D9&quot;/&gt;&lt;wsp:rsid wsp:val=&quot;0038674C&quot;/&gt;&lt;wsp:rsid wsp:val=&quot;003867D2&quot;/&gt;&lt;wsp:rsid wsp:val=&quot;0038685A&quot;/&gt;&lt;wsp:rsid wsp:val=&quot;00390195&quot;/&gt;&lt;wsp:rsid wsp:val=&quot;003906ED&quot;/&gt;&lt;wsp:rsid wsp:val=&quot;003909FE&quot;/&gt;&lt;wsp:rsid wsp:val=&quot;00390A84&quot;/&gt;&lt;wsp:rsid wsp:val=&quot;00390AF8&quot;/&gt;&lt;wsp:rsid wsp:val=&quot;003912F6&quot;/&gt;&lt;wsp:rsid wsp:val=&quot;00392662&quot;/&gt;&lt;wsp:rsid wsp:val=&quot;00393D89&quot;/&gt;&lt;wsp:rsid wsp:val=&quot;0039468A&quot;/&gt;&lt;wsp:rsid wsp:val=&quot;003963D7&quot;/&gt;&lt;wsp:rsid wsp:val=&quot;00396F65&quot;/&gt;&lt;wsp:rsid wsp:val=&quot;00397356&quot;/&gt;&lt;wsp:rsid wsp:val=&quot;003973EC&quot;/&gt;&lt;wsp:rsid wsp:val=&quot;00397541&quot;/&gt;&lt;wsp:rsid wsp:val=&quot;00397E05&quot;/&gt;&lt;wsp:rsid wsp:val=&quot;003A06B3&quot;/&gt;&lt;wsp:rsid wsp:val=&quot;003A1E1E&quot;/&gt;&lt;wsp:rsid wsp:val=&quot;003A20BD&quot;/&gt;&lt;wsp:rsid wsp:val=&quot;003A22ED&quot;/&gt;&lt;wsp:rsid wsp:val=&quot;003A2844&quot;/&gt;&lt;wsp:rsid wsp:val=&quot;003A3B97&quot;/&gt;&lt;wsp:rsid wsp:val=&quot;003A3BF0&quot;/&gt;&lt;wsp:rsid wsp:val=&quot;003A3C64&quot;/&gt;&lt;wsp:rsid wsp:val=&quot;003A44B9&quot;/&gt;&lt;wsp:rsid wsp:val=&quot;003A4A19&quot;/&gt;&lt;wsp:rsid wsp:val=&quot;003A4C4E&quot;/&gt;&lt;wsp:rsid wsp:val=&quot;003A4E57&quot;/&gt;&lt;wsp:rsid wsp:val=&quot;003A5E63&quot;/&gt;&lt;wsp:rsid wsp:val=&quot;003A6946&quot;/&gt;&lt;wsp:rsid wsp:val=&quot;003A69C6&quot;/&gt;&lt;wsp:rsid wsp:val=&quot;003A6E31&quot;/&gt;&lt;wsp:rsid wsp:val=&quot;003A709F&quot;/&gt;&lt;wsp:rsid wsp:val=&quot;003B01A4&quot;/&gt;&lt;wsp:rsid wsp:val=&quot;003B0AB6&quot;/&gt;&lt;wsp:rsid wsp:val=&quot;003B18C3&quot;/&gt;&lt;wsp:rsid wsp:val=&quot;003B1987&quot;/&gt;&lt;wsp:rsid wsp:val=&quot;003B1E28&quot;/&gt;&lt;wsp:rsid wsp:val=&quot;003B2C70&quot;/&gt;&lt;wsp:rsid wsp:val=&quot;003B41D1&quot;/&gt;&lt;wsp:rsid wsp:val=&quot;003B45F9&quot;/&gt;&lt;wsp:rsid wsp:val=&quot;003B5A67&quot;/&gt;&lt;wsp:rsid wsp:val=&quot;003B5C17&quot;/&gt;&lt;wsp:rsid wsp:val=&quot;003B68C9&quot;/&gt;&lt;wsp:rsid wsp:val=&quot;003C01A0&quot;/&gt;&lt;wsp:rsid wsp:val=&quot;003C0D51&quot;/&gt;&lt;wsp:rsid wsp:val=&quot;003C250A&quot;/&gt;&lt;wsp:rsid wsp:val=&quot;003C3A26&quot;/&gt;&lt;wsp:rsid wsp:val=&quot;003C3F35&quot;/&gt;&lt;wsp:rsid wsp:val=&quot;003C4424&quot;/&gt;&lt;wsp:rsid wsp:val=&quot;003C4832&quot;/&gt;&lt;wsp:rsid wsp:val=&quot;003C4B7E&quot;/&gt;&lt;wsp:rsid wsp:val=&quot;003C53C6&quot;/&gt;&lt;wsp:rsid wsp:val=&quot;003C5672&quot;/&gt;&lt;wsp:rsid wsp:val=&quot;003C5A36&quot;/&gt;&lt;wsp:rsid wsp:val=&quot;003C6331&quot;/&gt;&lt;wsp:rsid wsp:val=&quot;003C6CB7&quot;/&gt;&lt;wsp:rsid wsp:val=&quot;003C6E87&quot;/&gt;&lt;wsp:rsid wsp:val=&quot;003C757C&quot;/&gt;&lt;wsp:rsid wsp:val=&quot;003C762F&quot;/&gt;&lt;wsp:rsid wsp:val=&quot;003C7EB4&quot;/&gt;&lt;wsp:rsid wsp:val=&quot;003D01F4&quot;/&gt;&lt;wsp:rsid wsp:val=&quot;003D0699&quot;/&gt;&lt;wsp:rsid wsp:val=&quot;003D1B29&quot;/&gt;&lt;wsp:rsid wsp:val=&quot;003D1B52&quot;/&gt;&lt;wsp:rsid wsp:val=&quot;003D33C1&quot;/&gt;&lt;wsp:rsid wsp:val=&quot;003D3FB1&quot;/&gt;&lt;wsp:rsid wsp:val=&quot;003D417A&quot;/&gt;&lt;wsp:rsid wsp:val=&quot;003D45AB&quot;/&gt;&lt;wsp:rsid wsp:val=&quot;003D5097&quot;/&gt;&lt;wsp:rsid wsp:val=&quot;003D59C1&quot;/&gt;&lt;wsp:rsid wsp:val=&quot;003D5D7F&quot;/&gt;&lt;wsp:rsid wsp:val=&quot;003D5E61&quot;/&gt;&lt;wsp:rsid wsp:val=&quot;003D728F&quot;/&gt;&lt;wsp:rsid wsp:val=&quot;003D7DD3&quot;/&gt;&lt;wsp:rsid wsp:val=&quot;003D7E31&quot;/&gt;&lt;wsp:rsid wsp:val=&quot;003E02A0&quot;/&gt;&lt;wsp:rsid wsp:val=&quot;003E068E&quot;/&gt;&lt;wsp:rsid wsp:val=&quot;003E1A22&quot;/&gt;&lt;wsp:rsid wsp:val=&quot;003E1DE8&quot;/&gt;&lt;wsp:rsid wsp:val=&quot;003E25DA&quot;/&gt;&lt;wsp:rsid wsp:val=&quot;003E3214&quot;/&gt;&lt;wsp:rsid wsp:val=&quot;003E37BB&quot;/&gt;&lt;wsp:rsid wsp:val=&quot;003E3C3E&quot;/&gt;&lt;wsp:rsid wsp:val=&quot;003E61D3&quot;/&gt;&lt;wsp:rsid wsp:val=&quot;003F2528&quot;/&gt;&lt;wsp:rsid wsp:val=&quot;003F27A1&quot;/&gt;&lt;wsp:rsid wsp:val=&quot;003F2863&quot;/&gt;&lt;wsp:rsid wsp:val=&quot;003F457A&quot;/&gt;&lt;wsp:rsid wsp:val=&quot;003F60F9&quot;/&gt;&lt;wsp:rsid wsp:val=&quot;003F6568&quot;/&gt;&lt;wsp:rsid wsp:val=&quot;003F68CF&quot;/&gt;&lt;wsp:rsid wsp:val=&quot;003F697C&quot;/&gt;&lt;wsp:rsid wsp:val=&quot;003F6E03&quot;/&gt;&lt;wsp:rsid wsp:val=&quot;003F7E78&quot;/&gt;&lt;wsp:rsid wsp:val=&quot;0040150C&quot;/&gt;&lt;wsp:rsid wsp:val=&quot;00402988&quot;/&gt;&lt;wsp:rsid wsp:val=&quot;00402FB1&quot;/&gt;&lt;wsp:rsid wsp:val=&quot;0040328C&quot;/&gt;&lt;wsp:rsid wsp:val=&quot;004048A2&quot;/&gt;&lt;wsp:rsid wsp:val=&quot;00404B13&quot;/&gt;&lt;wsp:rsid wsp:val=&quot;00405751&quot;/&gt;&lt;wsp:rsid wsp:val=&quot;00405C5C&quot;/&gt;&lt;wsp:rsid wsp:val=&quot;0040611B&quot;/&gt;&lt;wsp:rsid wsp:val=&quot;0040711B&quot;/&gt;&lt;wsp:rsid wsp:val=&quot;0040776B&quot;/&gt;&lt;wsp:rsid wsp:val=&quot;00407B15&quot;/&gt;&lt;wsp:rsid wsp:val=&quot;004111E2&quot;/&gt;&lt;wsp:rsid wsp:val=&quot;00411233&quot;/&gt;&lt;wsp:rsid wsp:val=&quot;00411451&quot;/&gt;&lt;wsp:rsid wsp:val=&quot;00412047&quot;/&gt;&lt;wsp:rsid wsp:val=&quot;00412154&quot;/&gt;&lt;wsp:rsid wsp:val=&quot;00412736&quot;/&gt;&lt;wsp:rsid wsp:val=&quot;00412B56&quot;/&gt;&lt;wsp:rsid wsp:val=&quot;004135FC&quot;/&gt;&lt;wsp:rsid wsp:val=&quot;0041442E&quot;/&gt;&lt;wsp:rsid wsp:val=&quot;00414538&quot;/&gt;&lt;wsp:rsid wsp:val=&quot;00414F82&quot;/&gt;&lt;wsp:rsid wsp:val=&quot;004150E5&quot;/&gt;&lt;wsp:rsid wsp:val=&quot;004156DD&quot;/&gt;&lt;wsp:rsid wsp:val=&quot;004158EC&quot;/&gt;&lt;wsp:rsid wsp:val=&quot;00415959&quot;/&gt;&lt;wsp:rsid wsp:val=&quot;00415F49&quot;/&gt;&lt;wsp:rsid wsp:val=&quot;004169D7&quot;/&gt;&lt;wsp:rsid wsp:val=&quot;00416B8D&quot;/&gt;&lt;wsp:rsid wsp:val=&quot;00417307&quot;/&gt;&lt;wsp:rsid wsp:val=&quot;00417398&quot;/&gt;&lt;wsp:rsid wsp:val=&quot;00417410&quot;/&gt;&lt;wsp:rsid wsp:val=&quot;004174D5&quot;/&gt;&lt;wsp:rsid wsp:val=&quot;00420316&quot;/&gt;&lt;wsp:rsid wsp:val=&quot;00420E2A&quot;/&gt;&lt;wsp:rsid wsp:val=&quot;00421D5C&quot;/&gt;&lt;wsp:rsid wsp:val=&quot;00422E7F&quot;/&gt;&lt;wsp:rsid wsp:val=&quot;004236BF&quot;/&gt;&lt;wsp:rsid wsp:val=&quot;00423C9F&quot;/&gt;&lt;wsp:rsid wsp:val=&quot;0042473C&quot;/&gt;&lt;wsp:rsid wsp:val=&quot;0042513D&quot;/&gt;&lt;wsp:rsid wsp:val=&quot;00425526&quot;/&gt;&lt;wsp:rsid wsp:val=&quot;00425872&quot;/&gt;&lt;wsp:rsid wsp:val=&quot;00426025&quot;/&gt;&lt;wsp:rsid wsp:val=&quot;00426B6C&quot;/&gt;&lt;wsp:rsid wsp:val=&quot;00426BA2&quot;/&gt;&lt;wsp:rsid wsp:val=&quot;00426D56&quot;/&gt;&lt;wsp:rsid wsp:val=&quot;004275D3&quot;/&gt;&lt;wsp:rsid wsp:val=&quot;00430235&quot;/&gt;&lt;wsp:rsid wsp:val=&quot;00430285&quot;/&gt;&lt;wsp:rsid wsp:val=&quot;00430333&quot;/&gt;&lt;wsp:rsid wsp:val=&quot;0043165A&quot;/&gt;&lt;wsp:rsid wsp:val=&quot;00431B1D&quot;/&gt;&lt;wsp:rsid wsp:val=&quot;004334AE&quot;/&gt;&lt;wsp:rsid wsp:val=&quot;004334D7&quot;/&gt;&lt;wsp:rsid wsp:val=&quot;00433CC0&quot;/&gt;&lt;wsp:rsid wsp:val=&quot;00434E02&quot;/&gt;&lt;wsp:rsid wsp:val=&quot;00435842&quot;/&gt;&lt;wsp:rsid wsp:val=&quot;004364B4&quot;/&gt;&lt;wsp:rsid wsp:val=&quot;00437C1B&quot;/&gt;&lt;wsp:rsid wsp:val=&quot;00437DD1&quot;/&gt;&lt;wsp:rsid wsp:val=&quot;004401B1&quot;/&gt;&lt;wsp:rsid wsp:val=&quot;004403FC&quot;/&gt;&lt;wsp:rsid wsp:val=&quot;0044093B&quot;/&gt;&lt;wsp:rsid wsp:val=&quot;00440CC9&quot;/&gt;&lt;wsp:rsid wsp:val=&quot;00440D59&quot;/&gt;&lt;wsp:rsid wsp:val=&quot;00440EA7&quot;/&gt;&lt;wsp:rsid wsp:val=&quot;0044172C&quot;/&gt;&lt;wsp:rsid wsp:val=&quot;00441E5A&quot;/&gt;&lt;wsp:rsid wsp:val=&quot;00441FC5&quot;/&gt;&lt;wsp:rsid wsp:val=&quot;00442728&quot;/&gt;&lt;wsp:rsid wsp:val=&quot;00442EE9&quot;/&gt;&lt;wsp:rsid wsp:val=&quot;004431E4&quot;/&gt;&lt;wsp:rsid wsp:val=&quot;004442B0&quot;/&gt;&lt;wsp:rsid wsp:val=&quot;00444A72&quot;/&gt;&lt;wsp:rsid wsp:val=&quot;004453CC&quot;/&gt;&lt;wsp:rsid wsp:val=&quot;0044627D&quot;/&gt;&lt;wsp:rsid wsp:val=&quot;004470F8&quot;/&gt;&lt;wsp:rsid wsp:val=&quot;00447D31&quot;/&gt;&lt;wsp:rsid wsp:val=&quot;00450AA1&quot;/&gt;&lt;wsp:rsid wsp:val=&quot;00450BD4&quot;/&gt;&lt;wsp:rsid wsp:val=&quot;00451395&quot;/&gt;&lt;wsp:rsid wsp:val=&quot;00451A98&quot;/&gt;&lt;wsp:rsid wsp:val=&quot;00451C21&quot;/&gt;&lt;wsp:rsid wsp:val=&quot;00451D76&quot;/&gt;&lt;wsp:rsid wsp:val=&quot;00451EA7&quot;/&gt;&lt;wsp:rsid wsp:val=&quot;004524AE&quot;/&gt;&lt;wsp:rsid wsp:val=&quot;00453413&quot;/&gt;&lt;wsp:rsid wsp:val=&quot;004535EA&quot;/&gt;&lt;wsp:rsid wsp:val=&quot;00453DDB&quot;/&gt;&lt;wsp:rsid wsp:val=&quot;00453DF1&quot;/&gt;&lt;wsp:rsid wsp:val=&quot;00454131&quot;/&gt;&lt;wsp:rsid wsp:val=&quot;00454333&quot;/&gt;&lt;wsp:rsid wsp:val=&quot;0045442A&quot;/&gt;&lt;wsp:rsid wsp:val=&quot;00455917&quot;/&gt;&lt;wsp:rsid wsp:val=&quot;00455D4D&quot;/&gt;&lt;wsp:rsid wsp:val=&quot;00455EF7&quot;/&gt;&lt;wsp:rsid wsp:val=&quot;00456275&quot;/&gt;&lt;wsp:rsid wsp:val=&quot;00456816&quot;/&gt;&lt;wsp:rsid wsp:val=&quot;00456A68&quot;/&gt;&lt;wsp:rsid wsp:val=&quot;00457BB1&quot;/&gt;&lt;wsp:rsid wsp:val=&quot;0046023D&quot;/&gt;&lt;wsp:rsid wsp:val=&quot;0046044F&quot;/&gt;&lt;wsp:rsid wsp:val=&quot;00460DFD&quot;/&gt;&lt;wsp:rsid wsp:val=&quot;00461263&quot;/&gt;&lt;wsp:rsid wsp:val=&quot;00461A78&quot;/&gt;&lt;wsp:rsid wsp:val=&quot;0046219B&quot;/&gt;&lt;wsp:rsid wsp:val=&quot;004622EA&quot;/&gt;&lt;wsp:rsid wsp:val=&quot;004629C1&quot;/&gt;&lt;wsp:rsid wsp:val=&quot;00462A20&quot;/&gt;&lt;wsp:rsid wsp:val=&quot;00462C00&quot;/&gt;&lt;wsp:rsid wsp:val=&quot;004637D9&quot;/&gt;&lt;wsp:rsid wsp:val=&quot;00464425&quot;/&gt;&lt;wsp:rsid wsp:val=&quot;004644B7&quot;/&gt;&lt;wsp:rsid wsp:val=&quot;00464B1D&quot;/&gt;&lt;wsp:rsid wsp:val=&quot;004651BF&quot;/&gt;&lt;wsp:rsid wsp:val=&quot;00465F17&quot;/&gt;&lt;wsp:rsid wsp:val=&quot;00466A26&quot;/&gt;&lt;wsp:rsid wsp:val=&quot;00466FED&quot;/&gt;&lt;wsp:rsid wsp:val=&quot;004675D1&quot;/&gt;&lt;wsp:rsid wsp:val=&quot;00470529&quot;/&gt;&lt;wsp:rsid wsp:val=&quot;00470E29&quot;/&gt;&lt;wsp:rsid wsp:val=&quot;00471D36&quot;/&gt;&lt;wsp:rsid wsp:val=&quot;00471FF3&quot;/&gt;&lt;wsp:rsid wsp:val=&quot;00472C20&quot;/&gt;&lt;wsp:rsid wsp:val=&quot;00472CE5&quot;/&gt;&lt;wsp:rsid wsp:val=&quot;00472DBA&quot;/&gt;&lt;wsp:rsid wsp:val=&quot;00473062&quot;/&gt;&lt;wsp:rsid wsp:val=&quot;00473A88&quot;/&gt;&lt;wsp:rsid wsp:val=&quot;00474123&quot;/&gt;&lt;wsp:rsid wsp:val=&quot;00474764&quot;/&gt;&lt;wsp:rsid wsp:val=&quot;00474EB5&quot;/&gt;&lt;wsp:rsid wsp:val=&quot;0047548E&quot;/&gt;&lt;wsp:rsid wsp:val=&quot;00475B88&quot;/&gt;&lt;wsp:rsid wsp:val=&quot;00475DD1&quot;/&gt;&lt;wsp:rsid wsp:val=&quot;0047652D&quot;/&gt;&lt;wsp:rsid wsp:val=&quot;004770A7&quot;/&gt;&lt;wsp:rsid wsp:val=&quot;004778AB&quot;/&gt;&lt;wsp:rsid wsp:val=&quot;004801D9&quot;/&gt;&lt;wsp:rsid wsp:val=&quot;00480B51&quot;/&gt;&lt;wsp:rsid wsp:val=&quot;00480EF1&quot;/&gt;&lt;wsp:rsid wsp:val=&quot;0048186F&quot;/&gt;&lt;wsp:rsid wsp:val=&quot;00482571&quot;/&gt;&lt;wsp:rsid wsp:val=&quot;004827A5&quot;/&gt;&lt;wsp:rsid wsp:val=&quot;004830F7&quot;/&gt;&lt;wsp:rsid wsp:val=&quot;00483129&quot;/&gt;&lt;wsp:rsid wsp:val=&quot;004837FB&quot;/&gt;&lt;wsp:rsid wsp:val=&quot;00483B5C&quot;/&gt;&lt;wsp:rsid wsp:val=&quot;004847AF&quot;/&gt;&lt;wsp:rsid wsp:val=&quot;004848A9&quot;/&gt;&lt;wsp:rsid wsp:val=&quot;00485447&quot;/&gt;&lt;wsp:rsid wsp:val=&quot;00485547&quot;/&gt;&lt;wsp:rsid wsp:val=&quot;00485B4A&quot;/&gt;&lt;wsp:rsid wsp:val=&quot;00485D94&quot;/&gt;&lt;wsp:rsid wsp:val=&quot;00486410&quot;/&gt;&lt;wsp:rsid wsp:val=&quot;00486524&quot;/&gt;&lt;wsp:rsid wsp:val=&quot;00486AB8&quot;/&gt;&lt;wsp:rsid wsp:val=&quot;00486DEE&quot;/&gt;&lt;wsp:rsid wsp:val=&quot;004875B5&quot;/&gt;&lt;wsp:rsid wsp:val=&quot;00487FC0&quot;/&gt;&lt;wsp:rsid wsp:val=&quot;004910BC&quot;/&gt;&lt;wsp:rsid wsp:val=&quot;0049135A&quot;/&gt;&lt;wsp:rsid wsp:val=&quot;0049193A&quot;/&gt;&lt;wsp:rsid wsp:val=&quot;00491C2D&quot;/&gt;&lt;wsp:rsid wsp:val=&quot;00491F51&quot;/&gt;&lt;wsp:rsid wsp:val=&quot;00492262&quot;/&gt;&lt;wsp:rsid wsp:val=&quot;00493011&quot;/&gt;&lt;wsp:rsid wsp:val=&quot;00493687&quot;/&gt;&lt;wsp:rsid wsp:val=&quot;004944FF&quot;/&gt;&lt;wsp:rsid wsp:val=&quot;00494555&quot;/&gt;&lt;wsp:rsid wsp:val=&quot;004948AC&quot;/&gt;&lt;wsp:rsid wsp:val=&quot;00494C2B&quot;/&gt;&lt;wsp:rsid wsp:val=&quot;00496307&quot;/&gt;&lt;wsp:rsid wsp:val=&quot;0049699B&quot;/&gt;&lt;wsp:rsid wsp:val=&quot;00497F64&quot;/&gt;&lt;wsp:rsid wsp:val=&quot;004A0715&quot;/&gt;&lt;wsp:rsid wsp:val=&quot;004A1DFB&quot;/&gt;&lt;wsp:rsid wsp:val=&quot;004A230F&quot;/&gt;&lt;wsp:rsid wsp:val=&quot;004A283B&quot;/&gt;&lt;wsp:rsid wsp:val=&quot;004A2CD1&quot;/&gt;&lt;wsp:rsid wsp:val=&quot;004A406D&quot;/&gt;&lt;wsp:rsid wsp:val=&quot;004A4E20&quot;/&gt;&lt;wsp:rsid wsp:val=&quot;004A517E&quot;/&gt;&lt;wsp:rsid wsp:val=&quot;004A5747&quot;/&gt;&lt;wsp:rsid wsp:val=&quot;004A7DFA&quot;/&gt;&lt;wsp:rsid wsp:val=&quot;004B0CAF&quot;/&gt;&lt;wsp:rsid wsp:val=&quot;004B173D&quot;/&gt;&lt;wsp:rsid wsp:val=&quot;004B1F2D&quot;/&gt;&lt;wsp:rsid wsp:val=&quot;004B26BF&quot;/&gt;&lt;wsp:rsid wsp:val=&quot;004B2D3A&quot;/&gt;&lt;wsp:rsid wsp:val=&quot;004B32AF&quot;/&gt;&lt;wsp:rsid wsp:val=&quot;004B3CEB&quot;/&gt;&lt;wsp:rsid wsp:val=&quot;004B41C4&quot;/&gt;&lt;wsp:rsid wsp:val=&quot;004B46D5&quot;/&gt;&lt;wsp:rsid wsp:val=&quot;004B4D63&quot;/&gt;&lt;wsp:rsid wsp:val=&quot;004B520B&quot;/&gt;&lt;wsp:rsid wsp:val=&quot;004B55F0&quot;/&gt;&lt;wsp:rsid wsp:val=&quot;004B5E43&quot;/&gt;&lt;wsp:rsid wsp:val=&quot;004B6371&quot;/&gt;&lt;wsp:rsid wsp:val=&quot;004B638D&quot;/&gt;&lt;wsp:rsid wsp:val=&quot;004B67FA&quot;/&gt;&lt;wsp:rsid wsp:val=&quot;004B777A&quot;/&gt;&lt;wsp:rsid wsp:val=&quot;004B7BD0&quot;/&gt;&lt;wsp:rsid wsp:val=&quot;004C00AA&quot;/&gt;&lt;wsp:rsid wsp:val=&quot;004C01D2&quot;/&gt;&lt;wsp:rsid wsp:val=&quot;004C096F&quot;/&gt;&lt;wsp:rsid wsp:val=&quot;004C0C5D&quot;/&gt;&lt;wsp:rsid wsp:val=&quot;004C0D35&quot;/&gt;&lt;wsp:rsid wsp:val=&quot;004C1255&quot;/&gt;&lt;wsp:rsid wsp:val=&quot;004C2429&quot;/&gt;&lt;wsp:rsid wsp:val=&quot;004C29A7&quot;/&gt;&lt;wsp:rsid wsp:val=&quot;004C36FA&quot;/&gt;&lt;wsp:rsid wsp:val=&quot;004C4A20&quot;/&gt;&lt;wsp:rsid wsp:val=&quot;004C7288&quot;/&gt;&lt;wsp:rsid wsp:val=&quot;004C7DB4&quot;/&gt;&lt;wsp:rsid wsp:val=&quot;004C7E29&quot;/&gt;&lt;wsp:rsid wsp:val=&quot;004D1A77&quot;/&gt;&lt;wsp:rsid wsp:val=&quot;004D1A8E&quot;/&gt;&lt;wsp:rsid wsp:val=&quot;004D28A4&quot;/&gt;&lt;wsp:rsid wsp:val=&quot;004D3304&quot;/&gt;&lt;wsp:rsid wsp:val=&quot;004D3533&quot;/&gt;&lt;wsp:rsid wsp:val=&quot;004D494F&quot;/&gt;&lt;wsp:rsid wsp:val=&quot;004D4979&quot;/&gt;&lt;wsp:rsid wsp:val=&quot;004D4A44&quot;/&gt;&lt;wsp:rsid wsp:val=&quot;004D5885&quot;/&gt;&lt;wsp:rsid wsp:val=&quot;004D59D9&quot;/&gt;&lt;wsp:rsid wsp:val=&quot;004D5F59&quot;/&gt;&lt;wsp:rsid wsp:val=&quot;004D708B&quot;/&gt;&lt;wsp:rsid wsp:val=&quot;004D74F4&quot;/&gt;&lt;wsp:rsid wsp:val=&quot;004D7CE6&quot;/&gt;&lt;wsp:rsid wsp:val=&quot;004E0391&quot;/&gt;&lt;wsp:rsid wsp:val=&quot;004E2243&quot;/&gt;&lt;wsp:rsid wsp:val=&quot;004E2611&quot;/&gt;&lt;wsp:rsid wsp:val=&quot;004E2AF7&quot;/&gt;&lt;wsp:rsid wsp:val=&quot;004E2CDF&quot;/&gt;&lt;wsp:rsid wsp:val=&quot;004E3C44&quot;/&gt;&lt;wsp:rsid wsp:val=&quot;004E46C5&quot;/&gt;&lt;wsp:rsid wsp:val=&quot;004E505E&quot;/&gt;&lt;wsp:rsid wsp:val=&quot;004F07C2&quot;/&gt;&lt;wsp:rsid wsp:val=&quot;004F0DAF&quot;/&gt;&lt;wsp:rsid wsp:val=&quot;004F0FCF&quot;/&gt;&lt;wsp:rsid wsp:val=&quot;004F11E6&quot;/&gt;&lt;wsp:rsid wsp:val=&quot;004F1627&quot;/&gt;&lt;wsp:rsid wsp:val=&quot;004F280C&quot;/&gt;&lt;wsp:rsid wsp:val=&quot;004F2816&quot;/&gt;&lt;wsp:rsid wsp:val=&quot;004F2829&quot;/&gt;&lt;wsp:rsid wsp:val=&quot;004F2D6D&quot;/&gt;&lt;wsp:rsid wsp:val=&quot;004F32FC&quot;/&gt;&lt;wsp:rsid wsp:val=&quot;004F33F8&quot;/&gt;&lt;wsp:rsid wsp:val=&quot;004F354B&quot;/&gt;&lt;wsp:rsid wsp:val=&quot;004F3AC8&quot;/&gt;&lt;wsp:rsid wsp:val=&quot;004F424D&quot;/&gt;&lt;wsp:rsid wsp:val=&quot;004F4317&quot;/&gt;&lt;wsp:rsid wsp:val=&quot;004F582D&quot;/&gt;&lt;wsp:rsid wsp:val=&quot;004F586F&quot;/&gt;&lt;wsp:rsid wsp:val=&quot;004F5A51&quot;/&gt;&lt;wsp:rsid wsp:val=&quot;004F6779&quot;/&gt;&lt;wsp:rsid wsp:val=&quot;004F67F4&quot;/&gt;&lt;wsp:rsid wsp:val=&quot;004F6D23&quot;/&gt;&lt;wsp:rsid wsp:val=&quot;004F7263&quot;/&gt;&lt;wsp:rsid wsp:val=&quot;004F78A8&quot;/&gt;&lt;wsp:rsid wsp:val=&quot;0050054E&quot;/&gt;&lt;wsp:rsid wsp:val=&quot;0050064D&quot;/&gt;&lt;wsp:rsid wsp:val=&quot;0050086F&quot;/&gt;&lt;wsp:rsid wsp:val=&quot;00500E8D&quot;/&gt;&lt;wsp:rsid wsp:val=&quot;00500EF4&quot;/&gt;&lt;wsp:rsid wsp:val=&quot;0050125F&quot;/&gt;&lt;wsp:rsid wsp:val=&quot;005012B6&quot;/&gt;&lt;wsp:rsid wsp:val=&quot;00502991&quot;/&gt;&lt;wsp:rsid wsp:val=&quot;00502F0C&quot;/&gt;&lt;wsp:rsid wsp:val=&quot;0050727C&quot;/&gt;&lt;wsp:rsid wsp:val=&quot;005072F1&quot;/&gt;&lt;wsp:rsid wsp:val=&quot;00507DDB&quot;/&gt;&lt;wsp:rsid wsp:val=&quot;00510EBF&quot;/&gt;&lt;wsp:rsid wsp:val=&quot;00511523&quot;/&gt;&lt;wsp:rsid wsp:val=&quot;005117D0&quot;/&gt;&lt;wsp:rsid wsp:val=&quot;005129D7&quot;/&gt;&lt;wsp:rsid wsp:val=&quot;00512A30&quot;/&gt;&lt;wsp:rsid wsp:val=&quot;00512DA5&quot;/&gt;&lt;wsp:rsid wsp:val=&quot;00512F5D&quot;/&gt;&lt;wsp:rsid wsp:val=&quot;00513878&quot;/&gt;&lt;wsp:rsid wsp:val=&quot;00514541&quot;/&gt;&lt;wsp:rsid wsp:val=&quot;005153BC&quot;/&gt;&lt;wsp:rsid wsp:val=&quot;005156A5&quot;/&gt;&lt;wsp:rsid wsp:val=&quot;00516706&quot;/&gt;&lt;wsp:rsid wsp:val=&quot;0051670F&quot;/&gt;&lt;wsp:rsid wsp:val=&quot;005169B5&quot;/&gt;&lt;wsp:rsid wsp:val=&quot;00516ABC&quot;/&gt;&lt;wsp:rsid wsp:val=&quot;00517AF4&quot;/&gt;&lt;wsp:rsid wsp:val=&quot;00517F8A&quot;/&gt;&lt;wsp:rsid wsp:val=&quot;005203E0&quot;/&gt;&lt;wsp:rsid wsp:val=&quot;005211C4&quot;/&gt;&lt;wsp:rsid wsp:val=&quot;0052132E&quot;/&gt;&lt;wsp:rsid wsp:val=&quot;00522149&quot;/&gt;&lt;wsp:rsid wsp:val=&quot;005223A4&quot;/&gt;&lt;wsp:rsid wsp:val=&quot;00522E0A&quot;/&gt;&lt;wsp:rsid wsp:val=&quot;00523807&quot;/&gt;&lt;wsp:rsid wsp:val=&quot;005238D6&quot;/&gt;&lt;wsp:rsid wsp:val=&quot;005241AD&quot;/&gt;&lt;wsp:rsid wsp:val=&quot;00524970&quot;/&gt;&lt;wsp:rsid wsp:val=&quot;00524A94&quot;/&gt;&lt;wsp:rsid wsp:val=&quot;00524B15&quot;/&gt;&lt;wsp:rsid wsp:val=&quot;00525DF1&quot;/&gt;&lt;wsp:rsid wsp:val=&quot;0052616F&quot;/&gt;&lt;wsp:rsid wsp:val=&quot;0052619C&quot;/&gt;&lt;wsp:rsid wsp:val=&quot;005263CF&quot;/&gt;&lt;wsp:rsid wsp:val=&quot;0052681E&quot;/&gt;&lt;wsp:rsid wsp:val=&quot;00526FA7&quot;/&gt;&lt;wsp:rsid wsp:val=&quot;00527943&quot;/&gt;&lt;wsp:rsid wsp:val=&quot;005304D4&quot;/&gt;&lt;wsp:rsid wsp:val=&quot;00530901&quot;/&gt;&lt;wsp:rsid wsp:val=&quot;00531DBC&quot;/&gt;&lt;wsp:rsid wsp:val=&quot;00532BC2&quot;/&gt;&lt;wsp:rsid wsp:val=&quot;00533454&quot;/&gt;&lt;wsp:rsid wsp:val=&quot;00533A07&quot;/&gt;&lt;wsp:rsid wsp:val=&quot;00533DFF&quot;/&gt;&lt;wsp:rsid wsp:val=&quot;00533E76&quot;/&gt;&lt;wsp:rsid wsp:val=&quot;005359EF&quot;/&gt;&lt;wsp:rsid wsp:val=&quot;0053602B&quot;/&gt;&lt;wsp:rsid wsp:val=&quot;005366C1&quot;/&gt;&lt;wsp:rsid wsp:val=&quot;00536FBE&quot;/&gt;&lt;wsp:rsid wsp:val=&quot;00537111&quot;/&gt;&lt;wsp:rsid wsp:val=&quot;00537DA0&quot;/&gt;&lt;wsp:rsid wsp:val=&quot;00540C7B&quot;/&gt;&lt;wsp:rsid wsp:val=&quot;00540CE0&quot;/&gt;&lt;wsp:rsid wsp:val=&quot;00541921&quot;/&gt;&lt;wsp:rsid wsp:val=&quot;005427EF&quot;/&gt;&lt;wsp:rsid wsp:val=&quot;00543D01&quot;/&gt;&lt;wsp:rsid wsp:val=&quot;00543DB5&quot;/&gt;&lt;wsp:rsid wsp:val=&quot;00543F5F&quot;/&gt;&lt;wsp:rsid wsp:val=&quot;005448DE&quot;/&gt;&lt;wsp:rsid wsp:val=&quot;00544C87&quot;/&gt;&lt;wsp:rsid wsp:val=&quot;00545246&quot;/&gt;&lt;wsp:rsid wsp:val=&quot;005456AA&quot;/&gt;&lt;wsp:rsid wsp:val=&quot;00545A66&quot;/&gt;&lt;wsp:rsid wsp:val=&quot;00546628&quot;/&gt;&lt;wsp:rsid wsp:val=&quot;0054722A&quot;/&gt;&lt;wsp:rsid wsp:val=&quot;005478CC&quot;/&gt;&lt;wsp:rsid wsp:val=&quot;0055052A&quot;/&gt;&lt;wsp:rsid wsp:val=&quot;00551AB2&quot;/&gt;&lt;wsp:rsid wsp:val=&quot;00552F79&quot;/&gt;&lt;wsp:rsid wsp:val=&quot;0055337F&quot;/&gt;&lt;wsp:rsid wsp:val=&quot;00553C5A&quot;/&gt;&lt;wsp:rsid wsp:val=&quot;00554215&quot;/&gt;&lt;wsp:rsid wsp:val=&quot;005547EC&quot;/&gt;&lt;wsp:rsid wsp:val=&quot;00554923&quot;/&gt;&lt;wsp:rsid wsp:val=&quot;00554B44&quot;/&gt;&lt;wsp:rsid wsp:val=&quot;00554CFB&quot;/&gt;&lt;wsp:rsid wsp:val=&quot;00555FC9&quot;/&gt;&lt;wsp:rsid wsp:val=&quot;005562AB&quot;/&gt;&lt;wsp:rsid wsp:val=&quot;00560437&quot;/&gt;&lt;wsp:rsid wsp:val=&quot;005607FF&quot;/&gt;&lt;wsp:rsid wsp:val=&quot;00560D81&quot;/&gt;&lt;wsp:rsid wsp:val=&quot;0056188B&quot;/&gt;&lt;wsp:rsid wsp:val=&quot;00562504&quot;/&gt;&lt;wsp:rsid wsp:val=&quot;00562543&quot;/&gt;&lt;wsp:rsid wsp:val=&quot;005629C8&quot;/&gt;&lt;wsp:rsid wsp:val=&quot;00563434&quot;/&gt;&lt;wsp:rsid wsp:val=&quot;00563575&quot;/&gt;&lt;wsp:rsid wsp:val=&quot;0056430B&quot;/&gt;&lt;wsp:rsid wsp:val=&quot;00564310&quot;/&gt;&lt;wsp:rsid wsp:val=&quot;00564BD4&quot;/&gt;&lt;wsp:rsid wsp:val=&quot;005651F6&quot;/&gt;&lt;wsp:rsid wsp:val=&quot;00565D5F&quot;/&gt;&lt;wsp:rsid wsp:val=&quot;00565F60&quot;/&gt;&lt;wsp:rsid wsp:val=&quot;005675A4&quot;/&gt;&lt;wsp:rsid wsp:val=&quot;005676DF&quot;/&gt;&lt;wsp:rsid wsp:val=&quot;005701BF&quot;/&gt;&lt;wsp:rsid wsp:val=&quot;00571FFB&quot;/&gt;&lt;wsp:rsid wsp:val=&quot;00572813&quot;/&gt;&lt;wsp:rsid wsp:val=&quot;00572AA6&quot;/&gt;&lt;wsp:rsid wsp:val=&quot;00572CCE&quot;/&gt;&lt;wsp:rsid wsp:val=&quot;005730E9&quot;/&gt;&lt;wsp:rsid wsp:val=&quot;005733A8&quot;/&gt;&lt;wsp:rsid wsp:val=&quot;005738B6&quot;/&gt;&lt;wsp:rsid wsp:val=&quot;00573E2D&quot;/&gt;&lt;wsp:rsid wsp:val=&quot;00573F65&quot;/&gt;&lt;wsp:rsid wsp:val=&quot;005741E5&quot;/&gt;&lt;wsp:rsid wsp:val=&quot;005745E9&quot;/&gt;&lt;wsp:rsid wsp:val=&quot;005747CB&quot;/&gt;&lt;wsp:rsid wsp:val=&quot;00574ADF&quot;/&gt;&lt;wsp:rsid wsp:val=&quot;0057593C&quot;/&gt;&lt;wsp:rsid wsp:val=&quot;00576B23&quot;/&gt;&lt;wsp:rsid wsp:val=&quot;00577563&quot;/&gt;&lt;wsp:rsid wsp:val=&quot;00577D3F&quot;/&gt;&lt;wsp:rsid wsp:val=&quot;0058099C&quot;/&gt;&lt;wsp:rsid wsp:val=&quot;00581022&quot;/&gt;&lt;wsp:rsid wsp:val=&quot;005823F7&quot;/&gt;&lt;wsp:rsid wsp:val=&quot;00582679&quot;/&gt;&lt;wsp:rsid wsp:val=&quot;00582932&quot;/&gt;&lt;wsp:rsid wsp:val=&quot;00582F0A&quot;/&gt;&lt;wsp:rsid wsp:val=&quot;00583223&quot;/&gt;&lt;wsp:rsid wsp:val=&quot;00584982&quot;/&gt;&lt;wsp:rsid wsp:val=&quot;005862C9&quot;/&gt;&lt;wsp:rsid wsp:val=&quot;0058661D&quot;/&gt;&lt;wsp:rsid wsp:val=&quot;00586CCC&quot;/&gt;&lt;wsp:rsid wsp:val=&quot;00587709&quot;/&gt;&lt;wsp:rsid wsp:val=&quot;00587CDA&quot;/&gt;&lt;wsp:rsid wsp:val=&quot;00590589&quot;/&gt;&lt;wsp:rsid wsp:val=&quot;00591211&quot;/&gt;&lt;wsp:rsid wsp:val=&quot;00591401&quot;/&gt;&lt;wsp:rsid wsp:val=&quot;005917EB&quot;/&gt;&lt;wsp:rsid wsp:val=&quot;0059264C&quot;/&gt;&lt;wsp:rsid wsp:val=&quot;00593E37&quot;/&gt;&lt;wsp:rsid wsp:val=&quot;0059404B&quot;/&gt;&lt;wsp:rsid wsp:val=&quot;00594094&quot;/&gt;&lt;wsp:rsid wsp:val=&quot;0059440C&quot;/&gt;&lt;wsp:rsid wsp:val=&quot;005950D1&quot;/&gt;&lt;wsp:rsid wsp:val=&quot;00595BB8&quot;/&gt;&lt;wsp:rsid wsp:val=&quot;00595FC4&quot;/&gt;&lt;wsp:rsid wsp:val=&quot;00596E4C&quot;/&gt;&lt;wsp:rsid wsp:val=&quot;00596FA7&quot;/&gt;&lt;wsp:rsid wsp:val=&quot;005A00AE&quot;/&gt;&lt;wsp:rsid wsp:val=&quot;005A07F8&quot;/&gt;&lt;wsp:rsid wsp:val=&quot;005A0B04&quot;/&gt;&lt;wsp:rsid wsp:val=&quot;005A0E12&quot;/&gt;&lt;wsp:rsid wsp:val=&quot;005A19AD&quot;/&gt;&lt;wsp:rsid wsp:val=&quot;005A202C&quot;/&gt;&lt;wsp:rsid wsp:val=&quot;005A2A4B&quot;/&gt;&lt;wsp:rsid wsp:val=&quot;005A30F6&quot;/&gt;&lt;wsp:rsid wsp:val=&quot;005A3575&quot;/&gt;&lt;wsp:rsid wsp:val=&quot;005A3762&quot;/&gt;&lt;wsp:rsid wsp:val=&quot;005A39E6&quot;/&gt;&lt;wsp:rsid wsp:val=&quot;005A46F1&quot;/&gt;&lt;wsp:rsid wsp:val=&quot;005A4789&quot;/&gt;&lt;wsp:rsid wsp:val=&quot;005A4793&quot;/&gt;&lt;wsp:rsid wsp:val=&quot;005A59AA&quot;/&gt;&lt;wsp:rsid wsp:val=&quot;005A6994&quot;/&gt;&lt;wsp:rsid wsp:val=&quot;005A6AC5&quot;/&gt;&lt;wsp:rsid wsp:val=&quot;005A7081&quot;/&gt;&lt;wsp:rsid wsp:val=&quot;005A737F&quot;/&gt;&lt;wsp:rsid wsp:val=&quot;005A7B6F&quot;/&gt;&lt;wsp:rsid wsp:val=&quot;005B0185&quot;/&gt;&lt;wsp:rsid wsp:val=&quot;005B0529&quot;/&gt;&lt;wsp:rsid wsp:val=&quot;005B0B6D&quot;/&gt;&lt;wsp:rsid wsp:val=&quot;005B0E9E&quot;/&gt;&lt;wsp:rsid wsp:val=&quot;005B1147&quot;/&gt;&lt;wsp:rsid wsp:val=&quot;005B12C9&quot;/&gt;&lt;wsp:rsid wsp:val=&quot;005B173C&quot;/&gt;&lt;wsp:rsid wsp:val=&quot;005B2313&quot;/&gt;&lt;wsp:rsid wsp:val=&quot;005B33E4&quot;/&gt;&lt;wsp:rsid wsp:val=&quot;005B34BE&quot;/&gt;&lt;wsp:rsid wsp:val=&quot;005B35C0&quot;/&gt;&lt;wsp:rsid wsp:val=&quot;005B3BA9&quot;/&gt;&lt;wsp:rsid wsp:val=&quot;005B4130&quot;/&gt;&lt;wsp:rsid wsp:val=&quot;005B4835&quot;/&gt;&lt;wsp:rsid wsp:val=&quot;005B661F&quot;/&gt;&lt;wsp:rsid wsp:val=&quot;005B6704&quot;/&gt;&lt;wsp:rsid wsp:val=&quot;005B7695&quot;/&gt;&lt;wsp:rsid wsp:val=&quot;005B7A6F&quot;/&gt;&lt;wsp:rsid wsp:val=&quot;005B7A89&quot;/&gt;&lt;wsp:rsid wsp:val=&quot;005C01FE&quot;/&gt;&lt;wsp:rsid wsp:val=&quot;005C0C09&quot;/&gt;&lt;wsp:rsid wsp:val=&quot;005C0C22&quot;/&gt;&lt;wsp:rsid wsp:val=&quot;005C19D3&quot;/&gt;&lt;wsp:rsid wsp:val=&quot;005C1C52&quot;/&gt;&lt;wsp:rsid wsp:val=&quot;005C38BB&quot;/&gt;&lt;wsp:rsid wsp:val=&quot;005C3E61&quot;/&gt;&lt;wsp:rsid wsp:val=&quot;005C411E&quot;/&gt;&lt;wsp:rsid wsp:val=&quot;005C4CAC&quot;/&gt;&lt;wsp:rsid wsp:val=&quot;005C4D9B&quot;/&gt;&lt;wsp:rsid wsp:val=&quot;005C505A&quot;/&gt;&lt;wsp:rsid wsp:val=&quot;005C59B4&quot;/&gt;&lt;wsp:rsid wsp:val=&quot;005C6EBA&quot;/&gt;&lt;wsp:rsid wsp:val=&quot;005C74BA&quot;/&gt;&lt;wsp:rsid wsp:val=&quot;005C782D&quot;/&gt;&lt;wsp:rsid wsp:val=&quot;005C7BFA&quot;/&gt;&lt;wsp:rsid wsp:val=&quot;005D05A2&quot;/&gt;&lt;wsp:rsid wsp:val=&quot;005D0812&quot;/&gt;&lt;wsp:rsid wsp:val=&quot;005D08E8&quot;/&gt;&lt;wsp:rsid wsp:val=&quot;005D2132&quot;/&gt;&lt;wsp:rsid wsp:val=&quot;005D28AC&quot;/&gt;&lt;wsp:rsid wsp:val=&quot;005D2D54&quot;/&gt;&lt;wsp:rsid wsp:val=&quot;005D3027&quot;/&gt;&lt;wsp:rsid wsp:val=&quot;005D3173&quot;/&gt;&lt;wsp:rsid wsp:val=&quot;005D384A&quot;/&gt;&lt;wsp:rsid wsp:val=&quot;005D3948&quot;/&gt;&lt;wsp:rsid wsp:val=&quot;005D3D74&quot;/&gt;&lt;wsp:rsid wsp:val=&quot;005D41E4&quot;/&gt;&lt;wsp:rsid wsp:val=&quot;005D5239&quot;/&gt;&lt;wsp:rsid wsp:val=&quot;005D54C6&quot;/&gt;&lt;wsp:rsid wsp:val=&quot;005D5BD6&quot;/&gt;&lt;wsp:rsid wsp:val=&quot;005D6D09&quot;/&gt;&lt;wsp:rsid wsp:val=&quot;005D752E&quot;/&gt;&lt;wsp:rsid wsp:val=&quot;005D78CE&quot;/&gt;&lt;wsp:rsid wsp:val=&quot;005E00DA&quot;/&gt;&lt;wsp:rsid wsp:val=&quot;005E01E5&quot;/&gt;&lt;wsp:rsid wsp:val=&quot;005E01F7&quot;/&gt;&lt;wsp:rsid wsp:val=&quot;005E0C64&quot;/&gt;&lt;wsp:rsid wsp:val=&quot;005E12D7&quot;/&gt;&lt;wsp:rsid wsp:val=&quot;005E136A&quot;/&gt;&lt;wsp:rsid wsp:val=&quot;005E2472&quot;/&gt;&lt;wsp:rsid wsp:val=&quot;005E2C7B&quot;/&gt;&lt;wsp:rsid wsp:val=&quot;005E2FC3&quot;/&gt;&lt;wsp:rsid wsp:val=&quot;005E3084&quot;/&gt;&lt;wsp:rsid wsp:val=&quot;005E37EB&quot;/&gt;&lt;wsp:rsid wsp:val=&quot;005E38AC&quot;/&gt;&lt;wsp:rsid wsp:val=&quot;005E3B45&quot;/&gt;&lt;wsp:rsid wsp:val=&quot;005E4D85&quot;/&gt;&lt;wsp:rsid wsp:val=&quot;005E53B6&quot;/&gt;&lt;wsp:rsid wsp:val=&quot;005E54B5&quot;/&gt;&lt;wsp:rsid wsp:val=&quot;005E567D&quot;/&gt;&lt;wsp:rsid wsp:val=&quot;005E68B1&quot;/&gt;&lt;wsp:rsid wsp:val=&quot;005E7FFA&quot;/&gt;&lt;wsp:rsid wsp:val=&quot;005F00AF&quot;/&gt;&lt;wsp:rsid wsp:val=&quot;005F02B7&quot;/&gt;&lt;wsp:rsid wsp:val=&quot;005F0639&quot;/&gt;&lt;wsp:rsid wsp:val=&quot;005F09DD&quot;/&gt;&lt;wsp:rsid wsp:val=&quot;005F1345&quot;/&gt;&lt;wsp:rsid wsp:val=&quot;005F139D&quot;/&gt;&lt;wsp:rsid wsp:val=&quot;005F2AF6&quot;/&gt;&lt;wsp:rsid wsp:val=&quot;005F4ECE&quot;/&gt;&lt;wsp:rsid wsp:val=&quot;005F5E4D&quot;/&gt;&lt;wsp:rsid wsp:val=&quot;005F5F9C&quot;/&gt;&lt;wsp:rsid wsp:val=&quot;005F60D2&quot;/&gt;&lt;wsp:rsid wsp:val=&quot;005F6AC1&quot;/&gt;&lt;wsp:rsid wsp:val=&quot;005F739C&quot;/&gt;&lt;wsp:rsid wsp:val=&quot;005F7967&quot;/&gt;&lt;wsp:rsid wsp:val=&quot;006012DD&quot;/&gt;&lt;wsp:rsid wsp:val=&quot;00601800&quot;/&gt;&lt;wsp:rsid wsp:val=&quot;00602044&quot;/&gt;&lt;wsp:rsid wsp:val=&quot;00602A8B&quot;/&gt;&lt;wsp:rsid wsp:val=&quot;00602C67&quot;/&gt;&lt;wsp:rsid wsp:val=&quot;0060344B&quot;/&gt;&lt;wsp:rsid wsp:val=&quot;006046A9&quot;/&gt;&lt;wsp:rsid wsp:val=&quot;006047EC&quot;/&gt;&lt;wsp:rsid wsp:val=&quot;0060488A&quot;/&gt;&lt;wsp:rsid wsp:val=&quot;00604A99&quot;/&gt;&lt;wsp:rsid wsp:val=&quot;00605DCD&quot;/&gt;&lt;wsp:rsid wsp:val=&quot;00606697&quot;/&gt;&lt;wsp:rsid wsp:val=&quot;0060797C&quot;/&gt;&lt;wsp:rsid wsp:val=&quot;00610AEC&quot;/&gt;&lt;wsp:rsid wsp:val=&quot;006113F4&quot;/&gt;&lt;wsp:rsid wsp:val=&quot;006133E1&quot;/&gt;&lt;wsp:rsid wsp:val=&quot;00613BC5&quot;/&gt;&lt;wsp:rsid wsp:val=&quot;00613BD6&quot;/&gt;&lt;wsp:rsid wsp:val=&quot;00613BF9&quot;/&gt;&lt;wsp:rsid wsp:val=&quot;00614D68&quot;/&gt;&lt;wsp:rsid wsp:val=&quot;00614F0E&quot;/&gt;&lt;wsp:rsid wsp:val=&quot;00615C71&quot;/&gt;&lt;wsp:rsid wsp:val=&quot;00615E3E&quot;/&gt;&lt;wsp:rsid wsp:val=&quot;006163EF&quot;/&gt;&lt;wsp:rsid wsp:val=&quot;00616865&quot;/&gt;&lt;wsp:rsid wsp:val=&quot;00617059&quot;/&gt;&lt;wsp:rsid wsp:val=&quot;00617791&quot;/&gt;&lt;wsp:rsid wsp:val=&quot;006204C8&quot;/&gt;&lt;wsp:rsid wsp:val=&quot;00620E74&quot;/&gt;&lt;wsp:rsid wsp:val=&quot;00620FED&quot;/&gt;&lt;wsp:rsid wsp:val=&quot;006221DE&quot;/&gt;&lt;wsp:rsid wsp:val=&quot;006226F5&quot;/&gt;&lt;wsp:rsid wsp:val=&quot;006229F8&quot;/&gt;&lt;wsp:rsid wsp:val=&quot;00622D88&quot;/&gt;&lt;wsp:rsid wsp:val=&quot;006232C9&quot;/&gt;&lt;wsp:rsid wsp:val=&quot;0062362F&quot;/&gt;&lt;wsp:rsid wsp:val=&quot;006239EB&quot;/&gt;&lt;wsp:rsid wsp:val=&quot;00624655&quot;/&gt;&lt;wsp:rsid wsp:val=&quot;00624A52&quot;/&gt;&lt;wsp:rsid wsp:val=&quot;0062534E&quot;/&gt;&lt;wsp:rsid wsp:val=&quot;006256ED&quot;/&gt;&lt;wsp:rsid wsp:val=&quot;0062647C&quot;/&gt;&lt;wsp:rsid wsp:val=&quot;0063135E&quot;/&gt;&lt;wsp:rsid wsp:val=&quot;0063199F&quot;/&gt;&lt;wsp:rsid wsp:val=&quot;00631F37&quot;/&gt;&lt;wsp:rsid wsp:val=&quot;006320AD&quot;/&gt;&lt;wsp:rsid wsp:val=&quot;006320DE&quot;/&gt;&lt;wsp:rsid wsp:val=&quot;006328EF&quot;/&gt;&lt;wsp:rsid wsp:val=&quot;00632CB4&quot;/&gt;&lt;wsp:rsid wsp:val=&quot;00632D8E&quot;/&gt;&lt;wsp:rsid wsp:val=&quot;006345A3&quot;/&gt;&lt;wsp:rsid wsp:val=&quot;00634DC5&quot;/&gt;&lt;wsp:rsid wsp:val=&quot;00635734&quot;/&gt;&lt;wsp:rsid wsp:val=&quot;00635AEB&quot;/&gt;&lt;wsp:rsid wsp:val=&quot;00635BB6&quot;/&gt;&lt;wsp:rsid wsp:val=&quot;00635C2D&quot;/&gt;&lt;wsp:rsid wsp:val=&quot;00636ACC&quot;/&gt;&lt;wsp:rsid wsp:val=&quot;00636B56&quot;/&gt;&lt;wsp:rsid wsp:val=&quot;00637702&quot;/&gt;&lt;wsp:rsid wsp:val=&quot;00637A24&quot;/&gt;&lt;wsp:rsid wsp:val=&quot;00637FAA&quot;/&gt;&lt;wsp:rsid wsp:val=&quot;0064062D&quot;/&gt;&lt;wsp:rsid wsp:val=&quot;006418C4&quot;/&gt;&lt;wsp:rsid wsp:val=&quot;00643A7A&quot;/&gt;&lt;wsp:rsid wsp:val=&quot;00644ACE&quot;/&gt;&lt;wsp:rsid wsp:val=&quot;006453E9&quot;/&gt;&lt;wsp:rsid wsp:val=&quot;006466DF&quot;/&gt;&lt;wsp:rsid wsp:val=&quot;0064684D&quot;/&gt;&lt;wsp:rsid wsp:val=&quot;00646A5D&quot;/&gt;&lt;wsp:rsid wsp:val=&quot;006477D4&quot;/&gt;&lt;wsp:rsid wsp:val=&quot;0065069F&quot;/&gt;&lt;wsp:rsid wsp:val=&quot;00650B82&quot;/&gt;&lt;wsp:rsid wsp:val=&quot;00651654&quot;/&gt;&lt;wsp:rsid wsp:val=&quot;00651900&quot;/&gt;&lt;wsp:rsid wsp:val=&quot;00651D18&quot;/&gt;&lt;wsp:rsid wsp:val=&quot;00651F26&quot;/&gt;&lt;wsp:rsid wsp:val=&quot;00652E1F&quot;/&gt;&lt;wsp:rsid wsp:val=&quot;00652F58&quot;/&gt;&lt;wsp:rsid wsp:val=&quot;0065333B&quot;/&gt;&lt;wsp:rsid wsp:val=&quot;006537EE&quot;/&gt;&lt;wsp:rsid wsp:val=&quot;0065398D&quot;/&gt;&lt;wsp:rsid wsp:val=&quot;00653E88&quot;/&gt;&lt;wsp:rsid wsp:val=&quot;00654859&quot;/&gt;&lt;wsp:rsid wsp:val=&quot;00654CE8&quot;/&gt;&lt;wsp:rsid wsp:val=&quot;00656354&quot;/&gt;&lt;wsp:rsid wsp:val=&quot;00656473&quot;/&gt;&lt;wsp:rsid wsp:val=&quot;00660A0E&quot;/&gt;&lt;wsp:rsid wsp:val=&quot;006610B7&quot;/&gt;&lt;wsp:rsid wsp:val=&quot;0066168B&quot;/&gt;&lt;wsp:rsid wsp:val=&quot;00661776&quot;/&gt;&lt;wsp:rsid wsp:val=&quot;00661C46&quot;/&gt;&lt;wsp:rsid wsp:val=&quot;00662757&quot;/&gt;&lt;wsp:rsid wsp:val=&quot;006633B2&quot;/&gt;&lt;wsp:rsid wsp:val=&quot;00663555&quot;/&gt;&lt;wsp:rsid wsp:val=&quot;00663B36&quot;/&gt;&lt;wsp:rsid wsp:val=&quot;00665022&quot;/&gt;&lt;wsp:rsid wsp:val=&quot;006651C2&quot;/&gt;&lt;wsp:rsid wsp:val=&quot;006656D2&quot;/&gt;&lt;wsp:rsid wsp:val=&quot;00665AD5&quot;/&gt;&lt;wsp:rsid wsp:val=&quot;006661A5&quot;/&gt;&lt;wsp:rsid wsp:val=&quot;00667299&quot;/&gt;&lt;wsp:rsid wsp:val=&quot;00667971&quot;/&gt;&lt;wsp:rsid wsp:val=&quot;00670FC0&quot;/&gt;&lt;wsp:rsid wsp:val=&quot;006717E5&quot;/&gt;&lt;wsp:rsid wsp:val=&quot;00671AA8&quot;/&gt;&lt;wsp:rsid wsp:val=&quot;00671AE1&quot;/&gt;&lt;wsp:rsid wsp:val=&quot;00671B6E&quot;/&gt;&lt;wsp:rsid wsp:val=&quot;00672909&quot;/&gt;&lt;wsp:rsid wsp:val=&quot;00673F39&quot;/&gt;&lt;wsp:rsid wsp:val=&quot;00673F6F&quot;/&gt;&lt;wsp:rsid wsp:val=&quot;0067436C&quot;/&gt;&lt;wsp:rsid wsp:val=&quot;006743CD&quot;/&gt;&lt;wsp:rsid wsp:val=&quot;00674AE4&quot;/&gt;&lt;wsp:rsid wsp:val=&quot;00674E2D&quot;/&gt;&lt;wsp:rsid wsp:val=&quot;0067563D&quot;/&gt;&lt;wsp:rsid wsp:val=&quot;006761E2&quot;/&gt;&lt;wsp:rsid wsp:val=&quot;006766A0&quot;/&gt;&lt;wsp:rsid wsp:val=&quot;00676E61&quot;/&gt;&lt;wsp:rsid wsp:val=&quot;00677591&quot;/&gt;&lt;wsp:rsid wsp:val=&quot;00677686&quot;/&gt;&lt;wsp:rsid wsp:val=&quot;00680F82&quot;/&gt;&lt;wsp:rsid wsp:val=&quot;00681573&quot;/&gt;&lt;wsp:rsid wsp:val=&quot;00681791&quot;/&gt;&lt;wsp:rsid wsp:val=&quot;0068278C&quot;/&gt;&lt;wsp:rsid wsp:val=&quot;0068335F&quot;/&gt;&lt;wsp:rsid wsp:val=&quot;006833BE&quot;/&gt;&lt;wsp:rsid wsp:val=&quot;006837B6&quot;/&gt;&lt;wsp:rsid wsp:val=&quot;00684638&quot;/&gt;&lt;wsp:rsid wsp:val=&quot;00684F85&quot;/&gt;&lt;wsp:rsid wsp:val=&quot;00685A90&quot;/&gt;&lt;wsp:rsid wsp:val=&quot;00686F91&quot;/&gt;&lt;wsp:rsid wsp:val=&quot;006875D6&quot;/&gt;&lt;wsp:rsid wsp:val=&quot;006878AA&quot;/&gt;&lt;wsp:rsid wsp:val=&quot;00687D1F&quot;/&gt;&lt;wsp:rsid wsp:val=&quot;0069070B&quot;/&gt;&lt;wsp:rsid wsp:val=&quot;00692F51&quot;/&gt;&lt;wsp:rsid wsp:val=&quot;006930F5&quot;/&gt;&lt;wsp:rsid wsp:val=&quot;00693918&quot;/&gt;&lt;wsp:rsid wsp:val=&quot;006950D2&quot;/&gt;&lt;wsp:rsid wsp:val=&quot;006959E0&quot;/&gt;&lt;wsp:rsid wsp:val=&quot;00695ACB&quot;/&gt;&lt;wsp:rsid wsp:val=&quot;00695CEB&quot;/&gt;&lt;wsp:rsid wsp:val=&quot;00696290&quot;/&gt;&lt;wsp:rsid wsp:val=&quot;00697FFA&quot;/&gt;&lt;wsp:rsid wsp:val=&quot;006A0B5D&quot;/&gt;&lt;wsp:rsid wsp:val=&quot;006A1B04&quot;/&gt;&lt;wsp:rsid wsp:val=&quot;006A320A&quot;/&gt;&lt;wsp:rsid wsp:val=&quot;006A367A&quot;/&gt;&lt;wsp:rsid wsp:val=&quot;006A666F&quot;/&gt;&lt;wsp:rsid wsp:val=&quot;006A6814&quot;/&gt;&lt;wsp:rsid wsp:val=&quot;006A6907&quot;/&gt;&lt;wsp:rsid wsp:val=&quot;006A6C8A&quot;/&gt;&lt;wsp:rsid wsp:val=&quot;006A7720&quot;/&gt;&lt;wsp:rsid wsp:val=&quot;006A79AA&quot;/&gt;&lt;wsp:rsid wsp:val=&quot;006B0235&quot;/&gt;&lt;wsp:rsid wsp:val=&quot;006B0EFA&quot;/&gt;&lt;wsp:rsid wsp:val=&quot;006B2793&quot;/&gt;&lt;wsp:rsid wsp:val=&quot;006B2F88&quot;/&gt;&lt;wsp:rsid wsp:val=&quot;006B30AC&quot;/&gt;&lt;wsp:rsid wsp:val=&quot;006B4407&quot;/&gt;&lt;wsp:rsid wsp:val=&quot;006B54DE&quot;/&gt;&lt;wsp:rsid wsp:val=&quot;006B6CBA&quot;/&gt;&lt;wsp:rsid wsp:val=&quot;006B70F5&quot;/&gt;&lt;wsp:rsid wsp:val=&quot;006C1530&quot;/&gt;&lt;wsp:rsid wsp:val=&quot;006C17DB&quot;/&gt;&lt;wsp:rsid wsp:val=&quot;006C35C8&quot;/&gt;&lt;wsp:rsid wsp:val=&quot;006C4897&quot;/&gt;&lt;wsp:rsid wsp:val=&quot;006C4E73&quot;/&gt;&lt;wsp:rsid wsp:val=&quot;006C5979&quot;/&gt;&lt;wsp:rsid wsp:val=&quot;006C5E16&quot;/&gt;&lt;wsp:rsid wsp:val=&quot;006C62EE&quot;/&gt;&lt;wsp:rsid wsp:val=&quot;006C63D3&quot;/&gt;&lt;wsp:rsid wsp:val=&quot;006C74E6&quot;/&gt;&lt;wsp:rsid wsp:val=&quot;006D015A&quot;/&gt;&lt;wsp:rsid wsp:val=&quot;006D22BA&quot;/&gt;&lt;wsp:rsid wsp:val=&quot;006D3705&quot;/&gt;&lt;wsp:rsid wsp:val=&quot;006D3EF6&quot;/&gt;&lt;wsp:rsid wsp:val=&quot;006D42D0&quot;/&gt;&lt;wsp:rsid wsp:val=&quot;006D455C&quot;/&gt;&lt;wsp:rsid wsp:val=&quot;006D4DBB&quot;/&gt;&lt;wsp:rsid wsp:val=&quot;006D5440&quot;/&gt;&lt;wsp:rsid wsp:val=&quot;006D54BC&quot;/&gt;&lt;wsp:rsid wsp:val=&quot;006D56BA&quot;/&gt;&lt;wsp:rsid wsp:val=&quot;006D56F1&quot;/&gt;&lt;wsp:rsid wsp:val=&quot;006D5C73&quot;/&gt;&lt;wsp:rsid wsp:val=&quot;006D5FE5&quot;/&gt;&lt;wsp:rsid wsp:val=&quot;006D742F&quot;/&gt;&lt;wsp:rsid wsp:val=&quot;006D7DF4&quot;/&gt;&lt;wsp:rsid wsp:val=&quot;006E0FC8&quot;/&gt;&lt;wsp:rsid wsp:val=&quot;006E11F6&quot;/&gt;&lt;wsp:rsid wsp:val=&quot;006E1D8D&quot;/&gt;&lt;wsp:rsid wsp:val=&quot;006E2444&quot;/&gt;&lt;wsp:rsid wsp:val=&quot;006E25BD&quot;/&gt;&lt;wsp:rsid wsp:val=&quot;006E284A&quot;/&gt;&lt;wsp:rsid wsp:val=&quot;006E2B78&quot;/&gt;&lt;wsp:rsid wsp:val=&quot;006E449F&quot;/&gt;&lt;wsp:rsid wsp:val=&quot;006E6813&quot;/&gt;&lt;wsp:rsid wsp:val=&quot;006E6A5E&quot;/&gt;&lt;wsp:rsid wsp:val=&quot;006E6D74&quot;/&gt;&lt;wsp:rsid wsp:val=&quot;006E760C&quot;/&gt;&lt;wsp:rsid wsp:val=&quot;006E76D2&quot;/&gt;&lt;wsp:rsid wsp:val=&quot;006F045A&quot;/&gt;&lt;wsp:rsid wsp:val=&quot;006F09BF&quot;/&gt;&lt;wsp:rsid wsp:val=&quot;006F14A4&quot;/&gt;&lt;wsp:rsid wsp:val=&quot;006F2388&quot;/&gt;&lt;wsp:rsid wsp:val=&quot;006F33D8&quot;/&gt;&lt;wsp:rsid wsp:val=&quot;006F3F12&quot;/&gt;&lt;wsp:rsid wsp:val=&quot;006F4C83&quot;/&gt;&lt;wsp:rsid wsp:val=&quot;006F518D&quot;/&gt;&lt;wsp:rsid wsp:val=&quot;006F52A4&quot;/&gt;&lt;wsp:rsid wsp:val=&quot;006F55BE&quot;/&gt;&lt;wsp:rsid wsp:val=&quot;006F582A&quot;/&gt;&lt;wsp:rsid wsp:val=&quot;006F5A56&quot;/&gt;&lt;wsp:rsid wsp:val=&quot;006F6D91&quot;/&gt;&lt;wsp:rsid wsp:val=&quot;006F77E8&quot;/&gt;&lt;wsp:rsid wsp:val=&quot;006F7D40&quot;/&gt;&lt;wsp:rsid wsp:val=&quot;0070048A&quot;/&gt;&lt;wsp:rsid wsp:val=&quot;007008BC&quot;/&gt;&lt;wsp:rsid wsp:val=&quot;00700C0C&quot;/&gt;&lt;wsp:rsid wsp:val=&quot;007015FC&quot;/&gt;&lt;wsp:rsid wsp:val=&quot;007028EB&quot;/&gt;&lt;wsp:rsid wsp:val=&quot;00702A88&quot;/&gt;&lt;wsp:rsid wsp:val=&quot;0070386A&quot;/&gt;&lt;wsp:rsid wsp:val=&quot;0070386C&quot;/&gt;&lt;wsp:rsid wsp:val=&quot;00703BF8&quot;/&gt;&lt;wsp:rsid wsp:val=&quot;00703EBC&quot;/&gt;&lt;wsp:rsid wsp:val=&quot;007040FA&quot;/&gt;&lt;wsp:rsid wsp:val=&quot;00706502&quot;/&gt;&lt;wsp:rsid wsp:val=&quot;007067AA&quot;/&gt;&lt;wsp:rsid wsp:val=&quot;00706975&quot;/&gt;&lt;wsp:rsid wsp:val=&quot;00707766&quot;/&gt;&lt;wsp:rsid wsp:val=&quot;00707B02&quot;/&gt;&lt;wsp:rsid wsp:val=&quot;007101BB&quot;/&gt;&lt;wsp:rsid wsp:val=&quot;00710561&quot;/&gt;&lt;wsp:rsid wsp:val=&quot;007107A6&quot;/&gt;&lt;wsp:rsid wsp:val=&quot;00710947&quot;/&gt;&lt;wsp:rsid wsp:val=&quot;007125AA&quot;/&gt;&lt;wsp:rsid wsp:val=&quot;00712F09&quot;/&gt;&lt;wsp:rsid wsp:val=&quot;00713704&quot;/&gt;&lt;wsp:rsid wsp:val=&quot;00713D99&quot;/&gt;&lt;wsp:rsid wsp:val=&quot;00714386&quot;/&gt;&lt;wsp:rsid wsp:val=&quot;007145BB&quot;/&gt;&lt;wsp:rsid wsp:val=&quot;00714E4C&quot;/&gt;&lt;wsp:rsid wsp:val=&quot;00715191&quot;/&gt;&lt;wsp:rsid wsp:val=&quot;007167D3&quot;/&gt;&lt;wsp:rsid wsp:val=&quot;007169D3&quot;/&gt;&lt;wsp:rsid wsp:val=&quot;007172BF&quot;/&gt;&lt;wsp:rsid wsp:val=&quot;00717529&quot;/&gt;&lt;wsp:rsid wsp:val=&quot;00717FC7&quot;/&gt;&lt;wsp:rsid wsp:val=&quot;00720242&quot;/&gt;&lt;wsp:rsid wsp:val=&quot;00721C16&quot;/&gt;&lt;wsp:rsid wsp:val=&quot;00721CDF&quot;/&gt;&lt;wsp:rsid wsp:val=&quot;00722172&quot;/&gt;&lt;wsp:rsid wsp:val=&quot;00722F29&quot;/&gt;&lt;wsp:rsid wsp:val=&quot;0072307C&quot;/&gt;&lt;wsp:rsid wsp:val=&quot;0072388E&quot;/&gt;&lt;wsp:rsid wsp:val=&quot;00723A4B&quot;/&gt;&lt;wsp:rsid wsp:val=&quot;00725B0D&quot;/&gt;&lt;wsp:rsid wsp:val=&quot;007264BA&quot;/&gt;&lt;wsp:rsid wsp:val=&quot;0072658D&quot;/&gt;&lt;wsp:rsid wsp:val=&quot;00726E33&quot;/&gt;&lt;wsp:rsid wsp:val=&quot;00726FAB&quot;/&gt;&lt;wsp:rsid wsp:val=&quot;00727764&quot;/&gt;&lt;wsp:rsid wsp:val=&quot;007279B7&quot;/&gt;&lt;wsp:rsid wsp:val=&quot;00731C95&quot;/&gt;&lt;wsp:rsid wsp:val=&quot;00732031&quot;/&gt;&lt;wsp:rsid wsp:val=&quot;00732345&quot;/&gt;&lt;wsp:rsid wsp:val=&quot;00732566&quot;/&gt;&lt;wsp:rsid wsp:val=&quot;00733FEA&quot;/&gt;&lt;wsp:rsid wsp:val=&quot;00734A6C&quot;/&gt;&lt;wsp:rsid wsp:val=&quot;007355E1&quot;/&gt;&lt;wsp:rsid wsp:val=&quot;00735C77&quot;/&gt;&lt;wsp:rsid wsp:val=&quot;00736093&quot;/&gt;&lt;wsp:rsid wsp:val=&quot;00736129&quot;/&gt;&lt;wsp:rsid wsp:val=&quot;007364BE&quot;/&gt;&lt;wsp:rsid wsp:val=&quot;0073696E&quot;/&gt;&lt;wsp:rsid wsp:val=&quot;00736997&quot;/&gt;&lt;wsp:rsid wsp:val=&quot;007378DD&quot;/&gt;&lt;wsp:rsid wsp:val=&quot;007402FB&quot;/&gt;&lt;wsp:rsid wsp:val=&quot;00740FAB&quot;/&gt;&lt;wsp:rsid wsp:val=&quot;00741229&quot;/&gt;&lt;wsp:rsid wsp:val=&quot;007415DF&quot;/&gt;&lt;wsp:rsid wsp:val=&quot;00742C54&quot;/&gt;&lt;wsp:rsid wsp:val=&quot;00743C57&quot;/&gt;&lt;wsp:rsid wsp:val=&quot;00743CB0&quot;/&gt;&lt;wsp:rsid wsp:val=&quot;00744B7A&quot;/&gt;&lt;wsp:rsid wsp:val=&quot;007458F5&quot;/&gt;&lt;wsp:rsid wsp:val=&quot;00745C5F&quot;/&gt;&lt;wsp:rsid wsp:val=&quot;00745CC5&quot;/&gt;&lt;wsp:rsid wsp:val=&quot;00745F92&quot;/&gt;&lt;wsp:rsid wsp:val=&quot;0074670C&quot;/&gt;&lt;wsp:rsid wsp:val=&quot;00747A45&quot;/&gt;&lt;wsp:rsid wsp:val=&quot;00747C3A&quot;/&gt;&lt;wsp:rsid wsp:val=&quot;00747F73&quot;/&gt;&lt;wsp:rsid wsp:val=&quot;007500EE&quot;/&gt;&lt;wsp:rsid wsp:val=&quot;007501C5&quot;/&gt;&lt;wsp:rsid wsp:val=&quot;00750209&quot;/&gt;&lt;wsp:rsid wsp:val=&quot;00750301&quot;/&gt;&lt;wsp:rsid wsp:val=&quot;00750AE6&quot;/&gt;&lt;wsp:rsid wsp:val=&quot;00750E35&quot;/&gt;&lt;wsp:rsid wsp:val=&quot;00751541&quot;/&gt;&lt;wsp:rsid wsp:val=&quot;00751F08&quot;/&gt;&lt;wsp:rsid wsp:val=&quot;0075209D&quot;/&gt;&lt;wsp:rsid wsp:val=&quot;007529E9&quot;/&gt;&lt;wsp:rsid wsp:val=&quot;007530B7&quot;/&gt;&lt;wsp:rsid wsp:val=&quot;00753265&quot;/&gt;&lt;wsp:rsid wsp:val=&quot;0075362B&quot;/&gt;&lt;wsp:rsid wsp:val=&quot;00753A44&quot;/&gt;&lt;wsp:rsid wsp:val=&quot;00754000&quot;/&gt;&lt;wsp:rsid wsp:val=&quot;00754785&quot;/&gt;&lt;wsp:rsid wsp:val=&quot;00755049&quot;/&gt;&lt;wsp:rsid wsp:val=&quot;007557ED&quot;/&gt;&lt;wsp:rsid wsp:val=&quot;00755DAA&quot;/&gt;&lt;wsp:rsid wsp:val=&quot;007568FC&quot;/&gt;&lt;wsp:rsid wsp:val=&quot;00756C08&quot;/&gt;&lt;wsp:rsid wsp:val=&quot;007574B8&quot;/&gt;&lt;wsp:rsid wsp:val=&quot;00757534&quot;/&gt;&lt;wsp:rsid wsp:val=&quot;007579C2&quot;/&gt;&lt;wsp:rsid wsp:val=&quot;00760331&quot;/&gt;&lt;wsp:rsid wsp:val=&quot;00760A2C&quot;/&gt;&lt;wsp:rsid wsp:val=&quot;00760D98&quot;/&gt;&lt;wsp:rsid wsp:val=&quot;007611C4&quot;/&gt;&lt;wsp:rsid wsp:val=&quot;00761C83&quot;/&gt;&lt;wsp:rsid wsp:val=&quot;00761F01&quot;/&gt;&lt;wsp:rsid wsp:val=&quot;0076380B&quot;/&gt;&lt;wsp:rsid wsp:val=&quot;00763AF9&quot;/&gt;&lt;wsp:rsid wsp:val=&quot;00764BF2&quot;/&gt;&lt;wsp:rsid wsp:val=&quot;0076534A&quot;/&gt;&lt;wsp:rsid wsp:val=&quot;007658E5&quot;/&gt;&lt;wsp:rsid wsp:val=&quot;00765C50&quot;/&gt;&lt;wsp:rsid wsp:val=&quot;007662A6&quot;/&gt;&lt;wsp:rsid wsp:val=&quot;0076662F&quot;/&gt;&lt;wsp:rsid wsp:val=&quot;007669B7&quot;/&gt;&lt;wsp:rsid wsp:val=&quot;00766E78&quot;/&gt;&lt;wsp:rsid wsp:val=&quot;00766FF3&quot;/&gt;&lt;wsp:rsid wsp:val=&quot;0076725C&quot;/&gt;&lt;wsp:rsid wsp:val=&quot;007675C3&quot;/&gt;&lt;wsp:rsid wsp:val=&quot;00770367&quot;/&gt;&lt;wsp:rsid wsp:val=&quot;00770645&quot;/&gt;&lt;wsp:rsid wsp:val=&quot;0077077C&quot;/&gt;&lt;wsp:rsid wsp:val=&quot;00770A11&quot;/&gt;&lt;wsp:rsid wsp:val=&quot;00770D98&quot;/&gt;&lt;wsp:rsid wsp:val=&quot;00771D62&quot;/&gt;&lt;wsp:rsid wsp:val=&quot;0077216B&quot;/&gt;&lt;wsp:rsid wsp:val=&quot;00772F2C&quot;/&gt;&lt;wsp:rsid wsp:val=&quot;0077354F&quot;/&gt;&lt;wsp:rsid wsp:val=&quot;00773669&quot;/&gt;&lt;wsp:rsid wsp:val=&quot;007737BA&quot;/&gt;&lt;wsp:rsid wsp:val=&quot;00774A0F&quot;/&gt;&lt;wsp:rsid wsp:val=&quot;007750B3&quot;/&gt;&lt;wsp:rsid wsp:val=&quot;007760A4&quot;/&gt;&lt;wsp:rsid wsp:val=&quot;007760A8&quot;/&gt;&lt;wsp:rsid wsp:val=&quot;0077683E&quot;/&gt;&lt;wsp:rsid wsp:val=&quot;007771AC&quot;/&gt;&lt;wsp:rsid wsp:val=&quot;007804F1&quot;/&gt;&lt;wsp:rsid wsp:val=&quot;00780BED&quot;/&gt;&lt;wsp:rsid wsp:val=&quot;00780DDC&quot;/&gt;&lt;wsp:rsid wsp:val=&quot;0078115A&quot;/&gt;&lt;wsp:rsid wsp:val=&quot;0078151C&quot;/&gt;&lt;wsp:rsid wsp:val=&quot;007819E9&quot;/&gt;&lt;wsp:rsid wsp:val=&quot;007826D7&quot;/&gt;&lt;wsp:rsid wsp:val=&quot;00782D31&quot;/&gt;&lt;wsp:rsid wsp:val=&quot;007850B3&quot;/&gt;&lt;wsp:rsid wsp:val=&quot;00785F7B&quot;/&gt;&lt;wsp:rsid wsp:val=&quot;007860BF&quot;/&gt;&lt;wsp:rsid wsp:val=&quot;00786CA0&quot;/&gt;&lt;wsp:rsid wsp:val=&quot;00786E4B&quot;/&gt;&lt;wsp:rsid wsp:val=&quot;00787B85&quot;/&gt;&lt;wsp:rsid wsp:val=&quot;00787DA5&quot;/&gt;&lt;wsp:rsid wsp:val=&quot;00790481&quot;/&gt;&lt;wsp:rsid wsp:val=&quot;0079058E&quot;/&gt;&lt;wsp:rsid wsp:val=&quot;007908AC&quot;/&gt;&lt;wsp:rsid wsp:val=&quot;00790FB2&quot;/&gt;&lt;wsp:rsid wsp:val=&quot;00790FD1&quot;/&gt;&lt;wsp:rsid wsp:val=&quot;00792DD0&quot;/&gt;&lt;wsp:rsid wsp:val=&quot;00793196&quot;/&gt;&lt;wsp:rsid wsp:val=&quot;007936D4&quot;/&gt;&lt;wsp:rsid wsp:val=&quot;00793C08&quot;/&gt;&lt;wsp:rsid wsp:val=&quot;00794266&quot;/&gt;&lt;wsp:rsid wsp:val=&quot;00794655&quot;/&gt;&lt;wsp:rsid wsp:val=&quot;00794799&quot;/&gt;&lt;wsp:rsid wsp:val=&quot;007964AC&quot;/&gt;&lt;wsp:rsid wsp:val=&quot;00796A69&quot;/&gt;&lt;wsp:rsid wsp:val=&quot;007976CF&quot;/&gt;&lt;wsp:rsid wsp:val=&quot;007A0A5E&quot;/&gt;&lt;wsp:rsid wsp:val=&quot;007A16E2&quot;/&gt;&lt;wsp:rsid wsp:val=&quot;007A180E&quot;/&gt;&lt;wsp:rsid wsp:val=&quot;007A1B63&quot;/&gt;&lt;wsp:rsid wsp:val=&quot;007A1C0B&quot;/&gt;&lt;wsp:rsid wsp:val=&quot;007A26E9&quot;/&gt;&lt;wsp:rsid wsp:val=&quot;007A33CA&quot;/&gt;&lt;wsp:rsid wsp:val=&quot;007A3578&quot;/&gt;&lt;wsp:rsid wsp:val=&quot;007A3B3A&quot;/&gt;&lt;wsp:rsid wsp:val=&quot;007A45AE&quot;/&gt;&lt;wsp:rsid wsp:val=&quot;007A4945&quot;/&gt;&lt;wsp:rsid wsp:val=&quot;007A4A68&quot;/&gt;&lt;wsp:rsid wsp:val=&quot;007A5461&quot;/&gt;&lt;wsp:rsid wsp:val=&quot;007A573C&quot;/&gt;&lt;wsp:rsid wsp:val=&quot;007A5D2E&quot;/&gt;&lt;wsp:rsid wsp:val=&quot;007A5D48&quot;/&gt;&lt;wsp:rsid wsp:val=&quot;007A63F4&quot;/&gt;&lt;wsp:rsid wsp:val=&quot;007A658C&quot;/&gt;&lt;wsp:rsid wsp:val=&quot;007A71B9&quot;/&gt;&lt;wsp:rsid wsp:val=&quot;007B01D0&quot;/&gt;&lt;wsp:rsid wsp:val=&quot;007B08D2&quot;/&gt;&lt;wsp:rsid wsp:val=&quot;007B0A8F&quot;/&gt;&lt;wsp:rsid wsp:val=&quot;007B0B99&quot;/&gt;&lt;wsp:rsid wsp:val=&quot;007B0C22&quot;/&gt;&lt;wsp:rsid wsp:val=&quot;007B24EB&quot;/&gt;&lt;wsp:rsid wsp:val=&quot;007B277B&quot;/&gt;&lt;wsp:rsid wsp:val=&quot;007B3290&quot;/&gt;&lt;wsp:rsid wsp:val=&quot;007B3403&quot;/&gt;&lt;wsp:rsid wsp:val=&quot;007B3C51&quot;/&gt;&lt;wsp:rsid wsp:val=&quot;007B3E5D&quot;/&gt;&lt;wsp:rsid wsp:val=&quot;007B40D0&quot;/&gt;&lt;wsp:rsid wsp:val=&quot;007B5211&quot;/&gt;&lt;wsp:rsid wsp:val=&quot;007B5BDB&quot;/&gt;&lt;wsp:rsid wsp:val=&quot;007B5C65&quot;/&gt;&lt;wsp:rsid wsp:val=&quot;007B5F6B&quot;/&gt;&lt;wsp:rsid wsp:val=&quot;007B68D4&quot;/&gt;&lt;wsp:rsid wsp:val=&quot;007B77FA&quot;/&gt;&lt;wsp:rsid wsp:val=&quot;007B7B3B&quot;/&gt;&lt;wsp:rsid wsp:val=&quot;007B7B4E&quot;/&gt;&lt;wsp:rsid wsp:val=&quot;007B7D40&quot;/&gt;&lt;wsp:rsid wsp:val=&quot;007B7DAA&quot;/&gt;&lt;wsp:rsid wsp:val=&quot;007C0325&quot;/&gt;&lt;wsp:rsid wsp:val=&quot;007C0A63&quot;/&gt;&lt;wsp:rsid wsp:val=&quot;007C1109&quot;/&gt;&lt;wsp:rsid wsp:val=&quot;007C18E2&quot;/&gt;&lt;wsp:rsid wsp:val=&quot;007C2156&quot;/&gt;&lt;wsp:rsid wsp:val=&quot;007C28A7&quot;/&gt;&lt;wsp:rsid wsp:val=&quot;007C28BC&quot;/&gt;&lt;wsp:rsid wsp:val=&quot;007C35BC&quot;/&gt;&lt;wsp:rsid wsp:val=&quot;007C45D2&quot;/&gt;&lt;wsp:rsid wsp:val=&quot;007C4CAC&quot;/&gt;&lt;wsp:rsid wsp:val=&quot;007C4E83&quot;/&gt;&lt;wsp:rsid wsp:val=&quot;007C71CA&quot;/&gt;&lt;wsp:rsid wsp:val=&quot;007D0041&quot;/&gt;&lt;wsp:rsid wsp:val=&quot;007D04C2&quot;/&gt;&lt;wsp:rsid wsp:val=&quot;007D1073&quot;/&gt;&lt;wsp:rsid wsp:val=&quot;007D1710&quot;/&gt;&lt;wsp:rsid wsp:val=&quot;007D2D2D&quot;/&gt;&lt;wsp:rsid wsp:val=&quot;007D35F0&quot;/&gt;&lt;wsp:rsid wsp:val=&quot;007D43C6&quot;/&gt;&lt;wsp:rsid wsp:val=&quot;007D4403&quot;/&gt;&lt;wsp:rsid wsp:val=&quot;007D47FB&quot;/&gt;&lt;wsp:rsid wsp:val=&quot;007D4936&quot;/&gt;&lt;wsp:rsid wsp:val=&quot;007D4AD6&quot;/&gt;&lt;wsp:rsid wsp:val=&quot;007D51B1&quot;/&gt;&lt;wsp:rsid wsp:val=&quot;007D57B7&quot;/&gt;&lt;wsp:rsid wsp:val=&quot;007D5BC4&quot;/&gt;&lt;wsp:rsid wsp:val=&quot;007D62E8&quot;/&gt;&lt;wsp:rsid wsp:val=&quot;007D6DD3&quot;/&gt;&lt;wsp:rsid wsp:val=&quot;007E040F&quot;/&gt;&lt;wsp:rsid wsp:val=&quot;007E066E&quot;/&gt;&lt;wsp:rsid wsp:val=&quot;007E08D6&quot;/&gt;&lt;wsp:rsid wsp:val=&quot;007E0B27&quot;/&gt;&lt;wsp:rsid wsp:val=&quot;007E0E91&quot;/&gt;&lt;wsp:rsid wsp:val=&quot;007E1072&quot;/&gt;&lt;wsp:rsid wsp:val=&quot;007E298B&quot;/&gt;&lt;wsp:rsid wsp:val=&quot;007E2B8F&quot;/&gt;&lt;wsp:rsid wsp:val=&quot;007E2F20&quot;/&gt;&lt;wsp:rsid wsp:val=&quot;007E3C3B&quot;/&gt;&lt;wsp:rsid wsp:val=&quot;007E4F43&quot;/&gt;&lt;wsp:rsid wsp:val=&quot;007E5B1B&quot;/&gt;&lt;wsp:rsid wsp:val=&quot;007E7608&quot;/&gt;&lt;wsp:rsid wsp:val=&quot;007F14AB&quot;/&gt;&lt;wsp:rsid wsp:val=&quot;007F160B&quot;/&gt;&lt;wsp:rsid wsp:val=&quot;007F1C9C&quot;/&gt;&lt;wsp:rsid wsp:val=&quot;007F2B2D&quot;/&gt;&lt;wsp:rsid wsp:val=&quot;007F35EA&quot;/&gt;&lt;wsp:rsid wsp:val=&quot;007F448C&quot;/&gt;&lt;wsp:rsid wsp:val=&quot;007F533C&quot;/&gt;&lt;wsp:rsid wsp:val=&quot;007F5C6C&quot;/&gt;&lt;wsp:rsid wsp:val=&quot;007F6662&quot;/&gt;&lt;wsp:rsid wsp:val=&quot;007F6AC6&quot;/&gt;&lt;wsp:rsid wsp:val=&quot;007F6E29&quot;/&gt;&lt;wsp:rsid wsp:val=&quot;007F719B&quot;/&gt;&lt;wsp:rsid wsp:val=&quot;007F7376&quot;/&gt;&lt;wsp:rsid wsp:val=&quot;00800D0C&quot;/&gt;&lt;wsp:rsid wsp:val=&quot;00800F5F&quot;/&gt;&lt;wsp:rsid wsp:val=&quot;00801192&quot;/&gt;&lt;wsp:rsid wsp:val=&quot;0080155B&quot;/&gt;&lt;wsp:rsid wsp:val=&quot;008028BB&quot;/&gt;&lt;wsp:rsid wsp:val=&quot;0080319D&quot;/&gt;&lt;wsp:rsid wsp:val=&quot;008034FB&quot;/&gt;&lt;wsp:rsid wsp:val=&quot;008046E9&quot;/&gt;&lt;wsp:rsid wsp:val=&quot;00804FEB&quot;/&gt;&lt;wsp:rsid wsp:val=&quot;00805290&quot;/&gt;&lt;wsp:rsid wsp:val=&quot;00805758&quot;/&gt;&lt;wsp:rsid wsp:val=&quot;0080590E&quot;/&gt;&lt;wsp:rsid wsp:val=&quot;00805E17&quot;/&gt;&lt;wsp:rsid wsp:val=&quot;00806035&quot;/&gt;&lt;wsp:rsid wsp:val=&quot;00806680&quot;/&gt;&lt;wsp:rsid wsp:val=&quot;008071CA&quot;/&gt;&lt;wsp:rsid wsp:val=&quot;008074F8&quot;/&gt;&lt;wsp:rsid wsp:val=&quot;0080768F&quot;/&gt;&lt;wsp:rsid wsp:val=&quot;00813146&quot;/&gt;&lt;wsp:rsid wsp:val=&quot;008131F0&quot;/&gt;&lt;wsp:rsid wsp:val=&quot;00814139&quot;/&gt;&lt;wsp:rsid wsp:val=&quot;00814D9A&quot;/&gt;&lt;wsp:rsid wsp:val=&quot;00815203&quot;/&gt;&lt;wsp:rsid wsp:val=&quot;00816080&quot;/&gt;&lt;wsp:rsid wsp:val=&quot;008166E2&quot;/&gt;&lt;wsp:rsid wsp:val=&quot;008169CC&quot;/&gt;&lt;wsp:rsid wsp:val=&quot;00816A66&quot;/&gt;&lt;wsp:rsid wsp:val=&quot;00817D29&quot;/&gt;&lt;wsp:rsid wsp:val=&quot;008200D9&quot;/&gt;&lt;wsp:rsid wsp:val=&quot;00820E63&quot;/&gt;&lt;wsp:rsid wsp:val=&quot;00823F9C&quot;/&gt;&lt;wsp:rsid wsp:val=&quot;008246E2&quot;/&gt;&lt;wsp:rsid wsp:val=&quot;00824B21&quot;/&gt;&lt;wsp:rsid wsp:val=&quot;00824C10&quot;/&gt;&lt;wsp:rsid wsp:val=&quot;008250E1&quot;/&gt;&lt;wsp:rsid wsp:val=&quot;00826C9C&quot;/&gt;&lt;wsp:rsid wsp:val=&quot;00826DF9&quot;/&gt;&lt;wsp:rsid wsp:val=&quot;0082729D&quot;/&gt;&lt;wsp:rsid wsp:val=&quot;008277C0&quot;/&gt;&lt;wsp:rsid wsp:val=&quot;00827D75&quot;/&gt;&lt;wsp:rsid wsp:val=&quot;00827F4B&quot;/&gt;&lt;wsp:rsid wsp:val=&quot;008313FD&quot;/&gt;&lt;wsp:rsid wsp:val=&quot;00831605&quot;/&gt;&lt;wsp:rsid wsp:val=&quot;00831C75&quot;/&gt;&lt;wsp:rsid wsp:val=&quot;0083220A&quot;/&gt;&lt;wsp:rsid wsp:val=&quot;00832600&quot;/&gt;&lt;wsp:rsid wsp:val=&quot;008326F5&quot;/&gt;&lt;wsp:rsid wsp:val=&quot;008328E2&quot;/&gt;&lt;wsp:rsid wsp:val=&quot;00833142&quot;/&gt;&lt;wsp:rsid wsp:val=&quot;00833CF0&quot;/&gt;&lt;wsp:rsid wsp:val=&quot;00834608&quot;/&gt;&lt;wsp:rsid wsp:val=&quot;00834946&quot;/&gt;&lt;wsp:rsid wsp:val=&quot;00834A4A&quot;/&gt;&lt;wsp:rsid wsp:val=&quot;00834AA2&quot;/&gt;&lt;wsp:rsid wsp:val=&quot;00834C24&quot;/&gt;&lt;wsp:rsid wsp:val=&quot;00835937&quot;/&gt;&lt;wsp:rsid wsp:val=&quot;00835AEC&quot;/&gt;&lt;wsp:rsid wsp:val=&quot;00835F98&quot;/&gt;&lt;wsp:rsid wsp:val=&quot;0083690A&quot;/&gt;&lt;wsp:rsid wsp:val=&quot;00836ADD&quot;/&gt;&lt;wsp:rsid wsp:val=&quot;00836BFB&quot;/&gt;&lt;wsp:rsid wsp:val=&quot;00836C93&quot;/&gt;&lt;wsp:rsid wsp:val=&quot;00837867&quot;/&gt;&lt;wsp:rsid wsp:val=&quot;008379F6&quot;/&gt;&lt;wsp:rsid wsp:val=&quot;00837BA4&quot;/&gt;&lt;wsp:rsid wsp:val=&quot;0084099B&quot;/&gt;&lt;wsp:rsid wsp:val=&quot;00840B3D&quot;/&gt;&lt;wsp:rsid wsp:val=&quot;00840BFB&quot;/&gt;&lt;wsp:rsid wsp:val=&quot;00840C01&quot;/&gt;&lt;wsp:rsid wsp:val=&quot;00840D6B&quot;/&gt;&lt;wsp:rsid wsp:val=&quot;00841A01&quot;/&gt;&lt;wsp:rsid wsp:val=&quot;00841A8C&quot;/&gt;&lt;wsp:rsid wsp:val=&quot;00841F48&quot;/&gt;&lt;wsp:rsid wsp:val=&quot;00842F5E&quot;/&gt;&lt;wsp:rsid wsp:val=&quot;00843174&quot;/&gt;&lt;wsp:rsid wsp:val=&quot;008436CA&quot;/&gt;&lt;wsp:rsid wsp:val=&quot;00843BA3&quot;/&gt;&lt;wsp:rsid wsp:val=&quot;00843BFE&quot;/&gt;&lt;wsp:rsid wsp:val=&quot;00843E56&quot;/&gt;&lt;wsp:rsid wsp:val=&quot;008440B2&quot;/&gt;&lt;wsp:rsid wsp:val=&quot;00844487&quot;/&gt;&lt;wsp:rsid wsp:val=&quot;00844DCE&quot;/&gt;&lt;wsp:rsid wsp:val=&quot;00846503&quot;/&gt;&lt;wsp:rsid wsp:val=&quot;00846807&quot;/&gt;&lt;wsp:rsid wsp:val=&quot;00847B4E&quot;/&gt;&lt;wsp:rsid wsp:val=&quot;00850D95&quot;/&gt;&lt;wsp:rsid wsp:val=&quot;00851318&quot;/&gt;&lt;wsp:rsid wsp:val=&quot;00851A67&quot;/&gt;&lt;wsp:rsid wsp:val=&quot;00851E7C&quot;/&gt;&lt;wsp:rsid wsp:val=&quot;00851EFD&quot;/&gt;&lt;wsp:rsid wsp:val=&quot;00852E90&quot;/&gt;&lt;wsp:rsid wsp:val=&quot;008532DA&quot;/&gt;&lt;wsp:rsid wsp:val=&quot;0085387A&quot;/&gt;&lt;wsp:rsid wsp:val=&quot;00853950&quot;/&gt;&lt;wsp:rsid wsp:val=&quot;00853D52&quot;/&gt;&lt;wsp:rsid wsp:val=&quot;008542FE&quot;/&gt;&lt;wsp:rsid wsp:val=&quot;008545E8&quot;/&gt;&lt;wsp:rsid wsp:val=&quot;008549AC&quot;/&gt;&lt;wsp:rsid wsp:val=&quot;00854FC0&quot;/&gt;&lt;wsp:rsid wsp:val=&quot;00856562&quot;/&gt;&lt;wsp:rsid wsp:val=&quot;00856913&quot;/&gt;&lt;wsp:rsid wsp:val=&quot;008573E1&quot;/&gt;&lt;wsp:rsid wsp:val=&quot;008579AD&quot;/&gt;&lt;wsp:rsid wsp:val=&quot;00857DE7&quot;/&gt;&lt;wsp:rsid wsp:val=&quot;00857E5C&quot;/&gt;&lt;wsp:rsid wsp:val=&quot;00860521&quot;/&gt;&lt;wsp:rsid wsp:val=&quot;00860922&quot;/&gt;&lt;wsp:rsid wsp:val=&quot;0086116D&quot;/&gt;&lt;wsp:rsid wsp:val=&quot;00861B66&quot;/&gt;&lt;wsp:rsid wsp:val=&quot;00862133&quot;/&gt;&lt;wsp:rsid wsp:val=&quot;00863E9D&quot;/&gt;&lt;wsp:rsid wsp:val=&quot;00864522&quot;/&gt;&lt;wsp:rsid wsp:val=&quot;00864B33&quot;/&gt;&lt;wsp:rsid wsp:val=&quot;00865506&quot;/&gt;&lt;wsp:rsid wsp:val=&quot;008655ED&quot;/&gt;&lt;wsp:rsid wsp:val=&quot;008662E8&quot;/&gt;&lt;wsp:rsid wsp:val=&quot;008707EE&quot;/&gt;&lt;wsp:rsid wsp:val=&quot;0087106B&quot;/&gt;&lt;wsp:rsid wsp:val=&quot;0087223F&quot;/&gt;&lt;wsp:rsid wsp:val=&quot;00873401&quot;/&gt;&lt;wsp:rsid wsp:val=&quot;0087346A&quot;/&gt;&lt;wsp:rsid wsp:val=&quot;00873C10&quot;/&gt;&lt;wsp:rsid wsp:val=&quot;00873F43&quot;/&gt;&lt;wsp:rsid wsp:val=&quot;008749B0&quot;/&gt;&lt;wsp:rsid wsp:val=&quot;00874D3B&quot;/&gt;&lt;wsp:rsid wsp:val=&quot;0087514E&quot;/&gt;&lt;wsp:rsid wsp:val=&quot;0087592C&quot;/&gt;&lt;wsp:rsid wsp:val=&quot;00875971&quot;/&gt;&lt;wsp:rsid wsp:val=&quot;008761D5&quot;/&gt;&lt;wsp:rsid wsp:val=&quot;0087691B&quot;/&gt;&lt;wsp:rsid wsp:val=&quot;00876D7A&quot;/&gt;&lt;wsp:rsid wsp:val=&quot;00876E68&quot;/&gt;&lt;wsp:rsid wsp:val=&quot;0087714C&quot;/&gt;&lt;wsp:rsid wsp:val=&quot;00877572&quot;/&gt;&lt;wsp:rsid wsp:val=&quot;008800B1&quot;/&gt;&lt;wsp:rsid wsp:val=&quot;00880876&quot;/&gt;&lt;wsp:rsid wsp:val=&quot;008818CA&quot;/&gt;&lt;wsp:rsid wsp:val=&quot;00881D39&quot;/&gt;&lt;wsp:rsid wsp:val=&quot;00882FAA&quot;/&gt;&lt;wsp:rsid wsp:val=&quot;008838D9&quot;/&gt;&lt;wsp:rsid wsp:val=&quot;008839A3&quot;/&gt;&lt;wsp:rsid wsp:val=&quot;00885289&quot;/&gt;&lt;wsp:rsid wsp:val=&quot;0088539D&quot;/&gt;&lt;wsp:rsid wsp:val=&quot;00885472&quot;/&gt;&lt;wsp:rsid wsp:val=&quot;00885BB5&quot;/&gt;&lt;wsp:rsid wsp:val=&quot;0088622D&quot;/&gt;&lt;wsp:rsid wsp:val=&quot;00886598&quot;/&gt;&lt;wsp:rsid wsp:val=&quot;008868B5&quot;/&gt;&lt;wsp:rsid wsp:val=&quot;008878FC&quot;/&gt;&lt;wsp:rsid wsp:val=&quot;00887C7E&quot;/&gt;&lt;wsp:rsid wsp:val=&quot;0089022B&quot;/&gt;&lt;wsp:rsid wsp:val=&quot;00890E54&quot;/&gt;&lt;wsp:rsid wsp:val=&quot;00890EE3&quot;/&gt;&lt;wsp:rsid wsp:val=&quot;00890F6E&quot;/&gt;&lt;wsp:rsid wsp:val=&quot;00891265&quot;/&gt;&lt;wsp:rsid wsp:val=&quot;00891A85&quot;/&gt;&lt;wsp:rsid wsp:val=&quot;00891E11&quot;/&gt;&lt;wsp:rsid wsp:val=&quot;00892273&quot;/&gt;&lt;wsp:rsid wsp:val=&quot;008929FD&quot;/&gt;&lt;wsp:rsid wsp:val=&quot;00893705&quot;/&gt;&lt;wsp:rsid wsp:val=&quot;00893A7B&quot;/&gt;&lt;wsp:rsid wsp:val=&quot;00893C31&quot;/&gt;&lt;wsp:rsid wsp:val=&quot;008944A8&quot;/&gt;&lt;wsp:rsid wsp:val=&quot;00894F86&quot;/&gt;&lt;wsp:rsid wsp:val=&quot;008957BA&quot;/&gt;&lt;wsp:rsid wsp:val=&quot;00895E07&quot;/&gt;&lt;wsp:rsid wsp:val=&quot;008960B8&quot;/&gt;&lt;wsp:rsid wsp:val=&quot;00896F2B&quot;/&gt;&lt;wsp:rsid wsp:val=&quot;008971CE&quot;/&gt;&lt;wsp:rsid wsp:val=&quot;00897331&quot;/&gt;&lt;wsp:rsid wsp:val=&quot;0089736F&quot;/&gt;&lt;wsp:rsid wsp:val=&quot;008973FF&quot;/&gt;&lt;wsp:rsid wsp:val=&quot;00897C57&quot;/&gt;&lt;wsp:rsid wsp:val=&quot;00897D56&quot;/&gt;&lt;wsp:rsid wsp:val=&quot;008A0EFB&quot;/&gt;&lt;wsp:rsid wsp:val=&quot;008A1446&quot;/&gt;&lt;wsp:rsid wsp:val=&quot;008A284F&quot;/&gt;&lt;wsp:rsid wsp:val=&quot;008A2905&quot;/&gt;&lt;wsp:rsid wsp:val=&quot;008A2C88&quot;/&gt;&lt;wsp:rsid wsp:val=&quot;008A318D&quot;/&gt;&lt;wsp:rsid wsp:val=&quot;008A34CD&quot;/&gt;&lt;wsp:rsid wsp:val=&quot;008A42DF&quot;/&gt;&lt;wsp:rsid wsp:val=&quot;008A553F&quot;/&gt;&lt;wsp:rsid wsp:val=&quot;008A591C&quot;/&gt;&lt;wsp:rsid wsp:val=&quot;008A5990&quot;/&gt;&lt;wsp:rsid wsp:val=&quot;008A5A4C&quot;/&gt;&lt;wsp:rsid wsp:val=&quot;008A5B1F&quot;/&gt;&lt;wsp:rsid wsp:val=&quot;008A66B6&quot;/&gt;&lt;wsp:rsid wsp:val=&quot;008A6DD1&quot;/&gt;&lt;wsp:rsid wsp:val=&quot;008A6E0C&quot;/&gt;&lt;wsp:rsid wsp:val=&quot;008A6FF8&quot;/&gt;&lt;wsp:rsid wsp:val=&quot;008A74F9&quot;/&gt;&lt;wsp:rsid wsp:val=&quot;008A7682&quot;/&gt;&lt;wsp:rsid wsp:val=&quot;008B01F3&quot;/&gt;&lt;wsp:rsid wsp:val=&quot;008B04AC&quot;/&gt;&lt;wsp:rsid wsp:val=&quot;008B09EF&quot;/&gt;&lt;wsp:rsid wsp:val=&quot;008B09F5&quot;/&gt;&lt;wsp:rsid wsp:val=&quot;008B0B1F&quot;/&gt;&lt;wsp:rsid wsp:val=&quot;008B0B65&quot;/&gt;&lt;wsp:rsid wsp:val=&quot;008B1540&quot;/&gt;&lt;wsp:rsid wsp:val=&quot;008B1927&quot;/&gt;&lt;wsp:rsid wsp:val=&quot;008B1CA3&quot;/&gt;&lt;wsp:rsid wsp:val=&quot;008B21B4&quot;/&gt;&lt;wsp:rsid wsp:val=&quot;008B2920&quot;/&gt;&lt;wsp:rsid wsp:val=&quot;008B2CDB&quot;/&gt;&lt;wsp:rsid wsp:val=&quot;008B30B3&quot;/&gt;&lt;wsp:rsid wsp:val=&quot;008B3157&quot;/&gt;&lt;wsp:rsid wsp:val=&quot;008B3784&quot;/&gt;&lt;wsp:rsid wsp:val=&quot;008B3A7A&quot;/&gt;&lt;wsp:rsid wsp:val=&quot;008B4297&quot;/&gt;&lt;wsp:rsid wsp:val=&quot;008B43E7&quot;/&gt;&lt;wsp:rsid wsp:val=&quot;008B48E2&quot;/&gt;&lt;wsp:rsid wsp:val=&quot;008B4C7C&quot;/&gt;&lt;wsp:rsid wsp:val=&quot;008B4D5E&quot;/&gt;&lt;wsp:rsid wsp:val=&quot;008B4F14&quot;/&gt;&lt;wsp:rsid wsp:val=&quot;008B507C&quot;/&gt;&lt;wsp:rsid wsp:val=&quot;008B57D7&quot;/&gt;&lt;wsp:rsid wsp:val=&quot;008B6334&quot;/&gt;&lt;wsp:rsid wsp:val=&quot;008B653A&quot;/&gt;&lt;wsp:rsid wsp:val=&quot;008B739A&quot;/&gt;&lt;wsp:rsid wsp:val=&quot;008B7A2A&quot;/&gt;&lt;wsp:rsid wsp:val=&quot;008B7B0F&quot;/&gt;&lt;wsp:rsid wsp:val=&quot;008B7FBB&quot;/&gt;&lt;wsp:rsid wsp:val=&quot;008C0601&quot;/&gt;&lt;wsp:rsid wsp:val=&quot;008C0A5D&quot;/&gt;&lt;wsp:rsid wsp:val=&quot;008C1361&quot;/&gt;&lt;wsp:rsid wsp:val=&quot;008C21D0&quot;/&gt;&lt;wsp:rsid wsp:val=&quot;008C326F&quot;/&gt;&lt;wsp:rsid wsp:val=&quot;008C457B&quot;/&gt;&lt;wsp:rsid wsp:val=&quot;008C54B2&quot;/&gt;&lt;wsp:rsid wsp:val=&quot;008C55B2&quot;/&gt;&lt;wsp:rsid wsp:val=&quot;008C771A&quot;/&gt;&lt;wsp:rsid wsp:val=&quot;008D0858&quot;/&gt;&lt;wsp:rsid wsp:val=&quot;008D0E4E&quot;/&gt;&lt;wsp:rsid wsp:val=&quot;008D14CD&quot;/&gt;&lt;wsp:rsid wsp:val=&quot;008D2E3E&quot;/&gt;&lt;wsp:rsid wsp:val=&quot;008D3C9D&quot;/&gt;&lt;wsp:rsid wsp:val=&quot;008D4426&quot;/&gt;&lt;wsp:rsid wsp:val=&quot;008D48F8&quot;/&gt;&lt;wsp:rsid wsp:val=&quot;008D50DD&quot;/&gt;&lt;wsp:rsid wsp:val=&quot;008D519D&quot;/&gt;&lt;wsp:rsid wsp:val=&quot;008D55A7&quot;/&gt;&lt;wsp:rsid wsp:val=&quot;008D57CB&quot;/&gt;&lt;wsp:rsid wsp:val=&quot;008D58EB&quot;/&gt;&lt;wsp:rsid wsp:val=&quot;008D5B25&quot;/&gt;&lt;wsp:rsid wsp:val=&quot;008D5CEF&quot;/&gt;&lt;wsp:rsid wsp:val=&quot;008D6370&quot;/&gt;&lt;wsp:rsid wsp:val=&quot;008D6AD3&quot;/&gt;&lt;wsp:rsid wsp:val=&quot;008D6FEC&quot;/&gt;&lt;wsp:rsid wsp:val=&quot;008D70FB&quot;/&gt;&lt;wsp:rsid wsp:val=&quot;008D7B48&quot;/&gt;&lt;wsp:rsid wsp:val=&quot;008E0929&quot;/&gt;&lt;wsp:rsid wsp:val=&quot;008E20D6&quot;/&gt;&lt;wsp:rsid wsp:val=&quot;008E2BC7&quot;/&gt;&lt;wsp:rsid wsp:val=&quot;008E30A0&quot;/&gt;&lt;wsp:rsid wsp:val=&quot;008E30D0&quot;/&gt;&lt;wsp:rsid wsp:val=&quot;008E36DF&quot;/&gt;&lt;wsp:rsid wsp:val=&quot;008E4B43&quot;/&gt;&lt;wsp:rsid wsp:val=&quot;008E61B5&quot;/&gt;&lt;wsp:rsid wsp:val=&quot;008E6EA3&quot;/&gt;&lt;wsp:rsid wsp:val=&quot;008E71F7&quot;/&gt;&lt;wsp:rsid wsp:val=&quot;008F0916&quot;/&gt;&lt;wsp:rsid wsp:val=&quot;008F115D&quot;/&gt;&lt;wsp:rsid wsp:val=&quot;008F173E&quot;/&gt;&lt;wsp:rsid wsp:val=&quot;008F27EA&quot;/&gt;&lt;wsp:rsid wsp:val=&quot;008F2BEA&quot;/&gt;&lt;wsp:rsid wsp:val=&quot;008F3629&quot;/&gt;&lt;wsp:rsid wsp:val=&quot;008F39DD&quot;/&gt;&lt;wsp:rsid wsp:val=&quot;008F4286&quot;/&gt;&lt;wsp:rsid wsp:val=&quot;008F5A1A&quot;/&gt;&lt;wsp:rsid wsp:val=&quot;008F5E52&quot;/&gt;&lt;wsp:rsid wsp:val=&quot;008F6028&quot;/&gt;&lt;wsp:rsid wsp:val=&quot;008F6CFE&quot;/&gt;&lt;wsp:rsid wsp:val=&quot;008F6D79&quot;/&gt;&lt;wsp:rsid wsp:val=&quot;008F7B7E&quot;/&gt;&lt;wsp:rsid wsp:val=&quot;00900835&quot;/&gt;&lt;wsp:rsid wsp:val=&quot;00901A33&quot;/&gt;&lt;wsp:rsid wsp:val=&quot;00901EFB&quot;/&gt;&lt;wsp:rsid wsp:val=&quot;00902067&quot;/&gt;&lt;wsp:rsid wsp:val=&quot;009030CF&quot;/&gt;&lt;wsp:rsid wsp:val=&quot;00903252&quot;/&gt;&lt;wsp:rsid wsp:val=&quot;0090385F&quot;/&gt;&lt;wsp:rsid wsp:val=&quot;00903D36&quot;/&gt;&lt;wsp:rsid wsp:val=&quot;00903FF4&quot;/&gt;&lt;wsp:rsid wsp:val=&quot;009051F5&quot;/&gt;&lt;wsp:rsid wsp:val=&quot;0090526C&quot;/&gt;&lt;wsp:rsid wsp:val=&quot;0090626E&quot;/&gt;&lt;wsp:rsid wsp:val=&quot;009062BD&quot;/&gt;&lt;wsp:rsid wsp:val=&quot;00906C99&quot;/&gt;&lt;wsp:rsid wsp:val=&quot;00907618&quot;/&gt;&lt;wsp:rsid wsp:val=&quot;009109C7&quot;/&gt;&lt;wsp:rsid wsp:val=&quot;0091100D&quot;/&gt;&lt;wsp:rsid wsp:val=&quot;0091118E&quot;/&gt;&lt;wsp:rsid wsp:val=&quot;00911A17&quot;/&gt;&lt;wsp:rsid wsp:val=&quot;0091245C&quot;/&gt;&lt;wsp:rsid wsp:val=&quot;00913768&quot;/&gt;&lt;wsp:rsid wsp:val=&quot;00913B65&quot;/&gt;&lt;wsp:rsid wsp:val=&quot;0091439B&quot;/&gt;&lt;wsp:rsid wsp:val=&quot;009155C7&quot;/&gt;&lt;wsp:rsid wsp:val=&quot;00915632&quot;/&gt;&lt;wsp:rsid wsp:val=&quot;00915A8B&quot;/&gt;&lt;wsp:rsid wsp:val=&quot;00915ADF&quot;/&gt;&lt;wsp:rsid wsp:val=&quot;00915C0C&quot;/&gt;&lt;wsp:rsid wsp:val=&quot;00916338&quot;/&gt;&lt;wsp:rsid wsp:val=&quot;00916635&quot;/&gt;&lt;wsp:rsid wsp:val=&quot;00916DA0&quot;/&gt;&lt;wsp:rsid wsp:val=&quot;009170F8&quot;/&gt;&lt;wsp:rsid wsp:val=&quot;00920B2A&quot;/&gt;&lt;wsp:rsid wsp:val=&quot;0092107E&quot;/&gt;&lt;wsp:rsid wsp:val=&quot;00921629&quot;/&gt;&lt;wsp:rsid wsp:val=&quot;009237F2&quot;/&gt;&lt;wsp:rsid wsp:val=&quot;009239ED&quot;/&gt;&lt;wsp:rsid wsp:val=&quot;00923C62&quot;/&gt;&lt;wsp:rsid wsp:val=&quot;0092408F&quot;/&gt;&lt;wsp:rsid wsp:val=&quot;0092431B&quot;/&gt;&lt;wsp:rsid wsp:val=&quot;0092520E&quot;/&gt;&lt;wsp:rsid wsp:val=&quot;0092559B&quot;/&gt;&lt;wsp:rsid wsp:val=&quot;00925E6C&quot;/&gt;&lt;wsp:rsid wsp:val=&quot;009269B6&quot;/&gt;&lt;wsp:rsid wsp:val=&quot;00926A0B&quot;/&gt;&lt;wsp:rsid wsp:val=&quot;00926FF8&quot;/&gt;&lt;wsp:rsid wsp:val=&quot;00927963&quot;/&gt;&lt;wsp:rsid wsp:val=&quot;00927E17&quot;/&gt;&lt;wsp:rsid wsp:val=&quot;00930185&quot;/&gt;&lt;wsp:rsid wsp:val=&quot;0093107D&quot;/&gt;&lt;wsp:rsid wsp:val=&quot;009314AF&quot;/&gt;&lt;wsp:rsid wsp:val=&quot;00931561&quot;/&gt;&lt;wsp:rsid wsp:val=&quot;009319DB&quot;/&gt;&lt;wsp:rsid wsp:val=&quot;00932112&quot;/&gt;&lt;wsp:rsid wsp:val=&quot;00933EB9&quot;/&gt;&lt;wsp:rsid wsp:val=&quot;0093421A&quot;/&gt;&lt;wsp:rsid wsp:val=&quot;00934309&quot;/&gt;&lt;wsp:rsid wsp:val=&quot;0093526E&quot;/&gt;&lt;wsp:rsid wsp:val=&quot;009366FE&quot;/&gt;&lt;wsp:rsid wsp:val=&quot;00936A31&quot;/&gt;&lt;wsp:rsid wsp:val=&quot;00936F3F&quot;/&gt;&lt;wsp:rsid wsp:val=&quot;00937A71&quot;/&gt;&lt;wsp:rsid wsp:val=&quot;00937B22&quot;/&gt;&lt;wsp:rsid wsp:val=&quot;00937BFD&quot;/&gt;&lt;wsp:rsid wsp:val=&quot;00940931&quot;/&gt;&lt;wsp:rsid wsp:val=&quot;0094154F&quot;/&gt;&lt;wsp:rsid wsp:val=&quot;00943482&quot;/&gt;&lt;wsp:rsid wsp:val=&quot;00943621&quot;/&gt;&lt;wsp:rsid wsp:val=&quot;0094460B&quot;/&gt;&lt;wsp:rsid wsp:val=&quot;00944B10&quot;/&gt;&lt;wsp:rsid wsp:val=&quot;009452FE&quot;/&gt;&lt;wsp:rsid wsp:val=&quot;00945AE0&quot;/&gt;&lt;wsp:rsid wsp:val=&quot;0094661E&quot;/&gt;&lt;wsp:rsid wsp:val=&quot;00946A3C&quot;/&gt;&lt;wsp:rsid wsp:val=&quot;00946AF2&quot;/&gt;&lt;wsp:rsid wsp:val=&quot;00946D55&quot;/&gt;&lt;wsp:rsid wsp:val=&quot;009477DE&quot;/&gt;&lt;wsp:rsid wsp:val=&quot;0094788D&quot;/&gt;&lt;wsp:rsid wsp:val=&quot;0095075F&quot;/&gt;&lt;wsp:rsid wsp:val=&quot;00950BB5&quot;/&gt;&lt;wsp:rsid wsp:val=&quot;009516B0&quot;/&gt;&lt;wsp:rsid wsp:val=&quot;00951AD3&quot;/&gt;&lt;wsp:rsid wsp:val=&quot;00951E6C&quot;/&gt;&lt;wsp:rsid wsp:val=&quot;009522C2&quot;/&gt;&lt;wsp:rsid wsp:val=&quot;00952A44&quot;/&gt;&lt;wsp:rsid wsp:val=&quot;00952B2E&quot;/&gt;&lt;wsp:rsid wsp:val=&quot;00952F4E&quot;/&gt;&lt;wsp:rsid wsp:val=&quot;00953AA4&quot;/&gt;&lt;wsp:rsid wsp:val=&quot;009549EA&quot;/&gt;&lt;wsp:rsid wsp:val=&quot;0095565F&quot;/&gt;&lt;wsp:rsid wsp:val=&quot;00955A57&quot;/&gt;&lt;wsp:rsid wsp:val=&quot;00956031&quot;/&gt;&lt;wsp:rsid wsp:val=&quot;00956698&quot;/&gt;&lt;wsp:rsid wsp:val=&quot;00956987&quot;/&gt;&lt;wsp:rsid wsp:val=&quot;009569DB&quot;/&gt;&lt;wsp:rsid wsp:val=&quot;00956C71&quot;/&gt;&lt;wsp:rsid wsp:val=&quot;00956E40&quot;/&gt;&lt;wsp:rsid wsp:val=&quot;00956FDA&quot;/&gt;&lt;wsp:rsid wsp:val=&quot;00957367&quot;/&gt;&lt;wsp:rsid wsp:val=&quot;00957890&quot;/&gt;&lt;wsp:rsid wsp:val=&quot;00957E1E&quot;/&gt;&lt;wsp:rsid wsp:val=&quot;00960110&quot;/&gt;&lt;wsp:rsid wsp:val=&quot;00960DC2&quot;/&gt;&lt;wsp:rsid wsp:val=&quot;009610A0&quot;/&gt;&lt;wsp:rsid wsp:val=&quot;00961569&quot;/&gt;&lt;wsp:rsid wsp:val=&quot;00962FAF&quot;/&gt;&lt;wsp:rsid wsp:val=&quot;009643D9&quot;/&gt;&lt;wsp:rsid wsp:val=&quot;00964535&quot;/&gt;&lt;wsp:rsid wsp:val=&quot;00965033&quot;/&gt;&lt;wsp:rsid wsp:val=&quot;0096533F&quot;/&gt;&lt;wsp:rsid wsp:val=&quot;009662D5&quot;/&gt;&lt;wsp:rsid wsp:val=&quot;00966571&quot;/&gt;&lt;wsp:rsid wsp:val=&quot;00967A1F&quot;/&gt;&lt;wsp:rsid wsp:val=&quot;00967B2F&quot;/&gt;&lt;wsp:rsid wsp:val=&quot;00967D99&quot;/&gt;&lt;wsp:rsid wsp:val=&quot;00967F5E&quot;/&gt;&lt;wsp:rsid wsp:val=&quot;00971016&quot;/&gt;&lt;wsp:rsid wsp:val=&quot;0097158F&quot;/&gt;&lt;wsp:rsid wsp:val=&quot;0097176A&quot;/&gt;&lt;wsp:rsid wsp:val=&quot;0097246C&quot;/&gt;&lt;wsp:rsid wsp:val=&quot;00972FF4&quot;/&gt;&lt;wsp:rsid wsp:val=&quot;009738AC&quot;/&gt;&lt;wsp:rsid wsp:val=&quot;00973A25&quot;/&gt;&lt;wsp:rsid wsp:val=&quot;00973AF5&quot;/&gt;&lt;wsp:rsid wsp:val=&quot;00974641&quot;/&gt;&lt;wsp:rsid wsp:val=&quot;00975729&quot;/&gt;&lt;wsp:rsid wsp:val=&quot;00975E5B&quot;/&gt;&lt;wsp:rsid wsp:val=&quot;00976528&quot;/&gt;&lt;wsp:rsid wsp:val=&quot;009772B1&quot;/&gt;&lt;wsp:rsid wsp:val=&quot;0097771A&quot;/&gt;&lt;wsp:rsid wsp:val=&quot;00977C77&quot;/&gt;&lt;wsp:rsid wsp:val=&quot;00977D18&quot;/&gt;&lt;wsp:rsid wsp:val=&quot;00980111&quot;/&gt;&lt;wsp:rsid wsp:val=&quot;00980AF5&quot;/&gt;&lt;wsp:rsid wsp:val=&quot;009819CC&quot;/&gt;&lt;wsp:rsid wsp:val=&quot;00981E30&quot;/&gt;&lt;wsp:rsid wsp:val=&quot;009826D1&quot;/&gt;&lt;wsp:rsid wsp:val=&quot;0098279F&quot;/&gt;&lt;wsp:rsid wsp:val=&quot;00982909&quot;/&gt;&lt;wsp:rsid wsp:val=&quot;0098312D&quot;/&gt;&lt;wsp:rsid wsp:val=&quot;009836A4&quot;/&gt;&lt;wsp:rsid wsp:val=&quot;00983899&quot;/&gt;&lt;wsp:rsid wsp:val=&quot;00983C80&quot;/&gt;&lt;wsp:rsid wsp:val=&quot;0098415D&quot;/&gt;&lt;wsp:rsid wsp:val=&quot;009841D3&quot;/&gt;&lt;wsp:rsid wsp:val=&quot;00984739&quot;/&gt;&lt;wsp:rsid wsp:val=&quot;0098486B&quot;/&gt;&lt;wsp:rsid wsp:val=&quot;00984DDB&quot;/&gt;&lt;wsp:rsid wsp:val=&quot;0098504F&quot;/&gt;&lt;wsp:rsid wsp:val=&quot;009851B9&quot;/&gt;&lt;wsp:rsid wsp:val=&quot;009852CD&quot;/&gt;&lt;wsp:rsid wsp:val=&quot;00985B49&quot;/&gt;&lt;wsp:rsid wsp:val=&quot;009900AE&quot;/&gt;&lt;wsp:rsid wsp:val=&quot;00990796&quot;/&gt;&lt;wsp:rsid wsp:val=&quot;00991064&quot;/&gt;&lt;wsp:rsid wsp:val=&quot;009917B6&quot;/&gt;&lt;wsp:rsid wsp:val=&quot;00993A3F&quot;/&gt;&lt;wsp:rsid wsp:val=&quot;00993E6A&quot;/&gt;&lt;wsp:rsid wsp:val=&quot;00995A99&quot;/&gt;&lt;wsp:rsid wsp:val=&quot;00997BCA&quot;/&gt;&lt;wsp:rsid wsp:val=&quot;009A0A04&quot;/&gt;&lt;wsp:rsid wsp:val=&quot;009A1CE9&quot;/&gt;&lt;wsp:rsid wsp:val=&quot;009A1EFC&quot;/&gt;&lt;wsp:rsid wsp:val=&quot;009A267F&quot;/&gt;&lt;wsp:rsid wsp:val=&quot;009A2C85&quot;/&gt;&lt;wsp:rsid wsp:val=&quot;009A2DED&quot;/&gt;&lt;wsp:rsid wsp:val=&quot;009A3029&quot;/&gt;&lt;wsp:rsid wsp:val=&quot;009A37DC&quot;/&gt;&lt;wsp:rsid wsp:val=&quot;009A53EA&quot;/&gt;&lt;wsp:rsid wsp:val=&quot;009A56A7&quot;/&gt;&lt;wsp:rsid wsp:val=&quot;009A7AB2&quot;/&gt;&lt;wsp:rsid wsp:val=&quot;009B0144&quot;/&gt;&lt;wsp:rsid wsp:val=&quot;009B17AE&quot;/&gt;&lt;wsp:rsid wsp:val=&quot;009B19CD&quot;/&gt;&lt;wsp:rsid wsp:val=&quot;009B1B85&quot;/&gt;&lt;wsp:rsid wsp:val=&quot;009B1D1C&quot;/&gt;&lt;wsp:rsid wsp:val=&quot;009B5BE1&quot;/&gt;&lt;wsp:rsid wsp:val=&quot;009B7B39&quot;/&gt;&lt;wsp:rsid wsp:val=&quot;009C06DD&quot;/&gt;&lt;wsp:rsid wsp:val=&quot;009C0874&quot;/&gt;&lt;wsp:rsid wsp:val=&quot;009C1344&quot;/&gt;&lt;wsp:rsid wsp:val=&quot;009C240C&quot;/&gt;&lt;wsp:rsid wsp:val=&quot;009C2467&quot;/&gt;&lt;wsp:rsid wsp:val=&quot;009C346B&quot;/&gt;&lt;wsp:rsid wsp:val=&quot;009C36A0&quot;/&gt;&lt;wsp:rsid wsp:val=&quot;009C3ADC&quot;/&gt;&lt;wsp:rsid wsp:val=&quot;009C4F30&quot;/&gt;&lt;wsp:rsid wsp:val=&quot;009C54F1&quot;/&gt;&lt;wsp:rsid wsp:val=&quot;009C5AAD&quot;/&gt;&lt;wsp:rsid wsp:val=&quot;009C5D14&quot;/&gt;&lt;wsp:rsid wsp:val=&quot;009C607D&quot;/&gt;&lt;wsp:rsid wsp:val=&quot;009C61C2&quot;/&gt;&lt;wsp:rsid wsp:val=&quot;009C6297&quot;/&gt;&lt;wsp:rsid wsp:val=&quot;009C63C3&quot;/&gt;&lt;wsp:rsid wsp:val=&quot;009C68CA&quot;/&gt;&lt;wsp:rsid wsp:val=&quot;009C6D18&quot;/&gt;&lt;wsp:rsid wsp:val=&quot;009D032A&quot;/&gt;&lt;wsp:rsid wsp:val=&quot;009D0396&quot;/&gt;&lt;wsp:rsid wsp:val=&quot;009D077C&quot;/&gt;&lt;wsp:rsid wsp:val=&quot;009D1E0F&quot;/&gt;&lt;wsp:rsid wsp:val=&quot;009D20DA&quot;/&gt;&lt;wsp:rsid wsp:val=&quot;009D21EA&quot;/&gt;&lt;wsp:rsid wsp:val=&quot;009D23DD&quot;/&gt;&lt;wsp:rsid wsp:val=&quot;009D26EE&quot;/&gt;&lt;wsp:rsid wsp:val=&quot;009D37A3&quot;/&gt;&lt;wsp:rsid wsp:val=&quot;009D3ED2&quot;/&gt;&lt;wsp:rsid wsp:val=&quot;009D4BDA&quot;/&gt;&lt;wsp:rsid wsp:val=&quot;009D6527&quot;/&gt;&lt;wsp:rsid wsp:val=&quot;009D65AC&quot;/&gt;&lt;wsp:rsid wsp:val=&quot;009D6D95&quot;/&gt;&lt;wsp:rsid wsp:val=&quot;009D6FF6&quot;/&gt;&lt;wsp:rsid wsp:val=&quot;009D720A&quot;/&gt;&lt;wsp:rsid wsp:val=&quot;009D789E&quot;/&gt;&lt;wsp:rsid wsp:val=&quot;009D7C77&quot;/&gt;&lt;wsp:rsid wsp:val=&quot;009E0C8D&quot;/&gt;&lt;wsp:rsid wsp:val=&quot;009E13E1&quot;/&gt;&lt;wsp:rsid wsp:val=&quot;009E19D6&quot;/&gt;&lt;wsp:rsid wsp:val=&quot;009E1E02&quot;/&gt;&lt;wsp:rsid wsp:val=&quot;009E484C&quot;/&gt;&lt;wsp:rsid wsp:val=&quot;009E4C45&quot;/&gt;&lt;wsp:rsid wsp:val=&quot;009E51AF&quot;/&gt;&lt;wsp:rsid wsp:val=&quot;009E5608&quot;/&gt;&lt;wsp:rsid wsp:val=&quot;009E574B&quot;/&gt;&lt;wsp:rsid wsp:val=&quot;009E58F5&quot;/&gt;&lt;wsp:rsid wsp:val=&quot;009E640F&quot;/&gt;&lt;wsp:rsid wsp:val=&quot;009E66FE&quot;/&gt;&lt;wsp:rsid wsp:val=&quot;009E702A&quot;/&gt;&lt;wsp:rsid wsp:val=&quot;009F0E32&quot;/&gt;&lt;wsp:rsid wsp:val=&quot;009F1E97&quot;/&gt;&lt;wsp:rsid wsp:val=&quot;009F2605&quot;/&gt;&lt;wsp:rsid wsp:val=&quot;009F27CA&quot;/&gt;&lt;wsp:rsid wsp:val=&quot;009F3075&quot;/&gt;&lt;wsp:rsid wsp:val=&quot;009F46B0&quot;/&gt;&lt;wsp:rsid wsp:val=&quot;009F5373&quot;/&gt;&lt;wsp:rsid wsp:val=&quot;009F5BB8&quot;/&gt;&lt;wsp:rsid wsp:val=&quot;009F6D75&quot;/&gt;&lt;wsp:rsid wsp:val=&quot;009F6F44&quot;/&gt;&lt;wsp:rsid wsp:val=&quot;009F7509&quot;/&gt;&lt;wsp:rsid wsp:val=&quot;009F7B68&quot;/&gt;&lt;wsp:rsid wsp:val=&quot;00A003D5&quot;/&gt;&lt;wsp:rsid wsp:val=&quot;00A0112B&quot;/&gt;&lt;wsp:rsid wsp:val=&quot;00A011C9&quot;/&gt;&lt;wsp:rsid wsp:val=&quot;00A01699&quot;/&gt;&lt;wsp:rsid wsp:val=&quot;00A01FD4&quot;/&gt;&lt;wsp:rsid wsp:val=&quot;00A02953&quot;/&gt;&lt;wsp:rsid wsp:val=&quot;00A02E62&quot;/&gt;&lt;wsp:rsid wsp:val=&quot;00A02F39&quot;/&gt;&lt;wsp:rsid wsp:val=&quot;00A0302E&quot;/&gt;&lt;wsp:rsid wsp:val=&quot;00A046C6&quot;/&gt;&lt;wsp:rsid wsp:val=&quot;00A04D08&quot;/&gt;&lt;wsp:rsid wsp:val=&quot;00A057B7&quot;/&gt;&lt;wsp:rsid wsp:val=&quot;00A05C63&quot;/&gt;&lt;wsp:rsid wsp:val=&quot;00A06D3E&quot;/&gt;&lt;wsp:rsid wsp:val=&quot;00A073B4&quot;/&gt;&lt;wsp:rsid wsp:val=&quot;00A101A9&quot;/&gt;&lt;wsp:rsid wsp:val=&quot;00A10ECF&quot;/&gt;&lt;wsp:rsid wsp:val=&quot;00A11988&quot;/&gt;&lt;wsp:rsid wsp:val=&quot;00A11B20&quot;/&gt;&lt;wsp:rsid wsp:val=&quot;00A11F64&quot;/&gt;&lt;wsp:rsid wsp:val=&quot;00A13110&quot;/&gt;&lt;wsp:rsid wsp:val=&quot;00A132D1&quot;/&gt;&lt;wsp:rsid wsp:val=&quot;00A13580&quot;/&gt;&lt;wsp:rsid wsp:val=&quot;00A13A49&quot;/&gt;&lt;wsp:rsid wsp:val=&quot;00A1401E&quot;/&gt;&lt;wsp:rsid wsp:val=&quot;00A14583&quot;/&gt;&lt;wsp:rsid wsp:val=&quot;00A14794&quot;/&gt;&lt;wsp:rsid wsp:val=&quot;00A14945&quot;/&gt;&lt;wsp:rsid wsp:val=&quot;00A14F11&quot;/&gt;&lt;wsp:rsid wsp:val=&quot;00A16755&quot;/&gt;&lt;wsp:rsid wsp:val=&quot;00A16A31&quot;/&gt;&lt;wsp:rsid wsp:val=&quot;00A16B80&quot;/&gt;&lt;wsp:rsid wsp:val=&quot;00A17149&quot;/&gt;&lt;wsp:rsid wsp:val=&quot;00A173EC&quot;/&gt;&lt;wsp:rsid wsp:val=&quot;00A20B28&quot;/&gt;&lt;wsp:rsid wsp:val=&quot;00A2107A&quot;/&gt;&lt;wsp:rsid wsp:val=&quot;00A21601&quot;/&gt;&lt;wsp:rsid wsp:val=&quot;00A221B7&quot;/&gt;&lt;wsp:rsid wsp:val=&quot;00A22DDD&quot;/&gt;&lt;wsp:rsid wsp:val=&quot;00A23F3C&quot;/&gt;&lt;wsp:rsid wsp:val=&quot;00A24484&quot;/&gt;&lt;wsp:rsid wsp:val=&quot;00A24FB9&quot;/&gt;&lt;wsp:rsid wsp:val=&quot;00A2546D&quot;/&gt;&lt;wsp:rsid wsp:val=&quot;00A2650C&quot;/&gt;&lt;wsp:rsid wsp:val=&quot;00A26999&quot;/&gt;&lt;wsp:rsid wsp:val=&quot;00A27F65&quot;/&gt;&lt;wsp:rsid wsp:val=&quot;00A3082B&quot;/&gt;&lt;wsp:rsid wsp:val=&quot;00A3108F&quot;/&gt;&lt;wsp:rsid wsp:val=&quot;00A32815&quot;/&gt;&lt;wsp:rsid wsp:val=&quot;00A32978&quot;/&gt;&lt;wsp:rsid wsp:val=&quot;00A32CDE&quot;/&gt;&lt;wsp:rsid wsp:val=&quot;00A3309B&quot;/&gt;&lt;wsp:rsid wsp:val=&quot;00A33351&quot;/&gt;&lt;wsp:rsid wsp:val=&quot;00A34718&quot;/&gt;&lt;wsp:rsid wsp:val=&quot;00A347D7&quot;/&gt;&lt;wsp:rsid wsp:val=&quot;00A3523C&quot;/&gt;&lt;wsp:rsid wsp:val=&quot;00A35C74&quot;/&gt;&lt;wsp:rsid wsp:val=&quot;00A35E02&quot;/&gt;&lt;wsp:rsid wsp:val=&quot;00A36B39&quot;/&gt;&lt;wsp:rsid wsp:val=&quot;00A36DD2&quot;/&gt;&lt;wsp:rsid wsp:val=&quot;00A37147&quot;/&gt;&lt;wsp:rsid wsp:val=&quot;00A37398&quot;/&gt;&lt;wsp:rsid wsp:val=&quot;00A411D8&quot;/&gt;&lt;wsp:rsid wsp:val=&quot;00A42A30&quot;/&gt;&lt;wsp:rsid wsp:val=&quot;00A42D20&quot;/&gt;&lt;wsp:rsid wsp:val=&quot;00A44E8B&quot;/&gt;&lt;wsp:rsid wsp:val=&quot;00A472D9&quot;/&gt;&lt;wsp:rsid wsp:val=&quot;00A47D86&quot;/&gt;&lt;wsp:rsid wsp:val=&quot;00A47F22&quot;/&gt;&lt;wsp:rsid wsp:val=&quot;00A503CA&quot;/&gt;&lt;wsp:rsid wsp:val=&quot;00A505EF&quot;/&gt;&lt;wsp:rsid wsp:val=&quot;00A5246E&quot;/&gt;&lt;wsp:rsid wsp:val=&quot;00A531D6&quot;/&gt;&lt;wsp:rsid wsp:val=&quot;00A53665&quot;/&gt;&lt;wsp:rsid wsp:val=&quot;00A54B4C&quot;/&gt;&lt;wsp:rsid wsp:val=&quot;00A5634E&quot;/&gt;&lt;wsp:rsid wsp:val=&quot;00A566F4&quot;/&gt;&lt;wsp:rsid wsp:val=&quot;00A56BBB&quot;/&gt;&lt;wsp:rsid wsp:val=&quot;00A5711D&quot;/&gt;&lt;wsp:rsid wsp:val=&quot;00A5718F&quot;/&gt;&lt;wsp:rsid wsp:val=&quot;00A57E05&quot;/&gt;&lt;wsp:rsid wsp:val=&quot;00A607CA&quot;/&gt;&lt;wsp:rsid wsp:val=&quot;00A62314&quot;/&gt;&lt;wsp:rsid wsp:val=&quot;00A634B8&quot;/&gt;&lt;wsp:rsid wsp:val=&quot;00A643CA&quot;/&gt;&lt;wsp:rsid wsp:val=&quot;00A64E18&quot;/&gt;&lt;wsp:rsid wsp:val=&quot;00A65227&quot;/&gt;&lt;wsp:rsid wsp:val=&quot;00A660EF&quot;/&gt;&lt;wsp:rsid wsp:val=&quot;00A672F4&quot;/&gt;&lt;wsp:rsid wsp:val=&quot;00A675A1&quot;/&gt;&lt;wsp:rsid wsp:val=&quot;00A67FBC&quot;/&gt;&lt;wsp:rsid wsp:val=&quot;00A7047F&quot;/&gt;&lt;wsp:rsid wsp:val=&quot;00A72903&quot;/&gt;&lt;wsp:rsid wsp:val=&quot;00A73360&quot;/&gt;&lt;wsp:rsid wsp:val=&quot;00A734E2&quot;/&gt;&lt;wsp:rsid wsp:val=&quot;00A73640&quot;/&gt;&lt;wsp:rsid wsp:val=&quot;00A74729&quot;/&gt;&lt;wsp:rsid wsp:val=&quot;00A74DD1&quot;/&gt;&lt;wsp:rsid wsp:val=&quot;00A74E18&quot;/&gt;&lt;wsp:rsid wsp:val=&quot;00A756F2&quot;/&gt;&lt;wsp:rsid wsp:val=&quot;00A76073&quot;/&gt;&lt;wsp:rsid wsp:val=&quot;00A76243&quot;/&gt;&lt;wsp:rsid wsp:val=&quot;00A768C5&quot;/&gt;&lt;wsp:rsid wsp:val=&quot;00A77212&quot;/&gt;&lt;wsp:rsid wsp:val=&quot;00A80907&quot;/&gt;&lt;wsp:rsid wsp:val=&quot;00A81E19&quot;/&gt;&lt;wsp:rsid wsp:val=&quot;00A81F6D&quot;/&gt;&lt;wsp:rsid wsp:val=&quot;00A82428&quot;/&gt;&lt;wsp:rsid wsp:val=&quot;00A8299A&quot;/&gt;&lt;wsp:rsid wsp:val=&quot;00A82C1F&quot;/&gt;&lt;wsp:rsid wsp:val=&quot;00A82F5D&quot;/&gt;&lt;wsp:rsid wsp:val=&quot;00A8348B&quot;/&gt;&lt;wsp:rsid wsp:val=&quot;00A84999&quot;/&gt;&lt;wsp:rsid wsp:val=&quot;00A861CE&quot;/&gt;&lt;wsp:rsid wsp:val=&quot;00A865D3&quot;/&gt;&lt;wsp:rsid wsp:val=&quot;00A86E87&quot;/&gt;&lt;wsp:rsid wsp:val=&quot;00A8779F&quot;/&gt;&lt;wsp:rsid wsp:val=&quot;00A87961&quot;/&gt;&lt;wsp:rsid wsp:val=&quot;00A87D4B&quot;/&gt;&lt;wsp:rsid wsp:val=&quot;00A90974&quot;/&gt;&lt;wsp:rsid wsp:val=&quot;00A90D50&quot;/&gt;&lt;wsp:rsid wsp:val=&quot;00A90EE5&quot;/&gt;&lt;wsp:rsid wsp:val=&quot;00A90EE6&quot;/&gt;&lt;wsp:rsid wsp:val=&quot;00A91913&quot;/&gt;&lt;wsp:rsid wsp:val=&quot;00A92C50&quot;/&gt;&lt;wsp:rsid wsp:val=&quot;00A93947&quot;/&gt;&lt;wsp:rsid wsp:val=&quot;00A9451D&quot;/&gt;&lt;wsp:rsid wsp:val=&quot;00A948AC&quot;/&gt;&lt;wsp:rsid wsp:val=&quot;00A95439&quot;/&gt;&lt;wsp:rsid wsp:val=&quot;00A95C7A&quot;/&gt;&lt;wsp:rsid wsp:val=&quot;00A961F5&quot;/&gt;&lt;wsp:rsid wsp:val=&quot;00A962AD&quot;/&gt;&lt;wsp:rsid wsp:val=&quot;00A97B60&quot;/&gt;&lt;wsp:rsid wsp:val=&quot;00AA0BAA&quot;/&gt;&lt;wsp:rsid wsp:val=&quot;00AA14D7&quot;/&gt;&lt;wsp:rsid wsp:val=&quot;00AA15BD&quot;/&gt;&lt;wsp:rsid wsp:val=&quot;00AA1F2D&quot;/&gt;&lt;wsp:rsid wsp:val=&quot;00AA1FEF&quot;/&gt;&lt;wsp:rsid wsp:val=&quot;00AA29F0&quot;/&gt;&lt;wsp:rsid wsp:val=&quot;00AA5338&quot;/&gt;&lt;wsp:rsid wsp:val=&quot;00AA5B17&quot;/&gt;&lt;wsp:rsid wsp:val=&quot;00AA5BD7&quot;/&gt;&lt;wsp:rsid wsp:val=&quot;00AA613D&quot;/&gt;&lt;wsp:rsid wsp:val=&quot;00AA6162&quot;/&gt;&lt;wsp:rsid wsp:val=&quot;00AA67B5&quot;/&gt;&lt;wsp:rsid wsp:val=&quot;00AB0280&quot;/&gt;&lt;wsp:rsid wsp:val=&quot;00AB07C5&quot;/&gt;&lt;wsp:rsid wsp:val=&quot;00AB0D86&quot;/&gt;&lt;wsp:rsid wsp:val=&quot;00AB18CA&quot;/&gt;&lt;wsp:rsid wsp:val=&quot;00AB1928&quot;/&gt;&lt;wsp:rsid wsp:val=&quot;00AB1CFE&quot;/&gt;&lt;wsp:rsid wsp:val=&quot;00AB24CE&quot;/&gt;&lt;wsp:rsid wsp:val=&quot;00AB2F7C&quot;/&gt;&lt;wsp:rsid wsp:val=&quot;00AB3096&quot;/&gt;&lt;wsp:rsid wsp:val=&quot;00AB39C7&quot;/&gt;&lt;wsp:rsid wsp:val=&quot;00AB474B&quot;/&gt;&lt;wsp:rsid wsp:val=&quot;00AB50F5&quot;/&gt;&lt;wsp:rsid wsp:val=&quot;00AB628C&quot;/&gt;&lt;wsp:rsid wsp:val=&quot;00AB6786&quot;/&gt;&lt;wsp:rsid wsp:val=&quot;00AB680D&quot;/&gt;&lt;wsp:rsid wsp:val=&quot;00AB7532&quot;/&gt;&lt;wsp:rsid wsp:val=&quot;00AB793D&quot;/&gt;&lt;wsp:rsid wsp:val=&quot;00AB7A55&quot;/&gt;&lt;wsp:rsid wsp:val=&quot;00AB7D41&quot;/&gt;&lt;wsp:rsid wsp:val=&quot;00AC0199&quot;/&gt;&lt;wsp:rsid wsp:val=&quot;00AC0882&quot;/&gt;&lt;wsp:rsid wsp:val=&quot;00AC10B8&quot;/&gt;&lt;wsp:rsid wsp:val=&quot;00AC145D&quot;/&gt;&lt;wsp:rsid wsp:val=&quot;00AC1898&quot;/&gt;&lt;wsp:rsid wsp:val=&quot;00AC195C&quot;/&gt;&lt;wsp:rsid wsp:val=&quot;00AC1A25&quot;/&gt;&lt;wsp:rsid wsp:val=&quot;00AC233E&quot;/&gt;&lt;wsp:rsid wsp:val=&quot;00AC2B9D&quot;/&gt;&lt;wsp:rsid wsp:val=&quot;00AC3107&quot;/&gt;&lt;wsp:rsid wsp:val=&quot;00AC378F&quot;/&gt;&lt;wsp:rsid wsp:val=&quot;00AC37D5&quot;/&gt;&lt;wsp:rsid wsp:val=&quot;00AC3948&quot;/&gt;&lt;wsp:rsid wsp:val=&quot;00AC4168&quot;/&gt;&lt;wsp:rsid wsp:val=&quot;00AC44B3&quot;/&gt;&lt;wsp:rsid wsp:val=&quot;00AC450E&quot;/&gt;&lt;wsp:rsid wsp:val=&quot;00AC5149&quot;/&gt;&lt;wsp:rsid wsp:val=&quot;00AC6AF2&quot;/&gt;&lt;wsp:rsid wsp:val=&quot;00AC6C4A&quot;/&gt;&lt;wsp:rsid wsp:val=&quot;00AC6F70&quot;/&gt;&lt;wsp:rsid wsp:val=&quot;00AC7730&quot;/&gt;&lt;wsp:rsid wsp:val=&quot;00AC7CEB&quot;/&gt;&lt;wsp:rsid wsp:val=&quot;00AD0148&quot;/&gt;&lt;wsp:rsid wsp:val=&quot;00AD0B96&quot;/&gt;&lt;wsp:rsid wsp:val=&quot;00AD0CB0&quot;/&gt;&lt;wsp:rsid wsp:val=&quot;00AD12C4&quot;/&gt;&lt;wsp:rsid wsp:val=&quot;00AD12F9&quot;/&gt;&lt;wsp:rsid wsp:val=&quot;00AD217E&quot;/&gt;&lt;wsp:rsid wsp:val=&quot;00AD288B&quot;/&gt;&lt;wsp:rsid wsp:val=&quot;00AD2EC0&quot;/&gt;&lt;wsp:rsid wsp:val=&quot;00AD3AE7&quot;/&gt;&lt;wsp:rsid wsp:val=&quot;00AD3F83&quot;/&gt;&lt;wsp:rsid wsp:val=&quot;00AD4A39&quot;/&gt;&lt;wsp:rsid wsp:val=&quot;00AD4D3F&quot;/&gt;&lt;wsp:rsid wsp:val=&quot;00AD4F38&quot;/&gt;&lt;wsp:rsid wsp:val=&quot;00AD59EA&quot;/&gt;&lt;wsp:rsid wsp:val=&quot;00AD5C8B&quot;/&gt;&lt;wsp:rsid wsp:val=&quot;00AD5F6E&quot;/&gt;&lt;wsp:rsid wsp:val=&quot;00AD6746&quot;/&gt;&lt;wsp:rsid wsp:val=&quot;00AD728E&quot;/&gt;&lt;wsp:rsid wsp:val=&quot;00AD7596&quot;/&gt;&lt;wsp:rsid wsp:val=&quot;00AD77B7&quot;/&gt;&lt;wsp:rsid wsp:val=&quot;00AD785B&quot;/&gt;&lt;wsp:rsid wsp:val=&quot;00AD7C0F&quot;/&gt;&lt;wsp:rsid wsp:val=&quot;00AD7C55&quot;/&gt;&lt;wsp:rsid wsp:val=&quot;00AD7C60&quot;/&gt;&lt;wsp:rsid wsp:val=&quot;00AD7CF1&quot;/&gt;&lt;wsp:rsid wsp:val=&quot;00AE061D&quot;/&gt;&lt;wsp:rsid wsp:val=&quot;00AE0B46&quot;/&gt;&lt;wsp:rsid wsp:val=&quot;00AE1346&quot;/&gt;&lt;wsp:rsid wsp:val=&quot;00AE1C2A&quot;/&gt;&lt;wsp:rsid wsp:val=&quot;00AE1EFC&quot;/&gt;&lt;wsp:rsid wsp:val=&quot;00AE2265&quot;/&gt;&lt;wsp:rsid wsp:val=&quot;00AE25CB&quot;/&gt;&lt;wsp:rsid wsp:val=&quot;00AE29B7&quot;/&gt;&lt;wsp:rsid wsp:val=&quot;00AE378C&quot;/&gt;&lt;wsp:rsid wsp:val=&quot;00AE436C&quot;/&gt;&lt;wsp:rsid wsp:val=&quot;00AE49DD&quot;/&gt;&lt;wsp:rsid wsp:val=&quot;00AE577A&quot;/&gt;&lt;wsp:rsid wsp:val=&quot;00AE5859&quot;/&gt;&lt;wsp:rsid wsp:val=&quot;00AE58B1&quot;/&gt;&lt;wsp:rsid wsp:val=&quot;00AE58EF&quot;/&gt;&lt;wsp:rsid wsp:val=&quot;00AE5BA7&quot;/&gt;&lt;wsp:rsid wsp:val=&quot;00AE6153&quot;/&gt;&lt;wsp:rsid wsp:val=&quot;00AE6EC5&quot;/&gt;&lt;wsp:rsid wsp:val=&quot;00AE7263&quot;/&gt;&lt;wsp:rsid wsp:val=&quot;00AE7CAD&quot;/&gt;&lt;wsp:rsid wsp:val=&quot;00AF27AE&quot;/&gt;&lt;wsp:rsid wsp:val=&quot;00AF2B3B&quot;/&gt;&lt;wsp:rsid wsp:val=&quot;00AF2F85&quot;/&gt;&lt;wsp:rsid wsp:val=&quot;00AF335D&quot;/&gt;&lt;wsp:rsid wsp:val=&quot;00AF3B88&quot;/&gt;&lt;wsp:rsid wsp:val=&quot;00AF4736&quot;/&gt;&lt;wsp:rsid wsp:val=&quot;00AF473B&quot;/&gt;&lt;wsp:rsid wsp:val=&quot;00AF4F59&quot;/&gt;&lt;wsp:rsid wsp:val=&quot;00AF5136&quot;/&gt;&lt;wsp:rsid wsp:val=&quot;00AF52FF&quot;/&gt;&lt;wsp:rsid wsp:val=&quot;00AF6889&quot;/&gt;&lt;wsp:rsid wsp:val=&quot;00B00A27&quot;/&gt;&lt;wsp:rsid wsp:val=&quot;00B0123F&quot;/&gt;&lt;wsp:rsid wsp:val=&quot;00B01398&quot;/&gt;&lt;wsp:rsid wsp:val=&quot;00B01508&quot;/&gt;&lt;wsp:rsid wsp:val=&quot;00B019E1&quot;/&gt;&lt;wsp:rsid wsp:val=&quot;00B02CF2&quot;/&gt;&lt;wsp:rsid wsp:val=&quot;00B02E73&quot;/&gt;&lt;wsp:rsid wsp:val=&quot;00B04347&quot;/&gt;&lt;wsp:rsid wsp:val=&quot;00B04799&quot;/&gt;&lt;wsp:rsid wsp:val=&quot;00B04AE5&quot;/&gt;&lt;wsp:rsid wsp:val=&quot;00B04B28&quot;/&gt;&lt;wsp:rsid wsp:val=&quot;00B05F63&quot;/&gt;&lt;wsp:rsid wsp:val=&quot;00B06BE3&quot;/&gt;&lt;wsp:rsid wsp:val=&quot;00B07D7A&quot;/&gt;&lt;wsp:rsid wsp:val=&quot;00B07F45&quot;/&gt;&lt;wsp:rsid wsp:val=&quot;00B07FE4&quot;/&gt;&lt;wsp:rsid wsp:val=&quot;00B10C76&quot;/&gt;&lt;wsp:rsid wsp:val=&quot;00B1101F&quot;/&gt;&lt;wsp:rsid wsp:val=&quot;00B1267A&quot;/&gt;&lt;wsp:rsid wsp:val=&quot;00B12AE3&quot;/&gt;&lt;wsp:rsid wsp:val=&quot;00B13713&quot;/&gt;&lt;wsp:rsid wsp:val=&quot;00B1407B&quot;/&gt;&lt;wsp:rsid wsp:val=&quot;00B140DC&quot;/&gt;&lt;wsp:rsid wsp:val=&quot;00B145E7&quot;/&gt;&lt;wsp:rsid wsp:val=&quot;00B1602A&quot;/&gt;&lt;wsp:rsid wsp:val=&quot;00B16A89&quot;/&gt;&lt;wsp:rsid wsp:val=&quot;00B1713F&quot;/&gt;&lt;wsp:rsid wsp:val=&quot;00B17207&quot;/&gt;&lt;wsp:rsid wsp:val=&quot;00B17926&quot;/&gt;&lt;wsp:rsid wsp:val=&quot;00B2044B&quot;/&gt;&lt;wsp:rsid wsp:val=&quot;00B206C0&quot;/&gt;&lt;wsp:rsid wsp:val=&quot;00B21110&quot;/&gt;&lt;wsp:rsid wsp:val=&quot;00B21710&quot;/&gt;&lt;wsp:rsid wsp:val=&quot;00B21CA8&quot;/&gt;&lt;wsp:rsid wsp:val=&quot;00B21DAC&quot;/&gt;&lt;wsp:rsid wsp:val=&quot;00B236C5&quot;/&gt;&lt;wsp:rsid wsp:val=&quot;00B23BD0&quot;/&gt;&lt;wsp:rsid wsp:val=&quot;00B23ECD&quot;/&gt;&lt;wsp:rsid wsp:val=&quot;00B25139&quot;/&gt;&lt;wsp:rsid wsp:val=&quot;00B252B3&quot;/&gt;&lt;wsp:rsid wsp:val=&quot;00B25350&quot;/&gt;&lt;wsp:rsid wsp:val=&quot;00B258FD&quot;/&gt;&lt;wsp:rsid wsp:val=&quot;00B2683D&quot;/&gt;&lt;wsp:rsid wsp:val=&quot;00B275E3&quot;/&gt;&lt;wsp:rsid wsp:val=&quot;00B27C2F&quot;/&gt;&lt;wsp:rsid wsp:val=&quot;00B27C44&quot;/&gt;&lt;wsp:rsid wsp:val=&quot;00B27D92&quot;/&gt;&lt;wsp:rsid wsp:val=&quot;00B30256&quot;/&gt;&lt;wsp:rsid wsp:val=&quot;00B309F2&quot;/&gt;&lt;wsp:rsid wsp:val=&quot;00B3139A&quot;/&gt;&lt;wsp:rsid wsp:val=&quot;00B31658&quot;/&gt;&lt;wsp:rsid wsp:val=&quot;00B31771&quot;/&gt;&lt;wsp:rsid wsp:val=&quot;00B318B7&quot;/&gt;&lt;wsp:rsid wsp:val=&quot;00B32066&quot;/&gt;&lt;wsp:rsid wsp:val=&quot;00B32367&quot;/&gt;&lt;wsp:rsid wsp:val=&quot;00B32655&quot;/&gt;&lt;wsp:rsid wsp:val=&quot;00B3300B&quot;/&gt;&lt;wsp:rsid wsp:val=&quot;00B333B9&quot;/&gt;&lt;wsp:rsid wsp:val=&quot;00B334B8&quot;/&gt;&lt;wsp:rsid wsp:val=&quot;00B35294&quot;/&gt;&lt;wsp:rsid wsp:val=&quot;00B365A0&quot;/&gt;&lt;wsp:rsid wsp:val=&quot;00B36C50&quot;/&gt;&lt;wsp:rsid wsp:val=&quot;00B36EC6&quot;/&gt;&lt;wsp:rsid wsp:val=&quot;00B37269&quot;/&gt;&lt;wsp:rsid wsp:val=&quot;00B378C8&quot;/&gt;&lt;wsp:rsid wsp:val=&quot;00B40693&quot;/&gt;&lt;wsp:rsid wsp:val=&quot;00B4298E&quot;/&gt;&lt;wsp:rsid wsp:val=&quot;00B4317F&quot;/&gt;&lt;wsp:rsid wsp:val=&quot;00B46066&quot;/&gt;&lt;wsp:rsid wsp:val=&quot;00B469D9&quot;/&gt;&lt;wsp:rsid wsp:val=&quot;00B47496&quot;/&gt;&lt;wsp:rsid wsp:val=&quot;00B47B2C&quot;/&gt;&lt;wsp:rsid wsp:val=&quot;00B47D6C&quot;/&gt;&lt;wsp:rsid wsp:val=&quot;00B5038D&quot;/&gt;&lt;wsp:rsid wsp:val=&quot;00B507CB&quot;/&gt;&lt;wsp:rsid wsp:val=&quot;00B50C30&quot;/&gt;&lt;wsp:rsid wsp:val=&quot;00B50EC7&quot;/&gt;&lt;wsp:rsid wsp:val=&quot;00B5125A&quot;/&gt;&lt;wsp:rsid wsp:val=&quot;00B517BA&quot;/&gt;&lt;wsp:rsid wsp:val=&quot;00B51AFF&quot;/&gt;&lt;wsp:rsid wsp:val=&quot;00B52D19&quot;/&gt;&lt;wsp:rsid wsp:val=&quot;00B52E79&quot;/&gt;&lt;wsp:rsid wsp:val=&quot;00B542D6&quot;/&gt;&lt;wsp:rsid wsp:val=&quot;00B543A6&quot;/&gt;&lt;wsp:rsid wsp:val=&quot;00B54AFC&quot;/&gt;&lt;wsp:rsid wsp:val=&quot;00B55B34&quot;/&gt;&lt;wsp:rsid wsp:val=&quot;00B55D28&quot;/&gt;&lt;wsp:rsid wsp:val=&quot;00B55FCC&quot;/&gt;&lt;wsp:rsid wsp:val=&quot;00B5688E&quot;/&gt;&lt;wsp:rsid wsp:val=&quot;00B569B8&quot;/&gt;&lt;wsp:rsid wsp:val=&quot;00B56F0A&quot;/&gt;&lt;wsp:rsid wsp:val=&quot;00B575F1&quot;/&gt;&lt;wsp:rsid wsp:val=&quot;00B57F20&quot;/&gt;&lt;wsp:rsid wsp:val=&quot;00B60ABF&quot;/&gt;&lt;wsp:rsid wsp:val=&quot;00B60C37&quot;/&gt;&lt;wsp:rsid wsp:val=&quot;00B62653&quot;/&gt;&lt;wsp:rsid wsp:val=&quot;00B635CC&quot;/&gt;&lt;wsp:rsid wsp:val=&quot;00B63676&quot;/&gt;&lt;wsp:rsid wsp:val=&quot;00B6402C&quot;/&gt;&lt;wsp:rsid wsp:val=&quot;00B64FC8&quot;/&gt;&lt;wsp:rsid wsp:val=&quot;00B65D4D&quot;/&gt;&lt;wsp:rsid wsp:val=&quot;00B6684F&quot;/&gt;&lt;wsp:rsid wsp:val=&quot;00B66F64&quot;/&gt;&lt;wsp:rsid wsp:val=&quot;00B67141&quot;/&gt;&lt;wsp:rsid wsp:val=&quot;00B67211&quot;/&gt;&lt;wsp:rsid wsp:val=&quot;00B678F2&quot;/&gt;&lt;wsp:rsid wsp:val=&quot;00B67BD0&quot;/&gt;&lt;wsp:rsid wsp:val=&quot;00B702CC&quot;/&gt;&lt;wsp:rsid wsp:val=&quot;00B70744&quot;/&gt;&lt;wsp:rsid wsp:val=&quot;00B722A3&quot;/&gt;&lt;wsp:rsid wsp:val=&quot;00B724AB&quot;/&gt;&lt;wsp:rsid wsp:val=&quot;00B72CA3&quot;/&gt;&lt;wsp:rsid wsp:val=&quot;00B73714&quot;/&gt;&lt;wsp:rsid wsp:val=&quot;00B73FC0&quot;/&gt;&lt;wsp:rsid wsp:val=&quot;00B7467B&quot;/&gt;&lt;wsp:rsid wsp:val=&quot;00B754A5&quot;/&gt;&lt;wsp:rsid wsp:val=&quot;00B760BB&quot;/&gt;&lt;wsp:rsid wsp:val=&quot;00B77973&quot;/&gt;&lt;wsp:rsid wsp:val=&quot;00B77BD3&quot;/&gt;&lt;wsp:rsid wsp:val=&quot;00B77F0B&quot;/&gt;&lt;wsp:rsid wsp:val=&quot;00B801B7&quot;/&gt;&lt;wsp:rsid wsp:val=&quot;00B804FD&quot;/&gt;&lt;wsp:rsid wsp:val=&quot;00B807D7&quot;/&gt;&lt;wsp:rsid wsp:val=&quot;00B8160C&quot;/&gt;&lt;wsp:rsid wsp:val=&quot;00B82558&quot;/&gt;&lt;wsp:rsid wsp:val=&quot;00B832DC&quot;/&gt;&lt;wsp:rsid wsp:val=&quot;00B84F82&quot;/&gt;&lt;wsp:rsid wsp:val=&quot;00B85451&quot;/&gt;&lt;wsp:rsid wsp:val=&quot;00B858D2&quot;/&gt;&lt;wsp:rsid wsp:val=&quot;00B85A6A&quot;/&gt;&lt;wsp:rsid wsp:val=&quot;00B873C0&quot;/&gt;&lt;wsp:rsid wsp:val=&quot;00B87AB2&quot;/&gt;&lt;wsp:rsid wsp:val=&quot;00B90169&quot;/&gt;&lt;wsp:rsid wsp:val=&quot;00B907A6&quot;/&gt;&lt;wsp:rsid wsp:val=&quot;00B90FEE&quot;/&gt;&lt;wsp:rsid wsp:val=&quot;00B9123F&quot;/&gt;&lt;wsp:rsid wsp:val=&quot;00B91B97&quot;/&gt;&lt;wsp:rsid wsp:val=&quot;00B93265&quot;/&gt;&lt;wsp:rsid wsp:val=&quot;00B947D8&quot;/&gt;&lt;wsp:rsid wsp:val=&quot;00B95F41&quot;/&gt;&lt;wsp:rsid wsp:val=&quot;00B961DD&quot;/&gt;&lt;wsp:rsid wsp:val=&quot;00B96748&quot;/&gt;&lt;wsp:rsid wsp:val=&quot;00B9699C&quot;/&gt;&lt;wsp:rsid wsp:val=&quot;00B97060&quot;/&gt;&lt;wsp:rsid wsp:val=&quot;00BA004B&quot;/&gt;&lt;wsp:rsid wsp:val=&quot;00BA0220&quot;/&gt;&lt;wsp:rsid wsp:val=&quot;00BA1083&quot;/&gt;&lt;wsp:rsid wsp:val=&quot;00BA1A36&quot;/&gt;&lt;wsp:rsid wsp:val=&quot;00BA210F&quot;/&gt;&lt;wsp:rsid wsp:val=&quot;00BA2581&quot;/&gt;&lt;wsp:rsid wsp:val=&quot;00BA3443&quot;/&gt;&lt;wsp:rsid wsp:val=&quot;00BA3D68&quot;/&gt;&lt;wsp:rsid wsp:val=&quot;00BA4542&quot;/&gt;&lt;wsp:rsid wsp:val=&quot;00BA475F&quot;/&gt;&lt;wsp:rsid wsp:val=&quot;00BA4CEF&quot;/&gt;&lt;wsp:rsid wsp:val=&quot;00BA5A05&quot;/&gt;&lt;wsp:rsid wsp:val=&quot;00BA612C&quot;/&gt;&lt;wsp:rsid wsp:val=&quot;00BA6287&quot;/&gt;&lt;wsp:rsid wsp:val=&quot;00BA74A2&quot;/&gt;&lt;wsp:rsid wsp:val=&quot;00BA7A7F&quot;/&gt;&lt;wsp:rsid wsp:val=&quot;00BA7B1E&quot;/&gt;&lt;wsp:rsid wsp:val=&quot;00BB0A58&quot;/&gt;&lt;wsp:rsid wsp:val=&quot;00BB0E7C&quot;/&gt;&lt;wsp:rsid wsp:val=&quot;00BB19A0&quot;/&gt;&lt;wsp:rsid wsp:val=&quot;00BB2607&quot;/&gt;&lt;wsp:rsid wsp:val=&quot;00BB2658&quot;/&gt;&lt;wsp:rsid wsp:val=&quot;00BB2D3F&quot;/&gt;&lt;wsp:rsid wsp:val=&quot;00BB47AB&quot;/&gt;&lt;wsp:rsid wsp:val=&quot;00BB4D45&quot;/&gt;&lt;wsp:rsid wsp:val=&quot;00BB4D6F&quot;/&gt;&lt;wsp:rsid wsp:val=&quot;00BB5BF2&quot;/&gt;&lt;wsp:rsid wsp:val=&quot;00BB67DA&quot;/&gt;&lt;wsp:rsid wsp:val=&quot;00BB7AB5&quot;/&gt;&lt;wsp:rsid wsp:val=&quot;00BC1453&quot;/&gt;&lt;wsp:rsid wsp:val=&quot;00BC1A32&quot;/&gt;&lt;wsp:rsid wsp:val=&quot;00BC1E76&quot;/&gt;&lt;wsp:rsid wsp:val=&quot;00BC2392&quot;/&gt;&lt;wsp:rsid wsp:val=&quot;00BC2E71&quot;/&gt;&lt;wsp:rsid wsp:val=&quot;00BC333C&quot;/&gt;&lt;wsp:rsid wsp:val=&quot;00BC36F8&quot;/&gt;&lt;wsp:rsid wsp:val=&quot;00BC42F8&quot;/&gt;&lt;wsp:rsid wsp:val=&quot;00BC4352&quot;/&gt;&lt;wsp:rsid wsp:val=&quot;00BC48ED&quot;/&gt;&lt;wsp:rsid wsp:val=&quot;00BC4DAD&quot;/&gt;&lt;wsp:rsid wsp:val=&quot;00BC581F&quot;/&gt;&lt;wsp:rsid wsp:val=&quot;00BC66FB&quot;/&gt;&lt;wsp:rsid wsp:val=&quot;00BC6CE1&quot;/&gt;&lt;wsp:rsid wsp:val=&quot;00BC715D&quot;/&gt;&lt;wsp:rsid wsp:val=&quot;00BC727B&quot;/&gt;&lt;wsp:rsid wsp:val=&quot;00BC79F5&quot;/&gt;&lt;wsp:rsid wsp:val=&quot;00BC7A29&quot;/&gt;&lt;wsp:rsid wsp:val=&quot;00BC7AC4&quot;/&gt;&lt;wsp:rsid wsp:val=&quot;00BD078B&quot;/&gt;&lt;wsp:rsid wsp:val=&quot;00BD0B53&quot;/&gt;&lt;wsp:rsid wsp:val=&quot;00BD0D03&quot;/&gt;&lt;wsp:rsid wsp:val=&quot;00BD0E39&quot;/&gt;&lt;wsp:rsid wsp:val=&quot;00BD1B9D&quot;/&gt;&lt;wsp:rsid wsp:val=&quot;00BD1F16&quot;/&gt;&lt;wsp:rsid wsp:val=&quot;00BD20A3&quot;/&gt;&lt;wsp:rsid wsp:val=&quot;00BD22DB&quot;/&gt;&lt;wsp:rsid wsp:val=&quot;00BD23A5&quot;/&gt;&lt;wsp:rsid wsp:val=&quot;00BD248C&quot;/&gt;&lt;wsp:rsid wsp:val=&quot;00BD24DC&quot;/&gt;&lt;wsp:rsid wsp:val=&quot;00BD27A7&quot;/&gt;&lt;wsp:rsid wsp:val=&quot;00BD324F&quot;/&gt;&lt;wsp:rsid wsp:val=&quot;00BD4549&quot;/&gt;&lt;wsp:rsid wsp:val=&quot;00BD4712&quot;/&gt;&lt;wsp:rsid wsp:val=&quot;00BD4B62&quot;/&gt;&lt;wsp:rsid wsp:val=&quot;00BD62A0&quot;/&gt;&lt;wsp:rsid wsp:val=&quot;00BD677C&quot;/&gt;&lt;wsp:rsid wsp:val=&quot;00BD6EE1&quot;/&gt;&lt;wsp:rsid wsp:val=&quot;00BD735D&quot;/&gt;&lt;wsp:rsid wsp:val=&quot;00BE09C7&quot;/&gt;&lt;wsp:rsid wsp:val=&quot;00BE1185&quot;/&gt;&lt;wsp:rsid wsp:val=&quot;00BE213C&quot;/&gt;&lt;wsp:rsid wsp:val=&quot;00BE237D&quot;/&gt;&lt;wsp:rsid wsp:val=&quot;00BE448A&quot;/&gt;&lt;wsp:rsid wsp:val=&quot;00BE4E79&quot;/&gt;&lt;wsp:rsid wsp:val=&quot;00BE53CE&quot;/&gt;&lt;wsp:rsid wsp:val=&quot;00BE53F2&quot;/&gt;&lt;wsp:rsid wsp:val=&quot;00BE58BB&quot;/&gt;&lt;wsp:rsid wsp:val=&quot;00BE5CA8&quot;/&gt;&lt;wsp:rsid wsp:val=&quot;00BE6954&quot;/&gt;&lt;wsp:rsid wsp:val=&quot;00BE6C42&quot;/&gt;&lt;wsp:rsid wsp:val=&quot;00BE7838&quot;/&gt;&lt;wsp:rsid wsp:val=&quot;00BE7959&quot;/&gt;&lt;wsp:rsid wsp:val=&quot;00BE7FC1&quot;/&gt;&lt;wsp:rsid wsp:val=&quot;00BF0F0E&quot;/&gt;&lt;wsp:rsid wsp:val=&quot;00BF0FC3&quot;/&gt;&lt;wsp:rsid wsp:val=&quot;00BF1904&quot;/&gt;&lt;wsp:rsid wsp:val=&quot;00BF1921&quot;/&gt;&lt;wsp:rsid wsp:val=&quot;00BF1D13&quot;/&gt;&lt;wsp:rsid wsp:val=&quot;00BF3381&quot;/&gt;&lt;wsp:rsid wsp:val=&quot;00BF3980&quot;/&gt;&lt;wsp:rsid wsp:val=&quot;00BF6008&quot;/&gt;&lt;wsp:rsid wsp:val=&quot;00BF67E5&quot;/&gt;&lt;wsp:rsid wsp:val=&quot;00C00C2B&quot;/&gt;&lt;wsp:rsid wsp:val=&quot;00C01111&quot;/&gt;&lt;wsp:rsid wsp:val=&quot;00C01719&quot;/&gt;&lt;wsp:rsid wsp:val=&quot;00C01768&quot;/&gt;&lt;wsp:rsid wsp:val=&quot;00C01C0D&quot;/&gt;&lt;wsp:rsid wsp:val=&quot;00C0248B&quot;/&gt;&lt;wsp:rsid wsp:val=&quot;00C026AC&quot;/&gt;&lt;wsp:rsid wsp:val=&quot;00C03D56&quot;/&gt;&lt;wsp:rsid wsp:val=&quot;00C045C4&quot;/&gt;&lt;wsp:rsid wsp:val=&quot;00C04CFF&quot;/&gt;&lt;wsp:rsid wsp:val=&quot;00C04D40&quot;/&gt;&lt;wsp:rsid wsp:val=&quot;00C05243&quot;/&gt;&lt;wsp:rsid wsp:val=&quot;00C05762&quot;/&gt;&lt;wsp:rsid wsp:val=&quot;00C0586E&quot;/&gt;&lt;wsp:rsid wsp:val=&quot;00C058B3&quot;/&gt;&lt;wsp:rsid wsp:val=&quot;00C07E33&quot;/&gt;&lt;wsp:rsid wsp:val=&quot;00C07FD8&quot;/&gt;&lt;wsp:rsid wsp:val=&quot;00C1031A&quot;/&gt;&lt;wsp:rsid wsp:val=&quot;00C1114E&quot;/&gt;&lt;wsp:rsid wsp:val=&quot;00C111B8&quot;/&gt;&lt;wsp:rsid wsp:val=&quot;00C11768&quot;/&gt;&lt;wsp:rsid wsp:val=&quot;00C117F6&quot;/&gt;&lt;wsp:rsid wsp:val=&quot;00C1276E&quot;/&gt;&lt;wsp:rsid wsp:val=&quot;00C12FC9&quot;/&gt;&lt;wsp:rsid wsp:val=&quot;00C1376D&quot;/&gt;&lt;wsp:rsid wsp:val=&quot;00C13CE5&quot;/&gt;&lt;wsp:rsid wsp:val=&quot;00C154FB&quot;/&gt;&lt;wsp:rsid wsp:val=&quot;00C156D0&quot;/&gt;&lt;wsp:rsid wsp:val=&quot;00C1613F&quot;/&gt;&lt;wsp:rsid wsp:val=&quot;00C16F0E&quot;/&gt;&lt;wsp:rsid wsp:val=&quot;00C17639&quot;/&gt;&lt;wsp:rsid wsp:val=&quot;00C17D84&quot;/&gt;&lt;wsp:rsid wsp:val=&quot;00C20E9A&quot;/&gt;&lt;wsp:rsid wsp:val=&quot;00C2118C&quot;/&gt;&lt;wsp:rsid wsp:val=&quot;00C218E2&quot;/&gt;&lt;wsp:rsid wsp:val=&quot;00C21E4C&quot;/&gt;&lt;wsp:rsid wsp:val=&quot;00C22209&quot;/&gt;&lt;wsp:rsid wsp:val=&quot;00C238F1&quot;/&gt;&lt;wsp:rsid wsp:val=&quot;00C2400E&quot;/&gt;&lt;wsp:rsid wsp:val=&quot;00C256EC&quot;/&gt;&lt;wsp:rsid wsp:val=&quot;00C257A5&quot;/&gt;&lt;wsp:rsid wsp:val=&quot;00C25AF3&quot;/&gt;&lt;wsp:rsid wsp:val=&quot;00C25B20&quot;/&gt;&lt;wsp:rsid wsp:val=&quot;00C2634E&quot;/&gt;&lt;wsp:rsid wsp:val=&quot;00C27404&quot;/&gt;&lt;wsp:rsid wsp:val=&quot;00C27886&quot;/&gt;&lt;wsp:rsid wsp:val=&quot;00C3079D&quot;/&gt;&lt;wsp:rsid wsp:val=&quot;00C3092E&quot;/&gt;&lt;wsp:rsid wsp:val=&quot;00C3102B&quot;/&gt;&lt;wsp:rsid wsp:val=&quot;00C3127C&quot;/&gt;&lt;wsp:rsid wsp:val=&quot;00C31ACE&quot;/&gt;&lt;wsp:rsid wsp:val=&quot;00C31F6A&quot;/&gt;&lt;wsp:rsid wsp:val=&quot;00C3222C&quot;/&gt;&lt;wsp:rsid wsp:val=&quot;00C327B1&quot;/&gt;&lt;wsp:rsid wsp:val=&quot;00C32983&quot;/&gt;&lt;wsp:rsid wsp:val=&quot;00C3382D&quot;/&gt;&lt;wsp:rsid wsp:val=&quot;00C342D2&quot;/&gt;&lt;wsp:rsid wsp:val=&quot;00C35EC5&quot;/&gt;&lt;wsp:rsid wsp:val=&quot;00C36167&quot;/&gt;&lt;wsp:rsid wsp:val=&quot;00C365FA&quot;/&gt;&lt;wsp:rsid wsp:val=&quot;00C3746E&quot;/&gt;&lt;wsp:rsid wsp:val=&quot;00C374BA&quot;/&gt;&lt;wsp:rsid wsp:val=&quot;00C37628&quot;/&gt;&lt;wsp:rsid wsp:val=&quot;00C40D3F&quot;/&gt;&lt;wsp:rsid wsp:val=&quot;00C413E3&quot;/&gt;&lt;wsp:rsid wsp:val=&quot;00C419BC&quot;/&gt;&lt;wsp:rsid wsp:val=&quot;00C42A82&quot;/&gt;&lt;wsp:rsid wsp:val=&quot;00C42F31&quot;/&gt;&lt;wsp:rsid wsp:val=&quot;00C44333&quot;/&gt;&lt;wsp:rsid wsp:val=&quot;00C44CDD&quot;/&gt;&lt;wsp:rsid wsp:val=&quot;00C45286&quot;/&gt;&lt;wsp:rsid wsp:val=&quot;00C45906&quot;/&gt;&lt;wsp:rsid wsp:val=&quot;00C46A59&quot;/&gt;&lt;wsp:rsid wsp:val=&quot;00C46CCB&quot;/&gt;&lt;wsp:rsid wsp:val=&quot;00C46E9B&quot;/&gt;&lt;wsp:rsid wsp:val=&quot;00C47CC6&quot;/&gt;&lt;wsp:rsid wsp:val=&quot;00C50175&quot;/&gt;&lt;wsp:rsid wsp:val=&quot;00C505A8&quot;/&gt;&lt;wsp:rsid wsp:val=&quot;00C5192D&quot;/&gt;&lt;wsp:rsid wsp:val=&quot;00C51A13&quot;/&gt;&lt;wsp:rsid wsp:val=&quot;00C51C15&quot;/&gt;&lt;wsp:rsid wsp:val=&quot;00C51EEB&quot;/&gt;&lt;wsp:rsid wsp:val=&quot;00C525C6&quot;/&gt;&lt;wsp:rsid wsp:val=&quot;00C5290E&quot;/&gt;&lt;wsp:rsid wsp:val=&quot;00C53E01&quot;/&gt;&lt;wsp:rsid wsp:val=&quot;00C53EEF&quot;/&gt;&lt;wsp:rsid wsp:val=&quot;00C5473D&quot;/&gt;&lt;wsp:rsid wsp:val=&quot;00C55130&quot;/&gt;&lt;wsp:rsid wsp:val=&quot;00C55DA3&quot;/&gt;&lt;wsp:rsid wsp:val=&quot;00C5611A&quot;/&gt;&lt;wsp:rsid wsp:val=&quot;00C567B8&quot;/&gt;&lt;wsp:rsid wsp:val=&quot;00C57D53&quot;/&gt;&lt;wsp:rsid wsp:val=&quot;00C57E8F&quot;/&gt;&lt;wsp:rsid wsp:val=&quot;00C601D2&quot;/&gt;&lt;wsp:rsid wsp:val=&quot;00C6020A&quot;/&gt;&lt;wsp:rsid wsp:val=&quot;00C6057D&quot;/&gt;&lt;wsp:rsid wsp:val=&quot;00C60F22&quot;/&gt;&lt;wsp:rsid wsp:val=&quot;00C6227B&quot;/&gt;&lt;wsp:rsid wsp:val=&quot;00C62808&quot;/&gt;&lt;wsp:rsid wsp:val=&quot;00C62939&quot;/&gt;&lt;wsp:rsid wsp:val=&quot;00C63C93&quot;/&gt;&lt;wsp:rsid wsp:val=&quot;00C6401A&quot;/&gt;&lt;wsp:rsid wsp:val=&quot;00C6423B&quot;/&gt;&lt;wsp:rsid wsp:val=&quot;00C652C3&quot;/&gt;&lt;wsp:rsid wsp:val=&quot;00C663B0&quot;/&gt;&lt;wsp:rsid wsp:val=&quot;00C66B9B&quot;/&gt;&lt;wsp:rsid wsp:val=&quot;00C677DF&quot;/&gt;&lt;wsp:rsid wsp:val=&quot;00C678A5&quot;/&gt;&lt;wsp:rsid wsp:val=&quot;00C67991&quot;/&gt;&lt;wsp:rsid wsp:val=&quot;00C70221&quot;/&gt;&lt;wsp:rsid wsp:val=&quot;00C702BA&quot;/&gt;&lt;wsp:rsid wsp:val=&quot;00C70741&quot;/&gt;&lt;wsp:rsid wsp:val=&quot;00C70749&quot;/&gt;&lt;wsp:rsid wsp:val=&quot;00C70DB9&quot;/&gt;&lt;wsp:rsid wsp:val=&quot;00C70F2C&quot;/&gt;&lt;wsp:rsid wsp:val=&quot;00C71245&quot;/&gt;&lt;wsp:rsid wsp:val=&quot;00C71A58&quot;/&gt;&lt;wsp:rsid wsp:val=&quot;00C725B1&quot;/&gt;&lt;wsp:rsid wsp:val=&quot;00C72D00&quot;/&gt;&lt;wsp:rsid wsp:val=&quot;00C7312E&quot;/&gt;&lt;wsp:rsid wsp:val=&quot;00C73176&quot;/&gt;&lt;wsp:rsid wsp:val=&quot;00C7549E&quot;/&gt;&lt;wsp:rsid wsp:val=&quot;00C755B5&quot;/&gt;&lt;wsp:rsid wsp:val=&quot;00C75C31&quot;/&gt;&lt;wsp:rsid wsp:val=&quot;00C76052&quot;/&gt;&lt;wsp:rsid wsp:val=&quot;00C7695E&quot;/&gt;&lt;wsp:rsid wsp:val=&quot;00C77C28&quot;/&gt;&lt;wsp:rsid wsp:val=&quot;00C77F24&quot;/&gt;&lt;wsp:rsid wsp:val=&quot;00C8029B&quot;/&gt;&lt;wsp:rsid wsp:val=&quot;00C80528&quot;/&gt;&lt;wsp:rsid wsp:val=&quot;00C80580&quot;/&gt;&lt;wsp:rsid wsp:val=&quot;00C80D8D&quot;/&gt;&lt;wsp:rsid wsp:val=&quot;00C81574&quot;/&gt;&lt;wsp:rsid wsp:val=&quot;00C81C5F&quot;/&gt;&lt;wsp:rsid wsp:val=&quot;00C827BA&quot;/&gt;&lt;wsp:rsid wsp:val=&quot;00C82A0E&quot;/&gt;&lt;wsp:rsid wsp:val=&quot;00C82B23&quot;/&gt;&lt;wsp:rsid wsp:val=&quot;00C8395F&quot;/&gt;&lt;wsp:rsid wsp:val=&quot;00C83E01&quot;/&gt;&lt;wsp:rsid wsp:val=&quot;00C8485B&quot;/&gt;&lt;wsp:rsid wsp:val=&quot;00C84876&quot;/&gt;&lt;wsp:rsid wsp:val=&quot;00C86205&quot;/&gt;&lt;wsp:rsid wsp:val=&quot;00C86700&quot;/&gt;&lt;wsp:rsid wsp:val=&quot;00C87142&quot;/&gt;&lt;wsp:rsid wsp:val=&quot;00C875F6&quot;/&gt;&lt;wsp:rsid wsp:val=&quot;00C87819&quot;/&gt;&lt;wsp:rsid wsp:val=&quot;00C879AD&quot;/&gt;&lt;wsp:rsid wsp:val=&quot;00C90A5D&quot;/&gt;&lt;wsp:rsid wsp:val=&quot;00C91262&quot;/&gt;&lt;wsp:rsid wsp:val=&quot;00C91445&quot;/&gt;&lt;wsp:rsid wsp:val=&quot;00C916A4&quot;/&gt;&lt;wsp:rsid wsp:val=&quot;00C92E70&quot;/&gt;&lt;wsp:rsid wsp:val=&quot;00C931FA&quot;/&gt;&lt;wsp:rsid wsp:val=&quot;00C93B18&quot;/&gt;&lt;wsp:rsid wsp:val=&quot;00C93C9D&quot;/&gt;&lt;wsp:rsid wsp:val=&quot;00C93D01&quot;/&gt;&lt;wsp:rsid wsp:val=&quot;00C93F39&quot;/&gt;&lt;wsp:rsid wsp:val=&quot;00C94169&quot;/&gt;&lt;wsp:rsid wsp:val=&quot;00C943B7&quot;/&gt;&lt;wsp:rsid wsp:val=&quot;00C9460B&quot;/&gt;&lt;wsp:rsid wsp:val=&quot;00C9609A&quot;/&gt;&lt;wsp:rsid wsp:val=&quot;00C964ED&quot;/&gt;&lt;wsp:rsid wsp:val=&quot;00C96515&quot;/&gt;&lt;wsp:rsid wsp:val=&quot;00C9654E&quot;/&gt;&lt;wsp:rsid wsp:val=&quot;00C965B9&quot;/&gt;&lt;wsp:rsid wsp:val=&quot;00C97B99&quot;/&gt;&lt;wsp:rsid wsp:val=&quot;00CA0A39&quot;/&gt;&lt;wsp:rsid wsp:val=&quot;00CA0C3C&quot;/&gt;&lt;wsp:rsid wsp:val=&quot;00CA0CD5&quot;/&gt;&lt;wsp:rsid wsp:val=&quot;00CA132F&quot;/&gt;&lt;wsp:rsid wsp:val=&quot;00CA149B&quot;/&gt;&lt;wsp:rsid wsp:val=&quot;00CA1503&quot;/&gt;&lt;wsp:rsid wsp:val=&quot;00CA1F4B&quot;/&gt;&lt;wsp:rsid wsp:val=&quot;00CA2502&quot;/&gt;&lt;wsp:rsid wsp:val=&quot;00CA2BAB&quot;/&gt;&lt;wsp:rsid wsp:val=&quot;00CA3254&quot;/&gt;&lt;wsp:rsid wsp:val=&quot;00CA3FA9&quot;/&gt;&lt;wsp:rsid wsp:val=&quot;00CA4319&quot;/&gt;&lt;wsp:rsid wsp:val=&quot;00CA4508&quot;/&gt;&lt;wsp:rsid wsp:val=&quot;00CA5142&quot;/&gt;&lt;wsp:rsid wsp:val=&quot;00CA5DF1&quot;/&gt;&lt;wsp:rsid wsp:val=&quot;00CA6DB4&quot;/&gt;&lt;wsp:rsid wsp:val=&quot;00CB028B&quot;/&gt;&lt;wsp:rsid wsp:val=&quot;00CB04B3&quot;/&gt;&lt;wsp:rsid wsp:val=&quot;00CB0FA6&quot;/&gt;&lt;wsp:rsid wsp:val=&quot;00CB1928&quot;/&gt;&lt;wsp:rsid wsp:val=&quot;00CB28A0&quot;/&gt;&lt;wsp:rsid wsp:val=&quot;00CB3411&quot;/&gt;&lt;wsp:rsid wsp:val=&quot;00CB4328&quot;/&gt;&lt;wsp:rsid wsp:val=&quot;00CB5E3F&quot;/&gt;&lt;wsp:rsid wsp:val=&quot;00CB62B2&quot;/&gt;&lt;wsp:rsid wsp:val=&quot;00CB68E6&quot;/&gt;&lt;wsp:rsid wsp:val=&quot;00CB6ADE&quot;/&gt;&lt;wsp:rsid wsp:val=&quot;00CB7DAD&quot;/&gt;&lt;wsp:rsid wsp:val=&quot;00CC0371&quot;/&gt;&lt;wsp:rsid wsp:val=&quot;00CC0455&quot;/&gt;&lt;wsp:rsid wsp:val=&quot;00CC0E7E&quot;/&gt;&lt;wsp:rsid wsp:val=&quot;00CC0FAA&quot;/&gt;&lt;wsp:rsid wsp:val=&quot;00CC12C9&quot;/&gt;&lt;wsp:rsid wsp:val=&quot;00CC15D7&quot;/&gt;&lt;wsp:rsid wsp:val=&quot;00CC1B8A&quot;/&gt;&lt;wsp:rsid wsp:val=&quot;00CC21EA&quot;/&gt;&lt;wsp:rsid wsp:val=&quot;00CC2EE9&quot;/&gt;&lt;wsp:rsid wsp:val=&quot;00CC3159&quot;/&gt;&lt;wsp:rsid wsp:val=&quot;00CC3BAD&quot;/&gt;&lt;wsp:rsid wsp:val=&quot;00CC44EB&quot;/&gt;&lt;wsp:rsid wsp:val=&quot;00CC4537&quot;/&gt;&lt;wsp:rsid wsp:val=&quot;00CC613A&quot;/&gt;&lt;wsp:rsid wsp:val=&quot;00CC67B0&quot;/&gt;&lt;wsp:rsid wsp:val=&quot;00CC683B&quot;/&gt;&lt;wsp:rsid wsp:val=&quot;00CC6C3F&quot;/&gt;&lt;wsp:rsid wsp:val=&quot;00CD08D1&quot;/&gt;&lt;wsp:rsid wsp:val=&quot;00CD0A85&quot;/&gt;&lt;wsp:rsid wsp:val=&quot;00CD1170&quot;/&gt;&lt;wsp:rsid wsp:val=&quot;00CD12C5&quot;/&gt;&lt;wsp:rsid wsp:val=&quot;00CD1AED&quot;/&gt;&lt;wsp:rsid wsp:val=&quot;00CD23CE&quot;/&gt;&lt;wsp:rsid wsp:val=&quot;00CD2DFB&quot;/&gt;&lt;wsp:rsid wsp:val=&quot;00CD34AD&quot;/&gt;&lt;wsp:rsid wsp:val=&quot;00CD36E1&quot;/&gt;&lt;wsp:rsid wsp:val=&quot;00CD499F&quot;/&gt;&lt;wsp:rsid wsp:val=&quot;00CD537E&quot;/&gt;&lt;wsp:rsid wsp:val=&quot;00CD58E2&quot;/&gt;&lt;wsp:rsid wsp:val=&quot;00CD79C9&quot;/&gt;&lt;wsp:rsid wsp:val=&quot;00CD7F4B&quot;/&gt;&lt;wsp:rsid wsp:val=&quot;00CE0F9A&quot;/&gt;&lt;wsp:rsid wsp:val=&quot;00CE12E0&quot;/&gt;&lt;wsp:rsid wsp:val=&quot;00CE278A&quot;/&gt;&lt;wsp:rsid wsp:val=&quot;00CE279F&quot;/&gt;&lt;wsp:rsid wsp:val=&quot;00CE2A75&quot;/&gt;&lt;wsp:rsid wsp:val=&quot;00CE319E&quot;/&gt;&lt;wsp:rsid wsp:val=&quot;00CE3D82&quot;/&gt;&lt;wsp:rsid wsp:val=&quot;00CE5131&quot;/&gt;&lt;wsp:rsid wsp:val=&quot;00CE57C7&quot;/&gt;&lt;wsp:rsid wsp:val=&quot;00CE63B9&quot;/&gt;&lt;wsp:rsid wsp:val=&quot;00CE6454&quot;/&gt;&lt;wsp:rsid wsp:val=&quot;00CE6576&quot;/&gt;&lt;wsp:rsid wsp:val=&quot;00CE6917&quot;/&gt;&lt;wsp:rsid wsp:val=&quot;00CE7299&quot;/&gt;&lt;wsp:rsid wsp:val=&quot;00CE7A42&quot;/&gt;&lt;wsp:rsid wsp:val=&quot;00CE7D0C&quot;/&gt;&lt;wsp:rsid wsp:val=&quot;00CF00BE&quot;/&gt;&lt;wsp:rsid wsp:val=&quot;00CF0F3C&quot;/&gt;&lt;wsp:rsid wsp:val=&quot;00CF1473&quot;/&gt;&lt;wsp:rsid wsp:val=&quot;00CF1F99&quot;/&gt;&lt;wsp:rsid wsp:val=&quot;00CF25B8&quot;/&gt;&lt;wsp:rsid wsp:val=&quot;00CF3819&quot;/&gt;&lt;wsp:rsid wsp:val=&quot;00CF38AB&quot;/&gt;&lt;wsp:rsid wsp:val=&quot;00CF3DC4&quot;/&gt;&lt;wsp:rsid wsp:val=&quot;00CF43C5&quot;/&gt;&lt;wsp:rsid wsp:val=&quot;00CF4569&quot;/&gt;&lt;wsp:rsid wsp:val=&quot;00CF518A&quot;/&gt;&lt;wsp:rsid wsp:val=&quot;00CF53EE&quot;/&gt;&lt;wsp:rsid wsp:val=&quot;00CF5C48&quot;/&gt;&lt;wsp:rsid wsp:val=&quot;00CF6A25&quot;/&gt;&lt;wsp:rsid wsp:val=&quot;00CF7128&quot;/&gt;&lt;wsp:rsid wsp:val=&quot;00CF7D89&quot;/&gt;&lt;wsp:rsid wsp:val=&quot;00D000D7&quot;/&gt;&lt;wsp:rsid wsp:val=&quot;00D0016B&quot;/&gt;&lt;wsp:rsid wsp:val=&quot;00D015DC&quot;/&gt;&lt;wsp:rsid wsp:val=&quot;00D0174E&quot;/&gt;&lt;wsp:rsid wsp:val=&quot;00D019CF&quot;/&gt;&lt;wsp:rsid wsp:val=&quot;00D01CEB&quot;/&gt;&lt;wsp:rsid wsp:val=&quot;00D01E17&quot;/&gt;&lt;wsp:rsid wsp:val=&quot;00D02AA3&quot;/&gt;&lt;wsp:rsid wsp:val=&quot;00D02E90&quot;/&gt;&lt;wsp:rsid wsp:val=&quot;00D02E9A&quot;/&gt;&lt;wsp:rsid wsp:val=&quot;00D03215&quot;/&gt;&lt;wsp:rsid wsp:val=&quot;00D0398B&quot;/&gt;&lt;wsp:rsid wsp:val=&quot;00D03CD6&quot;/&gt;&lt;wsp:rsid wsp:val=&quot;00D05ECF&quot;/&gt;&lt;wsp:rsid wsp:val=&quot;00D06167&quot;/&gt;&lt;wsp:rsid wsp:val=&quot;00D06433&quot;/&gt;&lt;wsp:rsid wsp:val=&quot;00D06439&quot;/&gt;&lt;wsp:rsid wsp:val=&quot;00D064DA&quot;/&gt;&lt;wsp:rsid wsp:val=&quot;00D07AEF&quot;/&gt;&lt;wsp:rsid wsp:val=&quot;00D07E3B&quot;/&gt;&lt;wsp:rsid wsp:val=&quot;00D10136&quot;/&gt;&lt;wsp:rsid wsp:val=&quot;00D11729&quot;/&gt;&lt;wsp:rsid wsp:val=&quot;00D11923&quot;/&gt;&lt;wsp:rsid wsp:val=&quot;00D11D90&quot;/&gt;&lt;wsp:rsid wsp:val=&quot;00D12F9C&quot;/&gt;&lt;wsp:rsid wsp:val=&quot;00D132B5&quot;/&gt;&lt;wsp:rsid wsp:val=&quot;00D13AC3&quot;/&gt;&lt;wsp:rsid wsp:val=&quot;00D13CF5&quot;/&gt;&lt;wsp:rsid wsp:val=&quot;00D149DA&quot;/&gt;&lt;wsp:rsid wsp:val=&quot;00D15228&quot;/&gt;&lt;wsp:rsid wsp:val=&quot;00D15491&quot;/&gt;&lt;wsp:rsid wsp:val=&quot;00D15611&quot;/&gt;&lt;wsp:rsid wsp:val=&quot;00D164DD&quot;/&gt;&lt;wsp:rsid wsp:val=&quot;00D16745&quot;/&gt;&lt;wsp:rsid wsp:val=&quot;00D179BE&quot;/&gt;&lt;wsp:rsid wsp:val=&quot;00D201D5&quot;/&gt;&lt;wsp:rsid wsp:val=&quot;00D20A0C&quot;/&gt;&lt;wsp:rsid wsp:val=&quot;00D20C39&quot;/&gt;&lt;wsp:rsid wsp:val=&quot;00D21F04&quot;/&gt;&lt;wsp:rsid wsp:val=&quot;00D22634&quot;/&gt;&lt;wsp:rsid wsp:val=&quot;00D22774&quot;/&gt;&lt;wsp:rsid wsp:val=&quot;00D22A29&quot;/&gt;&lt;wsp:rsid wsp:val=&quot;00D23546&quot;/&gt;&lt;wsp:rsid wsp:val=&quot;00D2778B&quot;/&gt;&lt;wsp:rsid wsp:val=&quot;00D27AEF&quot;/&gt;&lt;wsp:rsid wsp:val=&quot;00D3040C&quot;/&gt;&lt;wsp:rsid wsp:val=&quot;00D32CFC&quot;/&gt;&lt;wsp:rsid wsp:val=&quot;00D32F4C&quot;/&gt;&lt;wsp:rsid wsp:val=&quot;00D32F98&quot;/&gt;&lt;wsp:rsid wsp:val=&quot;00D32FF2&quot;/&gt;&lt;wsp:rsid wsp:val=&quot;00D3322F&quot;/&gt;&lt;wsp:rsid wsp:val=&quot;00D33447&quot;/&gt;&lt;wsp:rsid wsp:val=&quot;00D35AF0&quot;/&gt;&lt;wsp:rsid wsp:val=&quot;00D36419&quot;/&gt;&lt;wsp:rsid wsp:val=&quot;00D36C74&quot;/&gt;&lt;wsp:rsid wsp:val=&quot;00D42061&quot;/&gt;&lt;wsp:rsid wsp:val=&quot;00D428C0&quot;/&gt;&lt;wsp:rsid wsp:val=&quot;00D43F95&quot;/&gt;&lt;wsp:rsid wsp:val=&quot;00D44AF5&quot;/&gt;&lt;wsp:rsid wsp:val=&quot;00D44D9D&quot;/&gt;&lt;wsp:rsid wsp:val=&quot;00D44DCB&quot;/&gt;&lt;wsp:rsid wsp:val=&quot;00D459BF&quot;/&gt;&lt;wsp:rsid wsp:val=&quot;00D45FBD&quot;/&gt;&lt;wsp:rsid wsp:val=&quot;00D465F0&quot;/&gt;&lt;wsp:rsid wsp:val=&quot;00D508B1&quot;/&gt;&lt;wsp:rsid wsp:val=&quot;00D50E39&quot;/&gt;&lt;wsp:rsid wsp:val=&quot;00D51316&quot;/&gt;&lt;wsp:rsid wsp:val=&quot;00D5280D&quot;/&gt;&lt;wsp:rsid wsp:val=&quot;00D53768&quot;/&gt;&lt;wsp:rsid wsp:val=&quot;00D53BE8&quot;/&gt;&lt;wsp:rsid wsp:val=&quot;00D54519&quot;/&gt;&lt;wsp:rsid wsp:val=&quot;00D555D8&quot;/&gt;&lt;wsp:rsid wsp:val=&quot;00D55637&quot;/&gt;&lt;wsp:rsid wsp:val=&quot;00D55803&quot;/&gt;&lt;wsp:rsid wsp:val=&quot;00D55DD9&quot;/&gt;&lt;wsp:rsid wsp:val=&quot;00D55E64&quot;/&gt;&lt;wsp:rsid wsp:val=&quot;00D564E3&quot;/&gt;&lt;wsp:rsid wsp:val=&quot;00D56575&quot;/&gt;&lt;wsp:rsid wsp:val=&quot;00D56A1B&quot;/&gt;&lt;wsp:rsid wsp:val=&quot;00D578A9&quot;/&gt;&lt;wsp:rsid wsp:val=&quot;00D608C1&quot;/&gt;&lt;wsp:rsid wsp:val=&quot;00D60D32&quot;/&gt;&lt;wsp:rsid wsp:val=&quot;00D61465&quot;/&gt;&lt;wsp:rsid wsp:val=&quot;00D615BF&quot;/&gt;&lt;wsp:rsid wsp:val=&quot;00D618ED&quot;/&gt;&lt;wsp:rsid wsp:val=&quot;00D61C01&quot;/&gt;&lt;wsp:rsid wsp:val=&quot;00D61F8C&quot;/&gt;&lt;wsp:rsid wsp:val=&quot;00D6253B&quot;/&gt;&lt;wsp:rsid wsp:val=&quot;00D62A6E&quot;/&gt;&lt;wsp:rsid wsp:val=&quot;00D63065&quot;/&gt;&lt;wsp:rsid wsp:val=&quot;00D63614&quot;/&gt;&lt;wsp:rsid wsp:val=&quot;00D63646&quot;/&gt;&lt;wsp:rsid wsp:val=&quot;00D65433&quot;/&gt;&lt;wsp:rsid wsp:val=&quot;00D6552B&quot;/&gt;&lt;wsp:rsid wsp:val=&quot;00D6609C&quot;/&gt;&lt;wsp:rsid wsp:val=&quot;00D66181&quot;/&gt;&lt;wsp:rsid wsp:val=&quot;00D6781B&quot;/&gt;&lt;wsp:rsid wsp:val=&quot;00D67B6C&quot;/&gt;&lt;wsp:rsid wsp:val=&quot;00D70422&quot;/&gt;&lt;wsp:rsid wsp:val=&quot;00D71618&quot;/&gt;&lt;wsp:rsid wsp:val=&quot;00D72039&quot;/&gt;&lt;wsp:rsid wsp:val=&quot;00D721B9&quot;/&gt;&lt;wsp:rsid wsp:val=&quot;00D7589B&quot;/&gt;&lt;wsp:rsid wsp:val=&quot;00D75966&quot;/&gt;&lt;wsp:rsid wsp:val=&quot;00D75BC7&quot;/&gt;&lt;wsp:rsid wsp:val=&quot;00D76F82&quot;/&gt;&lt;wsp:rsid wsp:val=&quot;00D80035&quot;/&gt;&lt;wsp:rsid wsp:val=&quot;00D801EE&quot;/&gt;&lt;wsp:rsid wsp:val=&quot;00D8067D&quot;/&gt;&lt;wsp:rsid wsp:val=&quot;00D80733&quot;/&gt;&lt;wsp:rsid wsp:val=&quot;00D810A2&quot;/&gt;&lt;wsp:rsid wsp:val=&quot;00D816DF&quot;/&gt;&lt;wsp:rsid wsp:val=&quot;00D82B26&quot;/&gt;&lt;wsp:rsid wsp:val=&quot;00D83396&quot;/&gt;&lt;wsp:rsid wsp:val=&quot;00D838C4&quot;/&gt;&lt;wsp:rsid wsp:val=&quot;00D83E0C&quot;/&gt;&lt;wsp:rsid wsp:val=&quot;00D841B6&quot;/&gt;&lt;wsp:rsid wsp:val=&quot;00D84AEA&quot;/&gt;&lt;wsp:rsid wsp:val=&quot;00D84B65&quot;/&gt;&lt;wsp:rsid wsp:val=&quot;00D8682B&quot;/&gt;&lt;wsp:rsid wsp:val=&quot;00D87B14&quot;/&gt;&lt;wsp:rsid wsp:val=&quot;00D87C1A&quot;/&gt;&lt;wsp:rsid wsp:val=&quot;00D9038D&quot;/&gt;&lt;wsp:rsid wsp:val=&quot;00D9081F&quot;/&gt;&lt;wsp:rsid wsp:val=&quot;00D90BA5&quot;/&gt;&lt;wsp:rsid wsp:val=&quot;00D918F2&quot;/&gt;&lt;wsp:rsid wsp:val=&quot;00D92045&quot;/&gt;&lt;wsp:rsid wsp:val=&quot;00D9266B&quot;/&gt;&lt;wsp:rsid wsp:val=&quot;00D92736&quot;/&gt;&lt;wsp:rsid wsp:val=&quot;00D92936&quot;/&gt;&lt;wsp:rsid wsp:val=&quot;00D9327E&quot;/&gt;&lt;wsp:rsid wsp:val=&quot;00D939E7&quot;/&gt;&lt;wsp:rsid wsp:val=&quot;00D93AFD&quot;/&gt;&lt;wsp:rsid wsp:val=&quot;00D93C10&quot;/&gt;&lt;wsp:rsid wsp:val=&quot;00D9434C&quot;/&gt;&lt;wsp:rsid wsp:val=&quot;00D94866&quot;/&gt;&lt;wsp:rsid wsp:val=&quot;00D94A3B&quot;/&gt;&lt;wsp:rsid wsp:val=&quot;00D94AF0&quot;/&gt;&lt;wsp:rsid wsp:val=&quot;00D95A0A&quot;/&gt;&lt;wsp:rsid wsp:val=&quot;00D96349&quot;/&gt;&lt;wsp:rsid wsp:val=&quot;00D96A80&quot;/&gt;&lt;wsp:rsid wsp:val=&quot;00D96C0C&quot;/&gt;&lt;wsp:rsid wsp:val=&quot;00D97012&quot;/&gt;&lt;wsp:rsid wsp:val=&quot;00D9764A&quot;/&gt;&lt;wsp:rsid wsp:val=&quot;00D97EB0&quot;/&gt;&lt;wsp:rsid wsp:val=&quot;00DA0A68&quot;/&gt;&lt;wsp:rsid wsp:val=&quot;00DA118D&quot;/&gt;&lt;wsp:rsid wsp:val=&quot;00DA122D&quot;/&gt;&lt;wsp:rsid wsp:val=&quot;00DA134F&quot;/&gt;&lt;wsp:rsid wsp:val=&quot;00DA2BFE&quot;/&gt;&lt;wsp:rsid wsp:val=&quot;00DA2D1B&quot;/&gt;&lt;wsp:rsid wsp:val=&quot;00DA356E&quot;/&gt;&lt;wsp:rsid wsp:val=&quot;00DA3A18&quot;/&gt;&lt;wsp:rsid wsp:val=&quot;00DA3B49&quot;/&gt;&lt;wsp:rsid wsp:val=&quot;00DA3D3E&quot;/&gt;&lt;wsp:rsid wsp:val=&quot;00DA3EED&quot;/&gt;&lt;wsp:rsid wsp:val=&quot;00DA4A77&quot;/&gt;&lt;wsp:rsid wsp:val=&quot;00DA5249&quot;/&gt;&lt;wsp:rsid wsp:val=&quot;00DA548E&quot;/&gt;&lt;wsp:rsid wsp:val=&quot;00DA5A17&quot;/&gt;&lt;wsp:rsid wsp:val=&quot;00DA5B98&quot;/&gt;&lt;wsp:rsid wsp:val=&quot;00DA61BA&quot;/&gt;&lt;wsp:rsid wsp:val=&quot;00DA6604&quot;/&gt;&lt;wsp:rsid wsp:val=&quot;00DA6786&quot;/&gt;&lt;wsp:rsid wsp:val=&quot;00DA6E16&quot;/&gt;&lt;wsp:rsid wsp:val=&quot;00DA729D&quot;/&gt;&lt;wsp:rsid wsp:val=&quot;00DA7A54&quot;/&gt;&lt;wsp:rsid wsp:val=&quot;00DB0322&quot;/&gt;&lt;wsp:rsid wsp:val=&quot;00DB07B5&quot;/&gt;&lt;wsp:rsid wsp:val=&quot;00DB195A&quot;/&gt;&lt;wsp:rsid wsp:val=&quot;00DB2EB2&quot;/&gt;&lt;wsp:rsid wsp:val=&quot;00DB30F6&quot;/&gt;&lt;wsp:rsid wsp:val=&quot;00DB340C&quot;/&gt;&lt;wsp:rsid wsp:val=&quot;00DB3FF2&quot;/&gt;&lt;wsp:rsid wsp:val=&quot;00DB5347&quot;/&gt;&lt;wsp:rsid wsp:val=&quot;00DB560A&quot;/&gt;&lt;wsp:rsid wsp:val=&quot;00DB5659&quot;/&gt;&lt;wsp:rsid wsp:val=&quot;00DB56F3&quot;/&gt;&lt;wsp:rsid wsp:val=&quot;00DB6FFD&quot;/&gt;&lt;wsp:rsid wsp:val=&quot;00DB75FA&quot;/&gt;&lt;wsp:rsid wsp:val=&quot;00DC1214&quot;/&gt;&lt;wsp:rsid wsp:val=&quot;00DC13FD&quot;/&gt;&lt;wsp:rsid wsp:val=&quot;00DC1440&quot;/&gt;&lt;wsp:rsid wsp:val=&quot;00DC1EDE&quot;/&gt;&lt;wsp:rsid wsp:val=&quot;00DC35D0&quot;/&gt;&lt;wsp:rsid wsp:val=&quot;00DC3DF8&quot;/&gt;&lt;wsp:rsid wsp:val=&quot;00DC3E52&quot;/&gt;&lt;wsp:rsid wsp:val=&quot;00DC42BC&quot;/&gt;&lt;wsp:rsid wsp:val=&quot;00DC476E&quot;/&gt;&lt;wsp:rsid wsp:val=&quot;00DC5048&quot;/&gt;&lt;wsp:rsid wsp:val=&quot;00DC568D&quot;/&gt;&lt;wsp:rsid wsp:val=&quot;00DC581E&quot;/&gt;&lt;wsp:rsid wsp:val=&quot;00DC6B02&quot;/&gt;&lt;wsp:rsid wsp:val=&quot;00DC6DCB&quot;/&gt;&lt;wsp:rsid wsp:val=&quot;00DC7913&quot;/&gt;&lt;wsp:rsid wsp:val=&quot;00DC7BD2&quot;/&gt;&lt;wsp:rsid wsp:val=&quot;00DD0104&quot;/&gt;&lt;wsp:rsid wsp:val=&quot;00DD04CF&quot;/&gt;&lt;wsp:rsid wsp:val=&quot;00DD1033&quot;/&gt;&lt;wsp:rsid wsp:val=&quot;00DD18C9&quot;/&gt;&lt;wsp:rsid wsp:val=&quot;00DD25A2&quot;/&gt;&lt;wsp:rsid wsp:val=&quot;00DD3AC0&quot;/&gt;&lt;wsp:rsid wsp:val=&quot;00DD42EB&quot;/&gt;&lt;wsp:rsid wsp:val=&quot;00DD4363&quot;/&gt;&lt;wsp:rsid wsp:val=&quot;00DD5AA0&quot;/&gt;&lt;wsp:rsid wsp:val=&quot;00DD5C22&quot;/&gt;&lt;wsp:rsid wsp:val=&quot;00DD5C5A&quot;/&gt;&lt;wsp:rsid wsp:val=&quot;00DD5CB0&quot;/&gt;&lt;wsp:rsid wsp:val=&quot;00DD6D24&quot;/&gt;&lt;wsp:rsid wsp:val=&quot;00DD6FFE&quot;/&gt;&lt;wsp:rsid wsp:val=&quot;00DD7D6F&quot;/&gt;&lt;wsp:rsid wsp:val=&quot;00DE08DD&quot;/&gt;&lt;wsp:rsid wsp:val=&quot;00DE1110&quot;/&gt;&lt;wsp:rsid wsp:val=&quot;00DE1EF4&quot;/&gt;&lt;wsp:rsid wsp:val=&quot;00DE2873&quot;/&gt;&lt;wsp:rsid wsp:val=&quot;00DE2D94&quot;/&gt;&lt;wsp:rsid wsp:val=&quot;00DE3A7A&quot;/&gt;&lt;wsp:rsid wsp:val=&quot;00DE3EA5&quot;/&gt;&lt;wsp:rsid wsp:val=&quot;00DE42FE&quot;/&gt;&lt;wsp:rsid wsp:val=&quot;00DE4C34&quot;/&gt;&lt;wsp:rsid wsp:val=&quot;00DE667F&quot;/&gt;&lt;wsp:rsid wsp:val=&quot;00DE6874&quot;/&gt;&lt;wsp:rsid wsp:val=&quot;00DF08FA&quot;/&gt;&lt;wsp:rsid wsp:val=&quot;00DF15F8&quot;/&gt;&lt;wsp:rsid wsp:val=&quot;00DF1793&quot;/&gt;&lt;wsp:rsid wsp:val=&quot;00DF2DC0&quot;/&gt;&lt;wsp:rsid wsp:val=&quot;00DF2FC6&quot;/&gt;&lt;wsp:rsid wsp:val=&quot;00DF4626&quot;/&gt;&lt;wsp:rsid wsp:val=&quot;00DF4BE8&quot;/&gt;&lt;wsp:rsid wsp:val=&quot;00DF573F&quot;/&gt;&lt;wsp:rsid wsp:val=&quot;00DF6136&quot;/&gt;&lt;wsp:rsid wsp:val=&quot;00DF6514&quot;/&gt;&lt;wsp:rsid wsp:val=&quot;00DF66B7&quot;/&gt;&lt;wsp:rsid wsp:val=&quot;00DF6DA7&quot;/&gt;&lt;wsp:rsid wsp:val=&quot;00DF711C&quot;/&gt;&lt;wsp:rsid wsp:val=&quot;00DF75F3&quot;/&gt;&lt;wsp:rsid wsp:val=&quot;00DF76DE&quot;/&gt;&lt;wsp:rsid wsp:val=&quot;00DF798A&quot;/&gt;&lt;wsp:rsid wsp:val=&quot;00DF7D15&quot;/&gt;&lt;wsp:rsid wsp:val=&quot;00DF7E25&quot;/&gt;&lt;wsp:rsid wsp:val=&quot;00E002DA&quot;/&gt;&lt;wsp:rsid wsp:val=&quot;00E0058F&quot;/&gt;&lt;wsp:rsid wsp:val=&quot;00E01D5F&quot;/&gt;&lt;wsp:rsid wsp:val=&quot;00E0207D&quot;/&gt;&lt;wsp:rsid wsp:val=&quot;00E02195&quot;/&gt;&lt;wsp:rsid wsp:val=&quot;00E023FD&quot;/&gt;&lt;wsp:rsid wsp:val=&quot;00E0341E&quot;/&gt;&lt;wsp:rsid wsp:val=&quot;00E04384&quot;/&gt;&lt;wsp:rsid wsp:val=&quot;00E050DE&quot;/&gt;&lt;wsp:rsid wsp:val=&quot;00E0583E&quot;/&gt;&lt;wsp:rsid wsp:val=&quot;00E06211&quot;/&gt;&lt;wsp:rsid wsp:val=&quot;00E06C08&quot;/&gt;&lt;wsp:rsid wsp:val=&quot;00E07E85&quot;/&gt;&lt;wsp:rsid wsp:val=&quot;00E10400&quot;/&gt;&lt;wsp:rsid wsp:val=&quot;00E10A54&quot;/&gt;&lt;wsp:rsid wsp:val=&quot;00E11056&quot;/&gt;&lt;wsp:rsid wsp:val=&quot;00E118B7&quot;/&gt;&lt;wsp:rsid wsp:val=&quot;00E11B0B&quot;/&gt;&lt;wsp:rsid wsp:val=&quot;00E1232B&quot;/&gt;&lt;wsp:rsid wsp:val=&quot;00E12BF8&quot;/&gt;&lt;wsp:rsid wsp:val=&quot;00E1335D&quot;/&gt;&lt;wsp:rsid wsp:val=&quot;00E13B35&quot;/&gt;&lt;wsp:rsid wsp:val=&quot;00E14C5D&quot;/&gt;&lt;wsp:rsid wsp:val=&quot;00E15159&quot;/&gt;&lt;wsp:rsid wsp:val=&quot;00E16082&quot;/&gt;&lt;wsp:rsid wsp:val=&quot;00E16B4C&quot;/&gt;&lt;wsp:rsid wsp:val=&quot;00E1793F&quot;/&gt;&lt;wsp:rsid wsp:val=&quot;00E179CB&quot;/&gt;&lt;wsp:rsid wsp:val=&quot;00E201FE&quot;/&gt;&lt;wsp:rsid wsp:val=&quot;00E202C9&quot;/&gt;&lt;wsp:rsid wsp:val=&quot;00E2067F&quot;/&gt;&lt;wsp:rsid wsp:val=&quot;00E20A83&quot;/&gt;&lt;wsp:rsid wsp:val=&quot;00E218A9&quot;/&gt;&lt;wsp:rsid wsp:val=&quot;00E21F2A&quot;/&gt;&lt;wsp:rsid wsp:val=&quot;00E229D1&quot;/&gt;&lt;wsp:rsid wsp:val=&quot;00E2649D&quot;/&gt;&lt;wsp:rsid wsp:val=&quot;00E26881&quot;/&gt;&lt;wsp:rsid wsp:val=&quot;00E26F7C&quot;/&gt;&lt;wsp:rsid wsp:val=&quot;00E27034&quot;/&gt;&lt;wsp:rsid wsp:val=&quot;00E275C4&quot;/&gt;&lt;wsp:rsid wsp:val=&quot;00E30B65&quot;/&gt;&lt;wsp:rsid wsp:val=&quot;00E32876&quot;/&gt;&lt;wsp:rsid wsp:val=&quot;00E328BB&quot;/&gt;&lt;wsp:rsid wsp:val=&quot;00E32B92&quot;/&gt;&lt;wsp:rsid wsp:val=&quot;00E33C7F&quot;/&gt;&lt;wsp:rsid wsp:val=&quot;00E33E89&quot;/&gt;&lt;wsp:rsid wsp:val=&quot;00E34424&quot;/&gt;&lt;wsp:rsid wsp:val=&quot;00E348E4&quot;/&gt;&lt;wsp:rsid wsp:val=&quot;00E34B35&quot;/&gt;&lt;wsp:rsid wsp:val=&quot;00E35748&quot;/&gt;&lt;wsp:rsid wsp:val=&quot;00E35BD8&quot;/&gt;&lt;wsp:rsid wsp:val=&quot;00E36288&quot;/&gt;&lt;wsp:rsid wsp:val=&quot;00E36B47&quot;/&gt;&lt;wsp:rsid wsp:val=&quot;00E37B6A&quot;/&gt;&lt;wsp:rsid wsp:val=&quot;00E4005F&quot;/&gt;&lt;wsp:rsid wsp:val=&quot;00E406E8&quot;/&gt;&lt;wsp:rsid wsp:val=&quot;00E41364&quot;/&gt;&lt;wsp:rsid wsp:val=&quot;00E41FFD&quot;/&gt;&lt;wsp:rsid wsp:val=&quot;00E42ACC&quot;/&gt;&lt;wsp:rsid wsp:val=&quot;00E42AE7&quot;/&gt;&lt;wsp:rsid wsp:val=&quot;00E42E36&quot;/&gt;&lt;wsp:rsid wsp:val=&quot;00E434FE&quot;/&gt;&lt;wsp:rsid wsp:val=&quot;00E436E6&quot;/&gt;&lt;wsp:rsid wsp:val=&quot;00E44DB6&quot;/&gt;&lt;wsp:rsid wsp:val=&quot;00E453EF&quot;/&gt;&lt;wsp:rsid wsp:val=&quot;00E4593E&quot;/&gt;&lt;wsp:rsid wsp:val=&quot;00E46004&quot;/&gt;&lt;wsp:rsid wsp:val=&quot;00E463BB&quot;/&gt;&lt;wsp:rsid wsp:val=&quot;00E464C4&quot;/&gt;&lt;wsp:rsid wsp:val=&quot;00E468CE&quot;/&gt;&lt;wsp:rsid wsp:val=&quot;00E46D25&quot;/&gt;&lt;wsp:rsid wsp:val=&quot;00E46D91&quot;/&gt;&lt;wsp:rsid wsp:val=&quot;00E47175&quot;/&gt;&lt;wsp:rsid wsp:val=&quot;00E47B44&quot;/&gt;&lt;wsp:rsid wsp:val=&quot;00E50BEE&quot;/&gt;&lt;wsp:rsid wsp:val=&quot;00E518A4&quot;/&gt;&lt;wsp:rsid wsp:val=&quot;00E51F22&quot;/&gt;&lt;wsp:rsid wsp:val=&quot;00E53A9E&quot;/&gt;&lt;wsp:rsid wsp:val=&quot;00E53DFB&quot;/&gt;&lt;wsp:rsid wsp:val=&quot;00E54A32&quot;/&gt;&lt;wsp:rsid wsp:val=&quot;00E56418&quot;/&gt;&lt;wsp:rsid wsp:val=&quot;00E5650B&quot;/&gt;&lt;wsp:rsid wsp:val=&quot;00E56CB6&quot;/&gt;&lt;wsp:rsid wsp:val=&quot;00E570FB&quot;/&gt;&lt;wsp:rsid wsp:val=&quot;00E57175&quot;/&gt;&lt;wsp:rsid wsp:val=&quot;00E5725F&quot;/&gt;&lt;wsp:rsid wsp:val=&quot;00E57E20&quot;/&gt;&lt;wsp:rsid wsp:val=&quot;00E615AC&quot;/&gt;&lt;wsp:rsid wsp:val=&quot;00E6196D&quot;/&gt;&lt;wsp:rsid wsp:val=&quot;00E620B1&quot;/&gt;&lt;wsp:rsid wsp:val=&quot;00E62262&quot;/&gt;&lt;wsp:rsid wsp:val=&quot;00E62BED&quot;/&gt;&lt;wsp:rsid wsp:val=&quot;00E6351D&quot;/&gt;&lt;wsp:rsid wsp:val=&quot;00E63E53&quot;/&gt;&lt;wsp:rsid wsp:val=&quot;00E645A3&quot;/&gt;&lt;wsp:rsid wsp:val=&quot;00E64DA7&quot;/&gt;&lt;wsp:rsid wsp:val=&quot;00E6512B&quot;/&gt;&lt;wsp:rsid wsp:val=&quot;00E65AB8&quot;/&gt;&lt;wsp:rsid wsp:val=&quot;00E65E5C&quot;/&gt;&lt;wsp:rsid wsp:val=&quot;00E66056&quot;/&gt;&lt;wsp:rsid wsp:val=&quot;00E66AD8&quot;/&gt;&lt;wsp:rsid wsp:val=&quot;00E672A5&quot;/&gt;&lt;wsp:rsid wsp:val=&quot;00E70B0B&quot;/&gt;&lt;wsp:rsid wsp:val=&quot;00E70D8F&quot;/&gt;&lt;wsp:rsid wsp:val=&quot;00E70F86&quot;/&gt;&lt;wsp:rsid wsp:val=&quot;00E71227&quot;/&gt;&lt;wsp:rsid wsp:val=&quot;00E7162D&quot;/&gt;&lt;wsp:rsid wsp:val=&quot;00E71910&quot;/&gt;&lt;wsp:rsid wsp:val=&quot;00E71CD1&quot;/&gt;&lt;wsp:rsid wsp:val=&quot;00E72046&quot;/&gt;&lt;wsp:rsid wsp:val=&quot;00E722AC&quot;/&gt;&lt;wsp:rsid wsp:val=&quot;00E72324&quot;/&gt;&lt;wsp:rsid wsp:val=&quot;00E72A40&quot;/&gt;&lt;wsp:rsid wsp:val=&quot;00E72B01&quot;/&gt;&lt;wsp:rsid wsp:val=&quot;00E736FA&quot;/&gt;&lt;wsp:rsid wsp:val=&quot;00E73A0B&quot;/&gt;&lt;wsp:rsid wsp:val=&quot;00E73B2A&quot;/&gt;&lt;wsp:rsid wsp:val=&quot;00E7452A&quot;/&gt;&lt;wsp:rsid wsp:val=&quot;00E747B4&quot;/&gt;&lt;wsp:rsid wsp:val=&quot;00E74C80&quot;/&gt;&lt;wsp:rsid wsp:val=&quot;00E74D02&quot;/&gt;&lt;wsp:rsid wsp:val=&quot;00E75295&quot;/&gt;&lt;wsp:rsid wsp:val=&quot;00E75F0B&quot;/&gt;&lt;wsp:rsid wsp:val=&quot;00E767A7&quot;/&gt;&lt;wsp:rsid wsp:val=&quot;00E77659&quot;/&gt;&lt;wsp:rsid wsp:val=&quot;00E778D0&quot;/&gt;&lt;wsp:rsid wsp:val=&quot;00E8018C&quot;/&gt;&lt;wsp:rsid wsp:val=&quot;00E81928&quot;/&gt;&lt;wsp:rsid wsp:val=&quot;00E82334&quot;/&gt;&lt;wsp:rsid wsp:val=&quot;00E825FF&quot;/&gt;&lt;wsp:rsid wsp:val=&quot;00E832F8&quot;/&gt;&lt;wsp:rsid wsp:val=&quot;00E83634&quot;/&gt;&lt;wsp:rsid wsp:val=&quot;00E83BD3&quot;/&gt;&lt;wsp:rsid wsp:val=&quot;00E84217&quot;/&gt;&lt;wsp:rsid wsp:val=&quot;00E84699&quot;/&gt;&lt;wsp:rsid wsp:val=&quot;00E84A2D&quot;/&gt;&lt;wsp:rsid wsp:val=&quot;00E8601A&quot;/&gt;&lt;wsp:rsid wsp:val=&quot;00E86852&quot;/&gt;&lt;wsp:rsid wsp:val=&quot;00E87665&quot;/&gt;&lt;wsp:rsid wsp:val=&quot;00E8792F&quot;/&gt;&lt;wsp:rsid wsp:val=&quot;00E87BEE&quot;/&gt;&lt;wsp:rsid wsp:val=&quot;00E87EF8&quot;/&gt;&lt;wsp:rsid wsp:val=&quot;00E87F9A&quot;/&gt;&lt;wsp:rsid wsp:val=&quot;00E9074F&quot;/&gt;&lt;wsp:rsid wsp:val=&quot;00E90CB2&quot;/&gt;&lt;wsp:rsid wsp:val=&quot;00E90F42&quot;/&gt;&lt;wsp:rsid wsp:val=&quot;00E918A2&quot;/&gt;&lt;wsp:rsid wsp:val=&quot;00E91988&quot;/&gt;&lt;wsp:rsid wsp:val=&quot;00E91DA7&quot;/&gt;&lt;wsp:rsid wsp:val=&quot;00E9203A&quot;/&gt;&lt;wsp:rsid wsp:val=&quot;00E92EF1&quot;/&gt;&lt;wsp:rsid wsp:val=&quot;00E93698&quot;/&gt;&lt;wsp:rsid wsp:val=&quot;00E93EE9&quot;/&gt;&lt;wsp:rsid wsp:val=&quot;00E941AB&quot;/&gt;&lt;wsp:rsid wsp:val=&quot;00E94B34&quot;/&gt;&lt;wsp:rsid wsp:val=&quot;00E94CFF&quot;/&gt;&lt;wsp:rsid wsp:val=&quot;00E94FEF&quot;/&gt;&lt;wsp:rsid wsp:val=&quot;00E9518F&quot;/&gt;&lt;wsp:rsid wsp:val=&quot;00E951BA&quot;/&gt;&lt;wsp:rsid wsp:val=&quot;00E953D3&quot;/&gt;&lt;wsp:rsid wsp:val=&quot;00E95538&quot;/&gt;&lt;wsp:rsid wsp:val=&quot;00E955A6&quot;/&gt;&lt;wsp:rsid wsp:val=&quot;00E95E5D&quot;/&gt;&lt;wsp:rsid wsp:val=&quot;00E961A4&quot;/&gt;&lt;wsp:rsid wsp:val=&quot;00E9645C&quot;/&gt;&lt;wsp:rsid wsp:val=&quot;00E97B42&quot;/&gt;&lt;wsp:rsid wsp:val=&quot;00EA1B78&quot;/&gt;&lt;wsp:rsid wsp:val=&quot;00EA1BAD&quot;/&gt;&lt;wsp:rsid wsp:val=&quot;00EA23B4&quot;/&gt;&lt;wsp:rsid wsp:val=&quot;00EA27F6&quot;/&gt;&lt;wsp:rsid wsp:val=&quot;00EA315F&quot;/&gt;&lt;wsp:rsid wsp:val=&quot;00EA3C0C&quot;/&gt;&lt;wsp:rsid wsp:val=&quot;00EA4302&quot;/&gt;&lt;wsp:rsid wsp:val=&quot;00EA4608&quot;/&gt;&lt;wsp:rsid wsp:val=&quot;00EA5575&quot;/&gt;&lt;wsp:rsid wsp:val=&quot;00EA59B7&quot;/&gt;&lt;wsp:rsid wsp:val=&quot;00EA5B8E&quot;/&gt;&lt;wsp:rsid wsp:val=&quot;00EA5D5B&quot;/&gt;&lt;wsp:rsid wsp:val=&quot;00EA6D99&quot;/&gt;&lt;wsp:rsid wsp:val=&quot;00EA6E0D&quot;/&gt;&lt;wsp:rsid wsp:val=&quot;00EA7CF6&quot;/&gt;&lt;wsp:rsid wsp:val=&quot;00EB1AED&quot;/&gt;&lt;wsp:rsid wsp:val=&quot;00EB1D19&quot;/&gt;&lt;wsp:rsid wsp:val=&quot;00EB24D1&quot;/&gt;&lt;wsp:rsid wsp:val=&quot;00EB2A3F&quot;/&gt;&lt;wsp:rsid wsp:val=&quot;00EB2B02&quot;/&gt;&lt;wsp:rsid wsp:val=&quot;00EB3528&quot;/&gt;&lt;wsp:rsid wsp:val=&quot;00EB463E&quot;/&gt;&lt;wsp:rsid wsp:val=&quot;00EB4E24&quot;/&gt;&lt;wsp:rsid wsp:val=&quot;00EB4F22&quot;/&gt;&lt;wsp:rsid wsp:val=&quot;00EB513B&quot;/&gt;&lt;wsp:rsid wsp:val=&quot;00EB550C&quot;/&gt;&lt;wsp:rsid wsp:val=&quot;00EB6D52&quot;/&gt;&lt;wsp:rsid wsp:val=&quot;00EB719D&quot;/&gt;&lt;wsp:rsid wsp:val=&quot;00EB7442&quot;/&gt;&lt;wsp:rsid wsp:val=&quot;00EB755A&quot;/&gt;&lt;wsp:rsid wsp:val=&quot;00EB7AAF&quot;/&gt;&lt;wsp:rsid wsp:val=&quot;00EB7BC8&quot;/&gt;&lt;wsp:rsid wsp:val=&quot;00EC08B2&quot;/&gt;&lt;wsp:rsid wsp:val=&quot;00EC1910&quot;/&gt;&lt;wsp:rsid wsp:val=&quot;00EC1B43&quot;/&gt;&lt;wsp:rsid wsp:val=&quot;00EC21FE&quot;/&gt;&lt;wsp:rsid wsp:val=&quot;00EC23B6&quot;/&gt;&lt;wsp:rsid wsp:val=&quot;00EC2572&quot;/&gt;&lt;wsp:rsid wsp:val=&quot;00EC2760&quot;/&gt;&lt;wsp:rsid wsp:val=&quot;00EC35E8&quot;/&gt;&lt;wsp:rsid wsp:val=&quot;00EC418F&quot;/&gt;&lt;wsp:rsid wsp:val=&quot;00EC6075&quot;/&gt;&lt;wsp:rsid wsp:val=&quot;00EC6487&quot;/&gt;&lt;wsp:rsid wsp:val=&quot;00EC73F4&quot;/&gt;&lt;wsp:rsid wsp:val=&quot;00EC770C&quot;/&gt;&lt;wsp:rsid wsp:val=&quot;00ED10E3&quot;/&gt;&lt;wsp:rsid wsp:val=&quot;00ED13F5&quot;/&gt;&lt;wsp:rsid wsp:val=&quot;00ED2094&quot;/&gt;&lt;wsp:rsid wsp:val=&quot;00ED274E&quot;/&gt;&lt;wsp:rsid wsp:val=&quot;00ED295D&quot;/&gt;&lt;wsp:rsid wsp:val=&quot;00ED2D9B&quot;/&gt;&lt;wsp:rsid wsp:val=&quot;00ED3F1B&quot;/&gt;&lt;wsp:rsid wsp:val=&quot;00ED48C9&quot;/&gt;&lt;wsp:rsid wsp:val=&quot;00ED4BFC&quot;/&gt;&lt;wsp:rsid wsp:val=&quot;00ED4DA9&quot;/&gt;&lt;wsp:rsid wsp:val=&quot;00ED62C7&quot;/&gt;&lt;wsp:rsid wsp:val=&quot;00ED67A2&quot;/&gt;&lt;wsp:rsid wsp:val=&quot;00ED6D95&quot;/&gt;&lt;wsp:rsid wsp:val=&quot;00EE017C&quot;/&gt;&lt;wsp:rsid wsp:val=&quot;00EE042D&quot;/&gt;&lt;wsp:rsid wsp:val=&quot;00EE0EF5&quot;/&gt;&lt;wsp:rsid wsp:val=&quot;00EE1EAB&quot;/&gt;&lt;wsp:rsid wsp:val=&quot;00EE2D7F&quot;/&gt;&lt;wsp:rsid wsp:val=&quot;00EE2F17&quot;/&gt;&lt;wsp:rsid wsp:val=&quot;00EE32EC&quot;/&gt;&lt;wsp:rsid wsp:val=&quot;00EE3573&quot;/&gt;&lt;wsp:rsid wsp:val=&quot;00EE3622&quot;/&gt;&lt;wsp:rsid wsp:val=&quot;00EE3CB2&quot;/&gt;&lt;wsp:rsid wsp:val=&quot;00EE4342&quot;/&gt;&lt;wsp:rsid wsp:val=&quot;00EE4F6A&quot;/&gt;&lt;wsp:rsid wsp:val=&quot;00EE527D&quot;/&gt;&lt;wsp:rsid wsp:val=&quot;00EE5972&quot;/&gt;&lt;wsp:rsid wsp:val=&quot;00EE5D30&quot;/&gt;&lt;wsp:rsid wsp:val=&quot;00EE5F68&quot;/&gt;&lt;wsp:rsid wsp:val=&quot;00EE6723&quot;/&gt;&lt;wsp:rsid wsp:val=&quot;00EE6FC7&quot;/&gt;&lt;wsp:rsid wsp:val=&quot;00EE7011&quot;/&gt;&lt;wsp:rsid wsp:val=&quot;00EE7ED3&quot;/&gt;&lt;wsp:rsid wsp:val=&quot;00EF0DF0&quot;/&gt;&lt;wsp:rsid wsp:val=&quot;00EF1956&quot;/&gt;&lt;wsp:rsid wsp:val=&quot;00EF20EB&quot;/&gt;&lt;wsp:rsid wsp:val=&quot;00EF318F&quot;/&gt;&lt;wsp:rsid wsp:val=&quot;00EF328D&quot;/&gt;&lt;wsp:rsid wsp:val=&quot;00EF4FF1&quot;/&gt;&lt;wsp:rsid wsp:val=&quot;00EF6208&quot;/&gt;&lt;wsp:rsid wsp:val=&quot;00EF78DC&quot;/&gt;&lt;wsp:rsid wsp:val=&quot;00F01CE9&quot;/&gt;&lt;wsp:rsid wsp:val=&quot;00F01D6F&quot;/&gt;&lt;wsp:rsid wsp:val=&quot;00F02144&quot;/&gt;&lt;wsp:rsid wsp:val=&quot;00F02902&quot;/&gt;&lt;wsp:rsid wsp:val=&quot;00F048E4&quot;/&gt;&lt;wsp:rsid wsp:val=&quot;00F04F80&quot;/&gt;&lt;wsp:rsid wsp:val=&quot;00F066F0&quot;/&gt;&lt;wsp:rsid wsp:val=&quot;00F06743&quot;/&gt;&lt;wsp:rsid wsp:val=&quot;00F06849&quot;/&gt;&lt;wsp:rsid wsp:val=&quot;00F06C8E&quot;/&gt;&lt;wsp:rsid wsp:val=&quot;00F07632&quot;/&gt;&lt;wsp:rsid wsp:val=&quot;00F0790A&quot;/&gt;&lt;wsp:rsid wsp:val=&quot;00F1080C&quot;/&gt;&lt;wsp:rsid wsp:val=&quot;00F10F5F&quot;/&gt;&lt;wsp:rsid wsp:val=&quot;00F1170A&quot;/&gt;&lt;wsp:rsid wsp:val=&quot;00F11756&quot;/&gt;&lt;wsp:rsid wsp:val=&quot;00F12735&quot;/&gt;&lt;wsp:rsid wsp:val=&quot;00F12D5A&quot;/&gt;&lt;wsp:rsid wsp:val=&quot;00F14A0B&quot;/&gt;&lt;wsp:rsid wsp:val=&quot;00F15269&quot;/&gt;&lt;wsp:rsid wsp:val=&quot;00F16340&quot;/&gt;&lt;wsp:rsid wsp:val=&quot;00F1748A&quot;/&gt;&lt;wsp:rsid wsp:val=&quot;00F177F0&quot;/&gt;&lt;wsp:rsid wsp:val=&quot;00F1785D&quot;/&gt;&lt;wsp:rsid wsp:val=&quot;00F20BC8&quot;/&gt;&lt;wsp:rsid wsp:val=&quot;00F21729&quot;/&gt;&lt;wsp:rsid wsp:val=&quot;00F2174F&quot;/&gt;&lt;wsp:rsid wsp:val=&quot;00F21ADD&quot;/&gt;&lt;wsp:rsid wsp:val=&quot;00F22018&quot;/&gt;&lt;wsp:rsid wsp:val=&quot;00F22035&quot;/&gt;&lt;wsp:rsid wsp:val=&quot;00F240E0&quot;/&gt;&lt;wsp:rsid wsp:val=&quot;00F244A8&quot;/&gt;&lt;wsp:rsid wsp:val=&quot;00F24B17&quot;/&gt;&lt;wsp:rsid wsp:val=&quot;00F252B8&quot;/&gt;&lt;wsp:rsid wsp:val=&quot;00F25509&quot;/&gt;&lt;wsp:rsid wsp:val=&quot;00F26EE5&quot;/&gt;&lt;wsp:rsid wsp:val=&quot;00F27EBE&quot;/&gt;&lt;wsp:rsid wsp:val=&quot;00F303E0&quot;/&gt;&lt;wsp:rsid wsp:val=&quot;00F30439&quot;/&gt;&lt;wsp:rsid wsp:val=&quot;00F30F9A&quot;/&gt;&lt;wsp:rsid wsp:val=&quot;00F327DB&quot;/&gt;&lt;wsp:rsid wsp:val=&quot;00F327DC&quot;/&gt;&lt;wsp:rsid wsp:val=&quot;00F32E2E&quot;/&gt;&lt;wsp:rsid wsp:val=&quot;00F34C4A&quot;/&gt;&lt;wsp:rsid wsp:val=&quot;00F35383&quot;/&gt;&lt;wsp:rsid wsp:val=&quot;00F369D5&quot;/&gt;&lt;wsp:rsid wsp:val=&quot;00F377D7&quot;/&gt;&lt;wsp:rsid wsp:val=&quot;00F37A36&quot;/&gt;&lt;wsp:rsid wsp:val=&quot;00F404DF&quot;/&gt;&lt;wsp:rsid wsp:val=&quot;00F40FCF&quot;/&gt;&lt;wsp:rsid wsp:val=&quot;00F4118F&quot;/&gt;&lt;wsp:rsid wsp:val=&quot;00F4133C&quot;/&gt;&lt;wsp:rsid wsp:val=&quot;00F41B8B&quot;/&gt;&lt;wsp:rsid wsp:val=&quot;00F42225&quot;/&gt;&lt;wsp:rsid wsp:val=&quot;00F423F8&quot;/&gt;&lt;wsp:rsid wsp:val=&quot;00F434E4&quot;/&gt;&lt;wsp:rsid wsp:val=&quot;00F4367D&quot;/&gt;&lt;wsp:rsid wsp:val=&quot;00F4394A&quot;/&gt;&lt;wsp:rsid wsp:val=&quot;00F43A44&quot;/&gt;&lt;wsp:rsid wsp:val=&quot;00F45FDD&quot;/&gt;&lt;wsp:rsid wsp:val=&quot;00F4666A&quot;/&gt;&lt;wsp:rsid wsp:val=&quot;00F472B3&quot;/&gt;&lt;wsp:rsid wsp:val=&quot;00F4799D&quot;/&gt;&lt;wsp:rsid wsp:val=&quot;00F50504&quot;/&gt;&lt;wsp:rsid wsp:val=&quot;00F50E69&quot;/&gt;&lt;wsp:rsid wsp:val=&quot;00F51039&quot;/&gt;&lt;wsp:rsid wsp:val=&quot;00F514A2&quot;/&gt;&lt;wsp:rsid wsp:val=&quot;00F52458&quot;/&gt;&lt;wsp:rsid wsp:val=&quot;00F52903&quot;/&gt;&lt;wsp:rsid wsp:val=&quot;00F53E40&quot;/&gt;&lt;wsp:rsid wsp:val=&quot;00F54655&quot;/&gt;&lt;wsp:rsid wsp:val=&quot;00F54AA3&quot;/&gt;&lt;wsp:rsid wsp:val=&quot;00F551A4&quot;/&gt;&lt;wsp:rsid wsp:val=&quot;00F554A0&quot;/&gt;&lt;wsp:rsid wsp:val=&quot;00F56AFB&quot;/&gt;&lt;wsp:rsid wsp:val=&quot;00F56EC2&quot;/&gt;&lt;wsp:rsid wsp:val=&quot;00F57495&quot;/&gt;&lt;wsp:rsid wsp:val=&quot;00F6041A&quot;/&gt;&lt;wsp:rsid wsp:val=&quot;00F605E8&quot;/&gt;&lt;wsp:rsid wsp:val=&quot;00F60840&quot;/&gt;&lt;wsp:rsid wsp:val=&quot;00F60B50&quot;/&gt;&lt;wsp:rsid wsp:val=&quot;00F60FD5&quot;/&gt;&lt;wsp:rsid wsp:val=&quot;00F618B7&quot;/&gt;&lt;wsp:rsid wsp:val=&quot;00F61952&quot;/&gt;&lt;wsp:rsid wsp:val=&quot;00F63485&quot;/&gt;&lt;wsp:rsid wsp:val=&quot;00F63B08&quot;/&gt;&lt;wsp:rsid wsp:val=&quot;00F643FC&quot;/&gt;&lt;wsp:rsid wsp:val=&quot;00F646BB&quot;/&gt;&lt;wsp:rsid wsp:val=&quot;00F655A9&quot;/&gt;&lt;wsp:rsid wsp:val=&quot;00F65A02&quot;/&gt;&lt;wsp:rsid wsp:val=&quot;00F66028&quot;/&gt;&lt;wsp:rsid wsp:val=&quot;00F662C3&quot;/&gt;&lt;wsp:rsid wsp:val=&quot;00F67051&quot;/&gt;&lt;wsp:rsid wsp:val=&quot;00F6741E&quot;/&gt;&lt;wsp:rsid wsp:val=&quot;00F67749&quot;/&gt;&lt;wsp:rsid wsp:val=&quot;00F67E3E&quot;/&gt;&lt;wsp:rsid wsp:val=&quot;00F71FBB&quot;/&gt;&lt;wsp:rsid wsp:val=&quot;00F72CA6&quot;/&gt;&lt;wsp:rsid wsp:val=&quot;00F738F7&quot;/&gt;&lt;wsp:rsid wsp:val=&quot;00F73C09&quot;/&gt;&lt;wsp:rsid wsp:val=&quot;00F73E31&quot;/&gt;&lt;wsp:rsid wsp:val=&quot;00F74C85&quot;/&gt;&lt;wsp:rsid wsp:val=&quot;00F75095&quot;/&gt;&lt;wsp:rsid wsp:val=&quot;00F7526A&quot;/&gt;&lt;wsp:rsid wsp:val=&quot;00F75D2E&quot;/&gt;&lt;wsp:rsid wsp:val=&quot;00F764C0&quot;/&gt;&lt;wsp:rsid wsp:val=&quot;00F76B03&quot;/&gt;&lt;wsp:rsid wsp:val=&quot;00F77A16&quot;/&gt;&lt;wsp:rsid wsp:val=&quot;00F77A4C&quot;/&gt;&lt;wsp:rsid wsp:val=&quot;00F77B3C&quot;/&gt;&lt;wsp:rsid wsp:val=&quot;00F80A94&quot;/&gt;&lt;wsp:rsid wsp:val=&quot;00F81EA8&quot;/&gt;&lt;wsp:rsid wsp:val=&quot;00F82740&quot;/&gt;&lt;wsp:rsid wsp:val=&quot;00F83C80&quot;/&gt;&lt;wsp:rsid wsp:val=&quot;00F83D4E&quot;/&gt;&lt;wsp:rsid wsp:val=&quot;00F84BAF&quot;/&gt;&lt;wsp:rsid wsp:val=&quot;00F85830&quot;/&gt;&lt;wsp:rsid wsp:val=&quot;00F861AF&quot;/&gt;&lt;wsp:rsid wsp:val=&quot;00F86702&quot;/&gt;&lt;wsp:rsid wsp:val=&quot;00F870CC&quot;/&gt;&lt;wsp:rsid wsp:val=&quot;00F872BC&quot;/&gt;&lt;wsp:rsid wsp:val=&quot;00F873B8&quot;/&gt;&lt;wsp:rsid wsp:val=&quot;00F879F1&quot;/&gt;&lt;wsp:rsid wsp:val=&quot;00F87E17&quot;/&gt;&lt;wsp:rsid wsp:val=&quot;00F9035C&quot;/&gt;&lt;wsp:rsid wsp:val=&quot;00F90E63&quot;/&gt;&lt;wsp:rsid wsp:val=&quot;00F91B44&quot;/&gt;&lt;wsp:rsid wsp:val=&quot;00F925AB&quot;/&gt;&lt;wsp:rsid wsp:val=&quot;00F92B36&quot;/&gt;&lt;wsp:rsid wsp:val=&quot;00F93B62&quot;/&gt;&lt;wsp:rsid wsp:val=&quot;00F949C0&quot;/&gt;&lt;wsp:rsid wsp:val=&quot;00F95093&quot;/&gt;&lt;wsp:rsid wsp:val=&quot;00F962CC&quot;/&gt;&lt;wsp:rsid wsp:val=&quot;00F96D6B&quot;/&gt;&lt;wsp:rsid wsp:val=&quot;00F96FFE&quot;/&gt;&lt;wsp:rsid wsp:val=&quot;00FA0697&quot;/&gt;&lt;wsp:rsid wsp:val=&quot;00FA0C6D&quot;/&gt;&lt;wsp:rsid wsp:val=&quot;00FA10FD&quot;/&gt;&lt;wsp:rsid wsp:val=&quot;00FA1829&quot;/&gt;&lt;wsp:rsid wsp:val=&quot;00FA312B&quot;/&gt;&lt;wsp:rsid wsp:val=&quot;00FA3F11&quot;/&gt;&lt;wsp:rsid wsp:val=&quot;00FA3F83&quot;/&gt;&lt;wsp:rsid wsp:val=&quot;00FA5DC4&quot;/&gt;&lt;wsp:rsid wsp:val=&quot;00FA6003&quot;/&gt;&lt;wsp:rsid wsp:val=&quot;00FA6A0C&quot;/&gt;&lt;wsp:rsid wsp:val=&quot;00FA6B11&quot;/&gt;&lt;wsp:rsid wsp:val=&quot;00FA7526&quot;/&gt;&lt;wsp:rsid wsp:val=&quot;00FA75FB&quot;/&gt;&lt;wsp:rsid wsp:val=&quot;00FB086B&quot;/&gt;&lt;wsp:rsid wsp:val=&quot;00FB0F82&quot;/&gt;&lt;wsp:rsid wsp:val=&quot;00FB19A1&quot;/&gt;&lt;wsp:rsid wsp:val=&quot;00FB344E&quot;/&gt;&lt;wsp:rsid wsp:val=&quot;00FB3F32&quot;/&gt;&lt;wsp:rsid wsp:val=&quot;00FB496B&quot;/&gt;&lt;wsp:rsid wsp:val=&quot;00FB5624&quot;/&gt;&lt;wsp:rsid wsp:val=&quot;00FB5A87&quot;/&gt;&lt;wsp:rsid wsp:val=&quot;00FB6000&quot;/&gt;&lt;wsp:rsid wsp:val=&quot;00FB6684&quot;/&gt;&lt;wsp:rsid wsp:val=&quot;00FB6C3B&quot;/&gt;&lt;wsp:rsid wsp:val=&quot;00FB776B&quot;/&gt;&lt;wsp:rsid wsp:val=&quot;00FC1109&quot;/&gt;&lt;wsp:rsid wsp:val=&quot;00FC1AEE&quot;/&gt;&lt;wsp:rsid wsp:val=&quot;00FC23A5&quot;/&gt;&lt;wsp:rsid wsp:val=&quot;00FC3066&quot;/&gt;&lt;wsp:rsid wsp:val=&quot;00FC3293&quot;/&gt;&lt;wsp:rsid wsp:val=&quot;00FC3916&quot;/&gt;&lt;wsp:rsid wsp:val=&quot;00FC3BE3&quot;/&gt;&lt;wsp:rsid wsp:val=&quot;00FC3E32&quot;/&gt;&lt;wsp:rsid wsp:val=&quot;00FC59E9&quot;/&gt;&lt;wsp:rsid wsp:val=&quot;00FC6766&quot;/&gt;&lt;wsp:rsid wsp:val=&quot;00FC7AB9&quot;/&gt;&lt;wsp:rsid wsp:val=&quot;00FC7D48&quot;/&gt;&lt;wsp:rsid wsp:val=&quot;00FD0DD6&quot;/&gt;&lt;wsp:rsid wsp:val=&quot;00FD19AD&quot;/&gt;&lt;wsp:rsid wsp:val=&quot;00FD3494&quot;/&gt;&lt;wsp:rsid wsp:val=&quot;00FD3E24&quot;/&gt;&lt;wsp:rsid wsp:val=&quot;00FD4856&quot;/&gt;&lt;wsp:rsid wsp:val=&quot;00FD5050&quot;/&gt;&lt;wsp:rsid wsp:val=&quot;00FD5068&quot;/&gt;&lt;wsp:rsid wsp:val=&quot;00FD5A19&quot;/&gt;&lt;wsp:rsid wsp:val=&quot;00FD5CD9&quot;/&gt;&lt;wsp:rsid wsp:val=&quot;00FD6004&quot;/&gt;&lt;wsp:rsid wsp:val=&quot;00FD62BC&quot;/&gt;&lt;wsp:rsid wsp:val=&quot;00FD6B4A&quot;/&gt;&lt;wsp:rsid wsp:val=&quot;00FD7141&quot;/&gt;&lt;wsp:rsid wsp:val=&quot;00FD7936&quot;/&gt;&lt;wsp:rsid wsp:val=&quot;00FD7E88&quot;/&gt;&lt;wsp:rsid wsp:val=&quot;00FE0261&quot;/&gt;&lt;wsp:rsid wsp:val=&quot;00FE107E&quot;/&gt;&lt;wsp:rsid wsp:val=&quot;00FE1EA7&quot;/&gt;&lt;wsp:rsid wsp:val=&quot;00FE231E&quot;/&gt;&lt;wsp:rsid wsp:val=&quot;00FE2697&quot;/&gt;&lt;wsp:rsid wsp:val=&quot;00FE2B98&quot;/&gt;&lt;wsp:rsid wsp:val=&quot;00FE2DF7&quot;/&gt;&lt;wsp:rsid wsp:val=&quot;00FE3A9B&quot;/&gt;&lt;wsp:rsid wsp:val=&quot;00FE3F46&quot;/&gt;&lt;wsp:rsid wsp:val=&quot;00FE4727&quot;/&gt;&lt;wsp:rsid wsp:val=&quot;00FE4779&quot;/&gt;&lt;wsp:rsid wsp:val=&quot;00FE4817&quot;/&gt;&lt;wsp:rsid wsp:val=&quot;00FE4CCE&quot;/&gt;&lt;wsp:rsid wsp:val=&quot;00FE5400&quot;/&gt;&lt;wsp:rsid wsp:val=&quot;00FE6FBF&quot;/&gt;&lt;wsp:rsid wsp:val=&quot;00FE7297&quot;/&gt;&lt;wsp:rsid wsp:val=&quot;00FE7520&quot;/&gt;&lt;wsp:rsid wsp:val=&quot;00FE756A&quot;/&gt;&lt;wsp:rsid wsp:val=&quot;00FF00DB&quot;/&gt;&lt;wsp:rsid wsp:val=&quot;00FF0BE9&quot;/&gt;&lt;wsp:rsid wsp:val=&quot;00FF1DB0&quot;/&gt;&lt;wsp:rsid wsp:val=&quot;00FF2506&quot;/&gt;&lt;wsp:rsid wsp:val=&quot;00FF2A05&quot;/&gt;&lt;wsp:rsid wsp:val=&quot;00FF3340&quot;/&gt;&lt;wsp:rsid wsp:val=&quot;00FF380D&quot;/&gt;&lt;wsp:rsid wsp:val=&quot;00FF4405&quot;/&gt;&lt;wsp:rsid wsp:val=&quot;00FF462E&quot;/&gt;&lt;wsp:rsid wsp:val=&quot;00FF4922&quot;/&gt;&lt;wsp:rsid wsp:val=&quot;00FF4976&quot;/&gt;&lt;wsp:rsid wsp:val=&quot;00FF70E4&quot;/&gt;&lt;wsp:rsid wsp:val=&quot;00FF7279&quot;/&gt;&lt;wsp:rsid wsp:val=&quot;00FF73C4&quot;/&gt;&lt;wsp:rsid wsp:val=&quot;00FF7468&quot;/&gt;&lt;wsp:rsid wsp:val=&quot;00FF7A38&quot;/&gt;&lt;/wsp:rsids&gt;&lt;/w:docPr&gt;&lt;w:body&gt;&lt;wx:sect&gt;&lt;w:p wsp:rsidR=&quot;00F11756&quot; wsp:rsidRDefault=&quot;00F11756&quot; wsp:rsidP=&quot;00F11756&quot;&gt;&lt;m:oMathPara&gt;&lt;m:oMath&gt;&lt;m:r&gt;&lt;aml:annotation aml:id=&quot;0&quot; w:type=&quot;Word.Insertion&quot; aml:author=&quot;jq ??&quot; aml:createdate=&quot;2024-12-04T09:02:00Z&quot;&gt;&lt;aml:content&gt;&lt;w:rP&gt;&gt;&gt;&gt;r&gt;/&lt;w:rFonts w:ascii=&quot;Cambria Math&quot; w:h-ansi=&quot;????&quot;/&gt;&lt;wx:font wx:val=&quot;Cambria Math&quot;/&gt;&lt;w:b w:val=&quot;off&quot;/&gt;&lt;w:i/&gt;&lt;w:sz w:val=&quot;21&quot;/&gt;&lt;w:sz-cs w:val=&quot;21&quot;/&gt;&lt;/w:rPr&gt;&lt;m:t&gt;??=&lt;/m:t&gt;&lt;/aml:content&gt;&lt;/aml:annotation&gt;&lt;/m:r&gt;&lt;m:f&gt;&lt;m:fPr&gt;&lt;m:ctrlPr&gt;&lt;aml:annotation aml:id=rP&gt;&quot;rP&gt;1rP&gt;&quot;rP&gt; w:r&gt;/type=&quot;Word.Insertion&quot; aml:author=&quot;jq ??&quot; aml:createdate=&quot;2024-12-04T09:02:00Z&quot;&gt;&lt;aml:content&gt;&lt;w:rPr&gt;&lt;w:rFonts w:ascii=&quot;Cambria Math&quot; w:h-ansi=&quot;????&quot;/&gt;&lt;wx:font wx:val=&quot;Cambria Math&quot;/&gt;&lt;w:b w:val=&quot;off&quot;/&gt;&lt;w:i/&gt;&lt;w:sz w:val=&quot;21&quot;/&gt;&lt;w:sz-cs w:valrP&gt;=&quot;21rP&gt;&quot;/&gt;&lt;rP&gt;/w:rrP&gt;Pr&gt;&lt;/ar&gt;/ml:content&gt;&lt;/aml:annotation&gt;&lt;/m:ctrlPr&gt;&lt;/m:fPr&gt;&lt;m:num&gt;&lt;m:r&gt;&lt;aml:annotation aml:id=&quot;2&quot; w:type=&quot;Word.Insertion&quot; aml:author=&quot;jq ??&quot; aml:createdate=&quot;2024-12-04T09:02:00Z&quot;&gt;&lt;aml:content&gt;&lt;w:rPr&gt;&lt;w:rFonts w:ascii=&quot;Cambria Math&quot; w:h-a&gt;nsi=&quot;??P&gt;??&quot;/&gt;&lt;wrP&gt;x:font rP&gt;wx:val=&quot;Cr&gt;/ambria Math&quot;/&gt;&lt;w:b w:val=&quot;off&quot;/&gt;&lt;w:i/&gt;&lt;w:sz w:val=&quot;21&quot;/&gt;&lt;w:sz-cs w:val=&quot;21&quot;/&gt;&lt;/w:rPr&gt;&lt;m:t&gt;Q&lt;/m:t&gt;&lt;/aml:content&gt;&lt;/aml:annotation&gt;&lt;/m:r&gt;&lt;/m:num&gt;&lt;m:den&gt;&lt;m:r&gt;&lt;aml:annotation aml:id=&quot;3&quot; w:type=&quot;Word.Insertion&quot; aml:authoa&gt;r=&quot;jq ??&quot;P&gt; aml:creat&gt;edate=&quot;202&gt;4-12-04T09:0/2:00Z&quot;&gt;&lt;aml:content&gt;&lt;w:rPr&gt;&lt;w:rFonts w:ascii=&quot;Cambria Math&quot; w:h-ansi=&quot;????&quot;/&gt;&lt;wx:font wx:val=&quot;Cambria Math&quot;/&gt;&lt;w:b w:val=&quot;off&quot;/&gt;&lt;w:i/&gt;&lt;w:sz w:val=&quot;21&quot;/&gt;&lt;w:sz-cs w:val=&quot;21&quot;/&gt;&lt;/w:rPr&gt;&lt;m:t&gt;n??&lt;/m:t&gt;&lt;/aml:content&gt;&lt;hoa&gt;/aml:annota&quot;P&gt;tion&gt;&lt;/m:r&gt;at&gt;&lt;m:r&gt;&lt;aml:a02&gt;nnotation aml:0/:id=&quot;4&quot; w:type=&quot;Word.Insertion&quot; aml:author=&quot;jq ??&quot; aml:createdate=&quot;2024-12-04T09:02:00Z&quot;&gt;&lt;aml:content&gt;&lt;w:rPr&gt;&lt;w:rFonts w:ascii=&quot;Cambria Math&quot; w:h-ansi=&quot;????&quot; w:hint=&quot;fareast&quot;/&gt;&lt;wx:font wx:val=&quot;????&lt;hoa&gt;&quot;/&gt;&lt;w:b w:val=ta&quot;P&gt;&quot;off&quot;/&gt;&lt;w:i/&gt;&lt;r&gt;at&gt;w:sz w:val=&quot;21:a02&gt;&quot;/&gt;&lt;w:sz-cs w:vaml:0/l=&quot;21&quot;/&gt;&lt;/w:rPr&gt;&lt;m:t&gt;??&lt;/m:t&gt;&lt;/aml:content&gt;&lt;/aml:annotation&gt;&lt;/m:r&gt;&lt;m:rad&gt;&lt;m:radPr&gt;&lt;m:degHide m:val=&quot;1&quot;/&gt;&lt;m:ctrlPr&gt;&lt;aml:annotation aml:id=&quot;5&quot; w:type=&quot;Word.Insertion&quot; aml:author=&quot;&gt;jq ??&quot; aml:createdaP&gt;te=&quot;2024-12-04T09:0t&gt;2:00Z&quot;&gt;&lt;aml:content2&gt;&gt;&lt;w:rPr&gt;&lt;w:rFonts w:a0/scii=&quot;Cambria Math&quot; w:h-ansi=&quot;????&quot;/&gt;&lt;wx:font wx:val=&quot;Cambria Math&quot;/&gt;&lt;w:b w:val=&quot;off&quot;/&gt;&lt;w:i/&gt;&lt;w:sz w:val=&quot;21&quot;/&gt;&lt;w:sz-cs w:val=&quot;21&quot;/&gt;&lt;/w:rPr&gt;&lt;/aml:content&gt;&lt;/aml:annotatio=&quot;&gt;n&gt;&lt;/m:ctrlPr&gt;&lt;/m:radPP&gt;r&gt;&lt;m:deg/&gt;&lt;m:e&gt;&lt;m:r&gt;&lt;t&gt;aml:annotation aml:id2&gt;=&quot;6&quot; w:type=&quot;Word.Inser0/tion&quot; aml:author=&quot;jq ??&quot; aml:createdate=&quot;2024-12-04T09:02:00Z&quot;&gt;&lt;aml:content&gt;&lt;w:rPr&gt;&lt;w:rFonts w:ascii=&quot;Cambria Math&quot; w:h-ansi=&quot;????&quot;/&gt;&lt;wx:font wx:val=&quot;Cambria Mat=&quot;&gt;h&quot;/&gt;&lt;w:b w:val=&quot;off&quot;/&gt;&lt;PP&gt;w:i/&gt;&lt;w:sz w:val=&quot;21&quot;/&gt;&lt;t&gt;&lt;w:sz-cs w:val=&quot;21&quot;/&gt;&lt;/d2&gt;w:rPr&gt;&lt;m:t&gt;2g&lt;/m:t&gt;&lt;/aml:r0/content&gt;&lt;/aml:annotation&gt;&lt;/m:r&gt;&lt;m:sSub&gt;&lt;m:sSubPr&gt;&lt;m:ctrlPr&gt;&lt;aml:annotation aml:id=&quot;7&quot; w:type=&quot;Word.Insertion&quot; aml:author=&quot;jq ??&quot; aml:createdate=&quot;2024&gt;-12-04T09:02:00Z&quot;&gt;&lt;aml:con&gt;tent&gt;&lt;w:rPr&gt;&lt;w:rFonts w:as&gt;cii=&quot;Cambria Math&quot; w:h-ans&gt;i=&quot;????&quot;/&gt;&lt;wx:font wx:val=&quot;Cr0/ambria Math&quot;/&gt;&lt;w:b w:val=&quot;off&quot;/&gt;&lt;w:i/&gt;&lt;w:sz w:val=&quot;21&quot;/&gt;&lt;w:sz-cs w:val=&quot;21&quot;/&gt;&lt;/w:rPr&gt;&lt;/aml:content&gt;&lt;/aml:annotation&gt;&lt;/m:ctrlPr&gt;&lt;/m:sSubPr&gt;&lt;m:e&gt;4&gt;&lt;m:r&gt;&lt;aml:annotation aml:idn&gt;=&quot;8&quot; w:type=&quot;Word.Insertions&gt;&quot; aml:author=&quot;jq ??&quot; aml:crns&gt;eatedate=&quot;2024-12-04T09:02:00Z&quot;/&gt;&lt;aml:content&gt;&lt;w:rPr&gt;&lt;w:rFonts w:ascii=&quot;Cambria Math&quot; w:h-ansi=&quot;????&quot;/&gt;&lt;wx:font wx:val=&quot;Cambria Math&quot;/&gt;&lt;w:b w:val=&quot;off&quot;/&gt;&lt;w:i/&gt;&lt;w:sz w:&gt;4&gt;val=&quot;21&quot;/&gt;&lt;w:sz-cs w:val=&quot;21&quot;dn&gt;/&gt;&lt;/w:rPr&gt;&lt;m:t&gt;H&lt;/m:t&gt;&lt;/aml:cns&gt;ontent&gt;&lt;/aml:annotation&gt;&lt;/m:r&gt;s&gt;&lt;/m:e&gt;&lt;m:sub&gt;&lt;m:r&gt;&lt;aml:annotatio&quot;/n aml:id=&quot;9&quot; w:type=&quot;Word.Insertion&quot; aml:author=&quot;jq ??&quot; aml:createdate=&quot;2024-12-04T09:02:00Z&quot;&gt;&lt;aml:content&gt;&lt;w:rPr&gt;&lt;w:rFonts w&gt;:ascii=&quot;Cambria Math&quot; w:h-ansi=&quot;&gt;????&quot;/&gt;&lt;wx:font wx:val=&quot;Cambria ns&gt;Math&quot;/&gt;&lt;w:b w:val=&quot;off&quot;/&gt;&lt;w:i/&gt;&lt;&gt;s&gt;w:sz w:val=&quot;21&quot;/&gt;&lt;w:sz-cs w:val=&quot;2o&quot;/1&quot;/&gt;&lt;/w:rPr&gt;&lt;m:t&gt;1&lt;/m:t&gt;&lt;/aml:content&gt;&lt;/aml:annotation&gt;&lt;/m:r&gt;&lt;/m:sub&gt;&lt;/m:sSub&gt;&lt;m:ctrlPr&gt;&lt;aml:annotation aml:id=&quot;10&quot;w&gt; w:type=&quot;Word.Insertion&quot; aml:auth&quot;&gt;or=&quot;jq ??&quot; aml:createdate=&quot;2024-12-&gt;04T09:02:00Z&quot;&gt;&lt;aml:content&gt;&lt;w:rPr&gt;&lt;&gt;w:rFonts w:ascii=&quot;Cambria Math&quot; w:h-a/nsi=&quot;Cambria Math&quot; w:hint=&quot;fareast&quot;/&gt;&lt;wx:font wx:val=&quot;Cambria Math&quot;/&gt;&lt;w:b w:val=&quot;off&quot;/&gt;&lt;w:i/&gt;&lt;w:sz w:val=&quot;21&quot;/&gt;&gt;&lt;w:sz-cs w:val=&quot;21&quot;/&gt;&lt;/w:rPr&gt;&lt;/aml&gt;:content&gt;&lt;/aml:annotation&gt;&lt;/m:ctrlPr&gt;&lt;/m:e&gt;&lt;/m:rad&gt;&lt;m:r&gt;&lt;aml:annotation aml:id=&quot;11&quot; w:type=&quot;Word.Insertion&quot; aml:author=&quot;jq ??&quot; aml:createdate=&quot;2024-12-04T09:02:00Z&quot;&gt;&lt;aml:content&gt;&lt;w:rPr&gt;&lt;w:rFonts w:ascii=&quot;Cambria Math&quot; w&gt;:h-ansi=&quot;????&quot;/&gt;&lt;wx:font wx:val=&quot;Camml&gt;bria Math&quot;/&gt;&lt;w:b w:val=&quot;off&quot;/&gt;&lt;w:i/&gt;lPr&lt;w:sz w:val=&quot;21&quot;/&gt;&lt;w:sz-cs w:val=&quot;21on &quot;/&gt;&lt;/w:rPr&gt;&lt;m:t&gt;+&lt;/m:t&gt;&lt;/aml:content&gt;&lt; am/aml:annotation&gt;&lt;/m:r&gt;&lt;m:rad&gt;&lt;m:radPr&gt;&lt;m:degHide m:val=&quot;1&quot;/&gt;&lt;m:ctrlPr&gt;&lt;aml:annotation aml:id=&quot;12&quot;w&gt; w:type=&quot;Word.Insertion&quot; aml:author=&quot;jq ??&quot; aml:createdate=&quot;2024-12-04T09:02:0r0Z&quot;&gt;&lt;aml:content&gt;&lt;w:rPr&gt;&lt;w:rFonts w:asc ii=&quot;Cambria Math&quot; w:h-ansi=&quot;????&quot;/&gt;&lt;wx:fo amnt wx:val=&quot;Cambria Math&quot;/&gt;&lt;w:b w:val=&quot;off&quot;/&gt;&lt;w:i/&gt;&lt;w:sz w:val=&quot;21&quot;/&gt;&lt;w:sz-cs w:val=&quot;21&quot;/&gt;&lt;/w&quot;w&gt;:rPr&gt;&lt;/aml:content&gt;&lt;/aml:annotation&gt;&lt;/m&quot;jq:ctrlPr&gt;&lt;/m:radPr&gt;&lt;m:deg/&gt;&lt;m:e&gt;&lt;m:r&gt;&lt;aml0r:annotation aml:id=&quot;13&quot; w:type=&quot;Word.Insc ertion&quot; aml:author=&quot;jq ??&quot; aml:createdate=&quot;2m024-12-04T09:02:00Z&quot;&gt;&lt;aml:content&gt;&lt;w:rPr&gt;&lt;w:rFonts w:ascii=&quot;Cambria Math&quot; w:h-ansi=&quot;&gt;????&quot;/&gt;&lt;wx:font wx:val=&quot;Cambria Math&quot;/&gt;&lt;w:&quot;jqb w:val=&quot;off&quot;/&gt;&lt;w:i/&gt;&lt;w:sz w:val=&quot;21&quot;/&gt;&lt;w:l0rsz-cs w:val=&quot;21&quot;/&gt;&lt;/w:rPr&gt;&lt;m:t&gt;2g&lt;/m:t&gt;&lt;/asc ml:content&gt;&lt;/aml:annotation&gt;&lt;/m:r&gt;&lt;m:sSub&gt;&lt;m:2msSubPr&gt;&lt;m:ctrlPr&gt;&lt;aml:annotation aml:id=&quot;14&quot; w:type=&quot;Word.Insertion&quot; aml:&quot;&gt;author=&quot;jq ??&quot; aml:createdate=&quot;2024-12-04T09:q02:00Z&quot;&gt;&lt;aml:content&gt;&lt;w:rPr&gt;&lt;w:rFonts w:asciir=&quot;Cambria Math&quot; w:h-ansi=&quot;????&quot;/&gt;&lt;wx:font wx:sc val=&quot;Cambria Math&quot;/&gt;&lt;w:b w:val=&quot;off&quot;/&gt;&lt;w:i/&gt;&lt;w::2msz w:val=&quot;21&quot;/&gt;&lt;w:sz-cs w:val=&quot;21&quot;/&gt;&lt;/w:rPr&gt;&lt;/aml:content&gt;&lt;/aml:a:&quot;&gt;nnotation&gt;&lt;/m:ctrlPr&gt;&lt;/m:sSubPr&gt;&lt;m:e&gt;&lt;m:r&gt;&lt;aml:q:annotation aml:id=&quot;15&quot; w:type=&quot;Word.Insertionir&quot; aml:author=&quot;jq ??&quot; aml:createdate=&quot;2024-12-04T 09:02:00Z&quot;&gt;&lt;aml:content&gt;&lt;w:rPr&gt;&lt;w:rFonts w:ascii=&quot;mCambria Math&quot; w:h-ansi=&quot;????&quot;/&gt;&lt;wx:font wx:val=&quot;Cambria Mat:&quot;&gt;h&quot;/&gt;&lt;w:b w:val=&quot;off&quot;/&gt;&lt;w:i/&gt;&lt;w:sz w:val=&quot;21&quot;/&gt;&lt;wl:q:sz-cs w:val=&quot;21&quot;/&gt;&lt;/w:rPr&gt;&lt;m:t&gt;H&lt;/m:t&gt;&lt;/aml:connirtent&gt;&lt;/aml:annotation&gt;&lt;/m:r&gt;&lt;/m:e&gt;&lt;m:sub&gt;&lt;m:r&gt;&lt;amT l:annotation aml:id=&quot;16&quot; w:type=&quot;Word.Insertion&quot; am&quot;ml:author=&quot;jq ??&quot; aml:createdate=&quot;2024-12-04T09:02&gt;:00Z&quot;&gt;&lt;aml:content&gt;&lt;w:rPr&gt;&lt;w:rFonts w:ascii=&quot;Cambriqa Math&quot; w:h-ansi=&quot;????&quot;/&gt;&lt;wx:font wx:val=&quot;Cambria Mnirath&quot;/&gt;&lt;w:b w:val=&quot;off&quot;/&gt;&lt;w:i/&gt;&lt;w:sz w:val=&quot;21&quot;/&gt;&lt;w:mT sz-cs w:val=&quot;21&quot;/&gt;&lt;/w:rPr&gt;&lt;m:t&gt;2&lt;/m:t&gt;&lt;/aml:content&gt;&lt;m&quot;m/aml:annotation&gt;&lt;/m:r&gt;&lt;/m:sub&gt;&lt;/m:sSub&gt;2&gt;&lt;m:ctrlPr&gt;&lt;aml:annotation aml:id=&quot;17&quot; w:type=&quot;Word.Iiqnsertion&quot; aml:author=&quot;jq ??&quot; aml:createdate=&quot;2024-12-0r4T09:02:00Z&quot;&gt;&lt;aml:content&gt;&lt;w:rPr&gt;&lt;w:rFonts w:ascii=&quot;Ca mbria Math&quot; w:h-ansi=&quot;Cambria Math&quot; w:hint=&quot;fareast&quot;/&gt;&lt;wmx:font wx:val=&quot;Cambria Math&quot;/&gt;&lt;w:b&gt; w:val=&quot;off&quot;/&gt;&lt;w:i/&gt;&lt;w:sz w:val=&quot;21&quot;/&gt;&lt;w:sz-cs w:val=&quot;q21&quot;/&gt;&lt;/w:rPr&gt;&lt;/aml:content&gt;&lt;/aml:annotation&gt;&lt;/m:ctrlPr&gt;&lt;/m:e&gt;&lt;/m:rad&gt;&lt;m:r&gt;&lt;aml:annotation aml:id=&quot;18&quot; w:type=&quot;Word.Insertion&quot; aml:author=&quot;jq ??&quot; aml:createdate=&quot;2024-1m2-04T09:02:00Z&quot;&gt;&lt;aml:content&gt;&lt;w:&gt;rPr&gt;&lt;w:rFonts w:ascii=&quot;Cambria Math&quot; w:h-ansi=&quot;????&quot;/&gt;&lt;=&quot;qwx:font wx:val=&quot;Cambria Math&quot;/&gt;&lt;w:b w:val=&quot;off&quot;/&gt;&lt;w:i/&gt;Pr&gt;&lt;w:sz w:val=&quot;21&quot;/&gt;&lt;w:sz-cs w:val=&quot;21&quot;/&gt;&lt;/w:rPr&gt;&lt;m:t&gt;+&lt;/e=&quot;m:t&gt;&lt;/aml:content&gt;&lt;/aml:annotation&gt;&lt;/m:r&gt;&lt;m:rad&gt;&lt;m:radPr&gt;&lt;1mm:degHide m:val=&quot;1&quot;/&gt;:&gt;&lt;m:ctrlPr&gt;&lt;aml:annotation aml:id=&quot;19&quot; w:type=&quot;Word.Insertion&quot; aml:author=&quot;jq ??&quot; aml:createdate=&quot;2024-12-04T09:02:00&gt;Z&quot;&gt;&lt;aml:content&gt;&lt;w:rPr&gt;&lt;w:rFonts w:ascii=&quot;Cambria Math&quot; w:&quot;h-ansi=&quot;????&quot;/&gt;&lt;wx:font wx:val=&quot;Cambria Math&quot;/&gt;&lt;w:b w:val=&quot;o&lt;1mff&quot;/&gt;&lt;w:i/&gt;&lt;w:sz&gt;:&gt; w:val=&quot;21&quot;/&gt;&lt;w:sz-cs w:val=&quot;21&quot;/&gt;&lt;/w:rPr&gt;&lt;/aml:content&gt;&lt;/rtiaml:annotation&gt;&lt;/m:ctrlPr&gt;&lt;/m:radPr&gt;&lt;m:deg/&gt;&lt;m:e&gt;&lt;m:r&gt;&lt;aml:0&gt;annotation aml:id=&quot;20&quot; w:type=&quot;Word.Insertion&quot; aml:author=&quot;:&quot;jq ??&quot; aml:createdate=&quot;2024-12-04T09:02:00Z&quot;&gt;&lt;aml:content&gt;&lt;w:rPmr&gt;&lt;w:rFo&gt;nts w:ascii=&quot;Cambria Math&quot; w:h-ansi=&quot;????&quot;/&gt;&lt;wx:font wx:val=&quot;rtiCambria Math&quot;/&gt;&lt;w:b w:val=&quot;off&quot;/&gt;&lt;w:i/&gt;&lt;w:sz w:val=&quot;21&quot;/&gt;&lt;w:s:0&gt;z-cs w:val=&quot;21&quot;/&gt;&lt;/w:rPr&gt;&lt;m:t&gt;2g&lt;/m:t&gt;&lt;/aml:content&gt;&lt;/aml:ann&quot;:&quot;otation&gt;&lt;/m:r&gt;&lt;m:sSub&gt;&lt;m:sSubPr&gt;&lt;m:ctrlPr&gt;&lt;aml:annotation aml:io&gt;dPm=&quot;21&quot; w:type=&quot;Word.Insertion&quot; aml:author=&quot;jq ??&quot; aml:createdaite=&quot;2024-12-04T09:02:00Z&quot;&gt;&lt;aml:content&gt;&lt;w:rPr&gt;&lt;w:rFonts w:ascii=&gt;&quot;Cambria Math&quot; w:h-ansi=&quot;????&quot;/&gt;&lt;wx:font wx:val=&quot;Cambria Math&quot;/&gt;&quot;:&quot;&lt;w:b w:val=&quot;off&quot;/&gt;&lt;w:i/&gt;&lt;w:sz w:val=&quot;21&quot;/&gt;&lt;w:sz-cs w:val=&quot;io&gt;21&quot;/&gt;&lt;/wdPm:rPr&gt;&lt;/aml:content&gt;&lt;/aml:annotation&gt;&lt;/m:ctrlPr&gt;&lt;/m:sSuaibPr&gt;&lt;m:e&gt;&lt;m:r&gt;&lt;aml:annotation aml:id=&quot;22&quot; w:type=&quot;Word.Insertion&quot;=&gt; aml:author=&quot;jq ??&quot; aml:createdate=&quot;2024-12-04T09:02:00Z&quot;&gt;&lt;aml:cont&quot;ent&gt;&lt;w:rPr&gt;&lt;w:rFonts w:ascii=&quot;Cambria Math&quot; w:h-ansi=&gt;&quot;????&quot;/&gt;&lt;wx:fontdPm wx:val=&quot;Cambria Math&quot;/&gt;&lt;w:b w:val=&quot;off&quot;/&gt;&lt;w:i/&gt;uai&lt;w:sz w:val=&quot;21&quot;/&gt;&lt;w:sz-cs w:val=&quot;21&quot;/&gt;&lt;/w:rPr&gt;&lt;m:t&gt;H&lt;/m:t&gt;&lt;/aml:co&quot;=&gt;ntent&gt;&lt;/aml:annotation&gt;&lt;/m:r&gt;&lt;/m:e&gt;&lt;m:sub&gt;&lt;m:r&gt;&lt;aml:annotation aml:it&quot;d=&quot;23&quot; w:type=&quot;Word.Insertion&quot; aml:author=&quot;jq=&gt; ??&quot; aml:createdate=&quot;2024-1m2-04T09:02:00Z&quot;&gt;&lt;aml:content&gt;&lt;w:rPr&gt;&lt;w:rFoints w:ascii=&quot;Cambria Math&quot; w:h-ansi=&quot;????&quot;/&gt;&lt;wx:font wx:val=&quot;Cambria M&quot;=&gt;ath&quot;/&gt;&lt;w:b w:val=&quot;off&quot;/&gt;&lt;w:i/&gt;&lt;w:sz w:val=&quot;21&quot;/&gt;&lt;w:sz-cs w:val=&quot;21&quot;/&gt;&lt;it&quot;/w:rPr&gt;&lt;m:t&gt;3&lt;/m:t&gt;&lt;/aml:content&gt;&lt;/amlq=&gt;:annotation&gt;&lt;/m:r&gt;&lt;/m:sub&gt;&lt;/m:sSub&gt;1m&lt;m:ctrlPr&gt;&lt;aml:annotation aml:id=&quot;oi24&quot; w:type=&quot;Word.Insertion&quot; aml:author=&quot;jq ??&quot; aml:createdate=&quot;2024-12-04&gt;T09:02:00Z&quot;&gt;&lt;aml:content&gt;&lt;w:rPr&gt;&lt;w:rFonts w:ascii=&quot;Cambria Math&quot; w:h-ansi&quot;=&quot;Cambria Math&quot; w:hint=&quot;fareast&quot;/&gt;&gt;&lt;wx:font wx:val=&quot;Cambria Math&quot;/&gt;&lt;w:b w:vaml=&quot;off&quot;/&gt;&lt;w:i/&gt;&lt;w:sz w:val=&quot;21&quot;i/&gt;&lt;w:sz-cs w:val=&quot;21&quot;/&gt;&lt;/w:rPr&gt;&lt;/aml:content&gt;&lt;/aml:annotation&gt;&lt;/m:ctrlPr&gt;&lt;/m:e&gt;&lt;/m:rad&gt;&lt;m:r&gt;&lt;aml:annotation aml:id=&quot;25&quot; w:type=&quot;Word.Insertion&quot; aml:author=&quot;jq ??&quot; aml:createdate=&quot;20&gt;24-12-04T09:02:00Z&quot;&gt;&lt;aml:content&gt;&lt;w:rPr&gt;&lt;w:mrFonts w:ascii=&quot;Cambria Math&quot; iw:h-ansi=&quot;Cambria Math&quot; w:hint=&quot;fareast&quot;/&gt;&lt;wx:font wx:val=&quot;????&quot;/&gt;&lt;w:b w:vr&gt;&lt;al=&quot;off&quot;/&gt;&lt;w:i/&gt;&lt;w:sz w:val=&quot;21&quot;/&gt;&lt;w:sz-cs w:val=&quot;21&quot;/&gt;&lt;/w:rPr&gt;&lt;m:t&gt;??&lt;/m:aml:t&gt;&lt;/aml:content&gt;&lt;/aml:ann20&gt;otation&gt;&lt;/m:r&gt;&lt;m:ctrlPr&gt;&lt;aml:annotation aml:id=&quot;26&quot; w:mw:type=&quot;Word.Inserti&quot; ion&quot; aml:author=&quot;jq ??&quot; aml:createdate=&quot;2024-12-04T09:02:00Z&quot;&gt;&lt;aml:content&gt;&lt;w:&gt;&lt;rPr&gt;&lt;w:rFonts w:ascii=&quot;Cambria Math&quot; w:h-ansi=&quot;Cambria Math&quot; w:hint=&quot;fareast&quot;/:&gt;&lt;wx:font wx:val=&quot;C&gt;ambria Math&quot;/&gt;&lt;w:b w:val=&quot;off&quot;/&gt;&lt;w:i/&gt;&lt;w:sz w:val=&quot;21&quot;/&gt;&lt;w:szm-cs w:val=&quot;21&quot;/&gt;i&lt;/w:rPr&gt;&lt;/aml:content&gt;&lt;/aml:annotation&gt;&lt;/m:ctrlP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
            <v:path/>
            <v:fill on="f" focussize="0,0"/>
            <v:stroke on="f" joinstyle="miter"/>
            <v:imagedata r:id="rId74" chromakey="#FFFFFF" o:title=""/>
            <o:lock v:ext="edit" aspectratio="t"/>
            <w10:wrap type="none"/>
            <w10:anchorlock/>
          </v:shape>
        </w:pict>
      </w:r>
      <w:r>
        <w:rPr>
          <w:rFonts w:ascii="Times New Roman" w:hAnsi="Times New Roman" w:cs="Times New Roman"/>
          <w:sz w:val="21"/>
          <w:szCs w:val="21"/>
        </w:rPr>
        <w:fldChar w:fldCharType="end"/>
      </w:r>
      <w:r>
        <w:rPr>
          <w:rFonts w:ascii="Times New Roman" w:hAnsi="Times New Roman" w:cs="Times New Roman"/>
          <w:sz w:val="21"/>
          <w:szCs w:val="21"/>
        </w:rPr>
        <w:t xml:space="preserve">                  （4.4.55-3）</w:t>
      </w:r>
    </w:p>
    <w:p w14:paraId="2DFF4C44">
      <w:pPr>
        <w:adjustRightInd w:val="0"/>
        <w:snapToGrid w:val="0"/>
        <w:spacing w:line="360" w:lineRule="auto"/>
        <w:ind w:right="420"/>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b/>
          <w:position w:val="-6"/>
          <w:sz w:val="21"/>
          <w:szCs w:val="21"/>
        </w:rPr>
        <w:object>
          <v:shape id="_x0000_i1055" o:spt="75" type="#_x0000_t75" style="height:11.4pt;width:11.4pt;" o:ole="t" filled="f" o:preferrelative="t" stroked="f" coordsize="21600,21600">
            <v:path/>
            <v:fill on="f" focussize="0,0"/>
            <v:stroke on="f" joinstyle="miter"/>
            <v:imagedata r:id="rId76" o:title=""/>
            <o:lock v:ext="edit" aspectratio="t"/>
            <w10:wrap type="none"/>
            <w10:anchorlock/>
          </v:shape>
          <o:OLEObject Type="Embed" ProgID="Equation.3" ShapeID="_x0000_i1055" DrawAspect="Content" ObjectID="_1468075751" r:id="rId75">
            <o:LockedField>false</o:LockedField>
          </o:OLEObject>
        </w:object>
      </w:r>
      <w:r>
        <w:rPr>
          <w:rFonts w:ascii="Times New Roman" w:hAnsi="Times New Roman" w:cs="Times New Roman"/>
          <w:sz w:val="21"/>
          <w:szCs w:val="21"/>
        </w:rPr>
        <w:t>——放水孔形式相同、面积相等时，一个放水孔过水断面积（m</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1D0887EA">
      <w:pPr>
        <w:adjustRightInd w:val="0"/>
        <w:snapToGrid w:val="0"/>
        <w:spacing w:line="360" w:lineRule="auto"/>
        <w:ind w:firstLine="720" w:firstLineChars="300"/>
        <w:rPr>
          <w:rFonts w:ascii="Times New Roman" w:hAnsi="Times New Roman" w:cs="Times New Roman"/>
          <w:sz w:val="21"/>
          <w:szCs w:val="21"/>
        </w:rPr>
      </w:pPr>
      <w:r>
        <w:rPr>
          <w:rFonts w:ascii="Times New Roman" w:hAnsi="Times New Roman" w:cs="Times New Roman"/>
          <w:i/>
          <w:sz w:val="24"/>
          <w:szCs w:val="24"/>
        </w:rPr>
        <w:t>Q</w:t>
      </w:r>
      <w:r>
        <w:rPr>
          <w:rFonts w:ascii="Times New Roman" w:hAnsi="Times New Roman" w:cs="Times New Roman"/>
          <w:sz w:val="21"/>
          <w:szCs w:val="21"/>
        </w:rPr>
        <w:t>——放水流量（m</w:t>
      </w:r>
      <w:r>
        <w:rPr>
          <w:rFonts w:ascii="Times New Roman" w:hAnsi="Times New Roman" w:cs="Times New Roman"/>
          <w:sz w:val="21"/>
          <w:szCs w:val="21"/>
          <w:vertAlign w:val="superscript"/>
        </w:rPr>
        <w:t>3</w:t>
      </w:r>
      <w:r>
        <w:rPr>
          <w:rFonts w:ascii="Times New Roman" w:hAnsi="Times New Roman" w:cs="Times New Roman"/>
          <w:sz w:val="21"/>
          <w:szCs w:val="21"/>
        </w:rPr>
        <w:t>/s）；</w:t>
      </w:r>
    </w:p>
    <w:p w14:paraId="771EFFA0">
      <w:pPr>
        <w:adjustRightInd w:val="0"/>
        <w:snapToGrid w:val="0"/>
        <w:spacing w:line="360" w:lineRule="auto"/>
        <w:ind w:firstLine="735" w:firstLineChars="350"/>
        <w:rPr>
          <w:rFonts w:ascii="Times New Roman" w:hAnsi="Times New Roman" w:cs="Times New Roman"/>
          <w:sz w:val="21"/>
          <w:szCs w:val="21"/>
        </w:rPr>
      </w:pPr>
      <w:r>
        <w:rPr>
          <w:rFonts w:ascii="Times New Roman" w:hAnsi="Times New Roman" w:cs="Times New Roman"/>
          <w:i/>
          <w:sz w:val="21"/>
          <w:szCs w:val="21"/>
        </w:rPr>
        <w:t>n</w:t>
      </w:r>
      <w:r>
        <w:rPr>
          <w:rFonts w:ascii="Times New Roman" w:hAnsi="Times New Roman" w:cs="Times New Roman"/>
          <w:sz w:val="21"/>
          <w:szCs w:val="21"/>
        </w:rPr>
        <w:t>——放水孔数（个）；</w:t>
      </w:r>
    </w:p>
    <w:p w14:paraId="6F667EFC">
      <w:pPr>
        <w:adjustRightInd w:val="0"/>
        <w:snapToGrid w:val="0"/>
        <w:spacing w:line="360" w:lineRule="auto"/>
        <w:ind w:firstLine="841" w:firstLineChars="349"/>
        <w:rPr>
          <w:rFonts w:ascii="Times New Roman" w:hAnsi="Times New Roman" w:cs="Times New Roman"/>
          <w:sz w:val="21"/>
          <w:szCs w:val="21"/>
        </w:rPr>
      </w:pPr>
      <w:r>
        <w:rPr>
          <w:rFonts w:ascii="Times New Roman" w:hAnsi="Times New Roman" w:cs="Times New Roman"/>
          <w:b/>
          <w:sz w:val="24"/>
          <w:szCs w:val="24"/>
        </w:rPr>
        <w:drawing>
          <wp:anchor distT="0" distB="0" distL="114300" distR="114300" simplePos="0" relativeHeight="251669504" behindDoc="0" locked="0" layoutInCell="1" allowOverlap="1">
            <wp:simplePos x="0" y="0"/>
            <wp:positionH relativeFrom="column">
              <wp:posOffset>407035</wp:posOffset>
            </wp:positionH>
            <wp:positionV relativeFrom="paragraph">
              <wp:posOffset>635</wp:posOffset>
            </wp:positionV>
            <wp:extent cx="155575" cy="163830"/>
            <wp:effectExtent l="0" t="0" r="12065" b="3175"/>
            <wp:wrapNone/>
            <wp:docPr id="1407608345" name="Object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608345" name="Object 1419"/>
                    <pic:cNvPicPr>
                      <a:picLocks noChangeAspect="1"/>
                    </pic:cNvPicPr>
                  </pic:nvPicPr>
                  <pic:blipFill>
                    <a:blip r:embed="rId77"/>
                    <a:stretch>
                      <a:fillRect/>
                    </a:stretch>
                  </pic:blipFill>
                  <pic:spPr>
                    <a:xfrm>
                      <a:off x="0" y="0"/>
                      <a:ext cx="155575" cy="163830"/>
                    </a:xfrm>
                    <a:prstGeom prst="rect">
                      <a:avLst/>
                    </a:prstGeom>
                    <a:noFill/>
                    <a:ln>
                      <a:noFill/>
                    </a:ln>
                  </pic:spPr>
                </pic:pic>
              </a:graphicData>
            </a:graphic>
          </wp:anchor>
        </w:drawing>
      </w:r>
      <w:r>
        <w:rPr>
          <w:rFonts w:ascii="Times New Roman" w:hAnsi="Times New Roman" w:cs="Times New Roman"/>
          <w:sz w:val="21"/>
          <w:szCs w:val="21"/>
        </w:rPr>
        <w:t>——流量系数，取0.65；</w:t>
      </w:r>
    </w:p>
    <w:p w14:paraId="09596181">
      <w:pPr>
        <w:adjustRightInd w:val="0"/>
        <w:snapToGrid w:val="0"/>
        <w:spacing w:line="360" w:lineRule="auto"/>
        <w:ind w:firstLine="585" w:firstLineChars="243"/>
        <w:rPr>
          <w:rFonts w:ascii="Times New Roman" w:hAnsi="Times New Roman" w:cs="Times New Roman"/>
          <w:sz w:val="21"/>
          <w:szCs w:val="21"/>
        </w:rPr>
      </w:pPr>
      <w:r>
        <w:rPr>
          <w:rFonts w:ascii="Times New Roman" w:hAnsi="Times New Roman" w:cs="Times New Roman"/>
          <w:b/>
          <w:position w:val="-10"/>
          <w:sz w:val="24"/>
          <w:szCs w:val="24"/>
        </w:rPr>
        <w:object>
          <v:shape id="_x0000_i1056" o:spt="75" type="#_x0000_t75" style="height:16.8pt;width:15.6pt;" o:ole="t" filled="f" o:preferrelative="t" stroked="f" coordsize="21600,21600">
            <v:path/>
            <v:fill on="f" focussize="0,0"/>
            <v:stroke on="f" joinstyle="miter"/>
            <v:imagedata r:id="rId79" o:title=""/>
            <o:lock v:ext="edit" aspectratio="t"/>
            <w10:wrap type="none"/>
            <w10:anchorlock/>
          </v:shape>
          <o:OLEObject Type="Embed" ProgID="Equation.3" ShapeID="_x0000_i1056" DrawAspect="Content" ObjectID="_1468075752" r:id="rId78">
            <o:LockedField>false</o:LockedField>
          </o:OLEObject>
        </w:object>
      </w:r>
      <w:r>
        <w:rPr>
          <w:rFonts w:ascii="Times New Roman" w:hAnsi="Times New Roman" w:cs="Times New Roman"/>
          <w:sz w:val="21"/>
          <w:szCs w:val="21"/>
        </w:rPr>
        <w:t>——水面至孔口中线的距离（m）；</w:t>
      </w:r>
    </w:p>
    <w:p w14:paraId="64257948">
      <w:pPr>
        <w:adjustRightInd w:val="0"/>
        <w:snapToGrid w:val="0"/>
        <w:spacing w:line="360" w:lineRule="auto"/>
        <w:ind w:firstLine="600" w:firstLineChars="249"/>
        <w:rPr>
          <w:rFonts w:ascii="Times New Roman" w:hAnsi="Times New Roman" w:cs="Times New Roman"/>
          <w:sz w:val="21"/>
          <w:szCs w:val="21"/>
        </w:rPr>
      </w:pPr>
      <w:r>
        <w:rPr>
          <w:rFonts w:ascii="Times New Roman" w:hAnsi="Times New Roman" w:cs="Times New Roman"/>
          <w:b/>
          <w:position w:val="-10"/>
          <w:sz w:val="24"/>
          <w:szCs w:val="24"/>
        </w:rPr>
        <w:object>
          <v:shape id="_x0000_i1057" o:spt="75" type="#_x0000_t75" style="height:15.6pt;width:15.6pt;" o:ole="t" filled="f" o:preferrelative="t" stroked="f" coordsize="21600,21600">
            <v:path/>
            <v:fill on="f" focussize="0,0"/>
            <v:stroke on="f" joinstyle="miter"/>
            <v:imagedata r:id="rId81" o:title=""/>
            <o:lock v:ext="edit" aspectratio="t"/>
            <w10:wrap type="none"/>
            <w10:anchorlock/>
          </v:shape>
          <o:OLEObject Type="Embed" ProgID="Equation.3" ShapeID="_x0000_i1057" DrawAspect="Content" ObjectID="_1468075753" r:id="rId80">
            <o:LockedField>false</o:LockedField>
          </o:OLEObject>
        </w:object>
      </w:r>
      <w:r>
        <w:rPr>
          <w:rFonts w:ascii="Times New Roman" w:hAnsi="Times New Roman" w:cs="Times New Roman"/>
          <w:sz w:val="21"/>
          <w:szCs w:val="21"/>
        </w:rPr>
        <w:t>——水面至第二层孔口中线的距离（m）；</w:t>
      </w:r>
    </w:p>
    <w:p w14:paraId="1B6226EA">
      <w:pPr>
        <w:adjustRightInd w:val="0"/>
        <w:snapToGrid w:val="0"/>
        <w:spacing w:line="360" w:lineRule="auto"/>
        <w:ind w:right="720" w:firstLine="590" w:firstLineChars="245"/>
        <w:rPr>
          <w:rFonts w:ascii="Times New Roman" w:hAnsi="Times New Roman" w:cs="Times New Roman"/>
          <w:sz w:val="21"/>
          <w:szCs w:val="21"/>
        </w:rPr>
      </w:pPr>
      <w:r>
        <w:rPr>
          <w:rFonts w:ascii="Times New Roman" w:hAnsi="Times New Roman" w:cs="Times New Roman"/>
          <w:b/>
          <w:position w:val="-12"/>
          <w:sz w:val="24"/>
          <w:szCs w:val="24"/>
        </w:rPr>
        <w:object>
          <v:shape id="_x0000_i1058" o:spt="75" type="#_x0000_t75" style="height:15.6pt;width:15.6pt;" o:ole="t" filled="f" o:preferrelative="t" stroked="f" coordsize="21600,21600">
            <v:path/>
            <v:fill on="f" focussize="0,0"/>
            <v:stroke on="f" joinstyle="miter"/>
            <v:imagedata r:id="rId83" o:title=""/>
            <o:lock v:ext="edit" aspectratio="t"/>
            <w10:wrap type="none"/>
            <w10:anchorlock/>
          </v:shape>
          <o:OLEObject Type="Embed" ProgID="Equation.3" ShapeID="_x0000_i1058" DrawAspect="Content" ObjectID="_1468075754" r:id="rId82">
            <o:LockedField>false</o:LockedField>
          </o:OLEObject>
        </w:object>
      </w:r>
      <w:r>
        <w:rPr>
          <w:rFonts w:ascii="Times New Roman" w:hAnsi="Times New Roman" w:cs="Times New Roman"/>
          <w:sz w:val="21"/>
          <w:szCs w:val="21"/>
        </w:rPr>
        <w:t>——水面至第三层孔口中线的距离（m）。</w:t>
      </w:r>
    </w:p>
    <w:p w14:paraId="5A4FCE9A">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Ⅵ 地基及岸坡处理</w:t>
      </w:r>
    </w:p>
    <w:p w14:paraId="4DC24F86">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56</w:t>
      </w:r>
      <w:r>
        <w:rPr>
          <w:rFonts w:ascii="Times New Roman" w:hAnsi="Times New Roman" w:cs="Times New Roman"/>
          <w:sz w:val="21"/>
          <w:szCs w:val="24"/>
        </w:rPr>
        <w:t xml:space="preserve">  坝体填筑前应对地基及岸坡进行处理，</w:t>
      </w:r>
      <w:r>
        <w:rPr>
          <w:rFonts w:ascii="Times New Roman" w:hAnsi="Times New Roman" w:cs="Times New Roman"/>
          <w:sz w:val="21"/>
          <w:szCs w:val="21"/>
        </w:rPr>
        <w:t>拆除各种建筑物，清除草皮、树根、腐植土等，清理并回填夯实水井、洞穴、坟墓等。</w:t>
      </w:r>
    </w:p>
    <w:p w14:paraId="08E466BA">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57</w:t>
      </w:r>
      <w:r>
        <w:rPr>
          <w:rFonts w:ascii="Times New Roman" w:hAnsi="Times New Roman" w:cs="Times New Roman"/>
          <w:sz w:val="21"/>
          <w:szCs w:val="24"/>
        </w:rPr>
        <w:t xml:space="preserve">  </w:t>
      </w:r>
      <w:r>
        <w:rPr>
          <w:rFonts w:ascii="Times New Roman" w:hAnsi="Times New Roman" w:cs="Times New Roman"/>
          <w:sz w:val="21"/>
          <w:szCs w:val="21"/>
        </w:rPr>
        <w:t>透水坝基应采用截渗或排渗措施进行处理，满足渗透稳定和允许渗流量要求。</w:t>
      </w:r>
    </w:p>
    <w:p w14:paraId="51682D2E">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58</w:t>
      </w:r>
      <w:r>
        <w:rPr>
          <w:rFonts w:ascii="Times New Roman" w:hAnsi="Times New Roman" w:cs="Times New Roman"/>
          <w:sz w:val="21"/>
          <w:szCs w:val="24"/>
        </w:rPr>
        <w:t xml:space="preserve">  </w:t>
      </w:r>
      <w:r>
        <w:rPr>
          <w:rFonts w:ascii="Times New Roman" w:hAnsi="Times New Roman" w:cs="Times New Roman"/>
          <w:sz w:val="21"/>
          <w:szCs w:val="21"/>
        </w:rPr>
        <w:t>土质岸坡削坡不应陡于1:1.0；岩石岸坡削坡不应陡于1:0.5。</w:t>
      </w:r>
    </w:p>
    <w:p w14:paraId="2E1564AC">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59</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1"/>
        </w:rPr>
        <w:t>坝基、岸坡应设结合槽，底宽不应小于1.0m，深度不应小于1.0m，边坡可取1:1.0；坝高在20m以下的可设1道结合槽；坝高在20m～30m的宜设2道结合槽。岩石基础应设置结合齿墙，齿墙尺寸和条数应符合有关设计要求。</w:t>
      </w:r>
    </w:p>
    <w:p w14:paraId="0414B5F0">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60</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1"/>
        </w:rPr>
        <w:t>湿陷性较强、厚度较大的黄土地基或台地，应采用预浸水法等处理。</w:t>
      </w:r>
    </w:p>
    <w:p w14:paraId="4A0D3A6F">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1"/>
        </w:rPr>
        <w:t>淤土坝基，应选用下列办法处理：截断上游来水，使淤土自然固结；开挖导渗沟，促使淤土排水固结；淤土强度较低时，可采用填干土（或抛石）挤淤修筑阻滑体，或修筑人工盖重。</w:t>
      </w:r>
    </w:p>
    <w:p w14:paraId="0601BDE2">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1"/>
        </w:rPr>
        <w:t>岩石地基应先清除表层覆盖物，再打眼放小炮开挖；接近设计高程0.5m时，应改用人工开凿；断层破碎带应采用深挖充填置换方法处理。</w:t>
      </w:r>
    </w:p>
    <w:p w14:paraId="6B7BBC62">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63</w:t>
      </w:r>
      <w:r>
        <w:rPr>
          <w:rFonts w:ascii="Times New Roman" w:hAnsi="Times New Roman" w:cs="Times New Roman"/>
          <w:b/>
          <w:sz w:val="21"/>
          <w:szCs w:val="24"/>
        </w:rPr>
        <w:t xml:space="preserve">  </w:t>
      </w:r>
      <w:r>
        <w:rPr>
          <w:rFonts w:ascii="Times New Roman" w:hAnsi="Times New Roman" w:cs="Times New Roman"/>
          <w:sz w:val="21"/>
          <w:szCs w:val="21"/>
        </w:rPr>
        <w:t>坝基泉眼和裂隙渗水，应采用箱堵塞法和水玻璃（硅酸钠）掺水泥等方法处理；当泉水和裂隙渗水较大时，应铺设排水管。</w:t>
      </w:r>
    </w:p>
    <w:p w14:paraId="11BC4F3A">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Ⅶ 施工组织</w:t>
      </w:r>
    </w:p>
    <w:p w14:paraId="78A50DDC">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64</w:t>
      </w:r>
      <w:r>
        <w:rPr>
          <w:rFonts w:ascii="Times New Roman" w:hAnsi="Times New Roman" w:cs="Times New Roman"/>
          <w:b/>
          <w:sz w:val="21"/>
          <w:szCs w:val="21"/>
        </w:rPr>
        <w:t xml:space="preserve"> </w:t>
      </w:r>
      <w:r>
        <w:rPr>
          <w:rFonts w:ascii="Times New Roman" w:hAnsi="Times New Roman" w:cs="Times New Roman"/>
          <w:sz w:val="21"/>
          <w:szCs w:val="21"/>
        </w:rPr>
        <w:t xml:space="preserve"> 施工导流建筑物度汛洪水重现期宜选取5a。</w:t>
      </w:r>
    </w:p>
    <w:p w14:paraId="21D55937">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 xml:space="preserve">65 </w:t>
      </w:r>
      <w:r>
        <w:rPr>
          <w:rFonts w:ascii="Times New Roman" w:hAnsi="Times New Roman" w:cs="Times New Roman"/>
          <w:b/>
          <w:sz w:val="21"/>
          <w:szCs w:val="21"/>
        </w:rPr>
        <w:t xml:space="preserve"> </w:t>
      </w:r>
      <w:r>
        <w:rPr>
          <w:rFonts w:ascii="Times New Roman" w:hAnsi="Times New Roman" w:cs="Times New Roman"/>
          <w:sz w:val="21"/>
          <w:szCs w:val="21"/>
        </w:rPr>
        <w:t>施工期坝体防洪度汛标准应达到10a～20a一遇洪水重现期。</w:t>
      </w:r>
    </w:p>
    <w:p w14:paraId="7FEC0B1E">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66</w:t>
      </w:r>
      <w:r>
        <w:rPr>
          <w:rFonts w:ascii="Times New Roman" w:hAnsi="Times New Roman" w:cs="Times New Roman"/>
          <w:b/>
          <w:sz w:val="21"/>
          <w:szCs w:val="21"/>
        </w:rPr>
        <w:t xml:space="preserve">  </w:t>
      </w:r>
      <w:r>
        <w:rPr>
          <w:rFonts w:ascii="Times New Roman" w:hAnsi="Times New Roman" w:cs="Times New Roman"/>
          <w:sz w:val="21"/>
          <w:szCs w:val="21"/>
        </w:rPr>
        <w:t>碾压坝坝体填筑土料含水量应按最优含水率-2%~+3%控制。碾压施工应沿坝轴方向铺土，厚度均匀，每层铺土厚度不宜超过0.25m，压迹重叠应达到0.10m～0.15m。若采用大型机械，其铺土厚度应根据土壤性质、含水率、最大干密度、压实遍数、机械吨位等经试验确定，压实后土壤干容重应根据压实度控制。</w:t>
      </w:r>
    </w:p>
    <w:p w14:paraId="221A66B3">
      <w:pPr>
        <w:keepNext/>
        <w:keepLines/>
        <w:spacing w:before="260" w:after="260" w:line="415" w:lineRule="auto"/>
        <w:jc w:val="center"/>
        <w:outlineLvl w:val="1"/>
        <w:rPr>
          <w:rFonts w:ascii="Times New Roman" w:hAnsi="Times New Roman" w:eastAsia="黑体" w:cs="Times New Roman"/>
          <w:bCs/>
          <w:sz w:val="30"/>
          <w:szCs w:val="32"/>
        </w:rPr>
      </w:pPr>
      <w:bookmarkStart w:id="73" w:name="_Toc1618"/>
      <w:bookmarkStart w:id="74" w:name="_Toc19215"/>
      <w:r>
        <w:rPr>
          <w:rFonts w:ascii="Times New Roman" w:hAnsi="Times New Roman" w:eastAsia="黑体" w:cs="Times New Roman"/>
          <w:bCs/>
          <w:sz w:val="30"/>
          <w:szCs w:val="32"/>
        </w:rPr>
        <w:t>4.5 拦沙坝工程</w:t>
      </w:r>
      <w:bookmarkEnd w:id="73"/>
      <w:bookmarkEnd w:id="74"/>
    </w:p>
    <w:p w14:paraId="6E79BAC2">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1 \* ROMAN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I</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一般规定</w:t>
      </w:r>
    </w:p>
    <w:p w14:paraId="75781669">
      <w:pPr>
        <w:spacing w:line="360" w:lineRule="auto"/>
        <w:rPr>
          <w:rFonts w:ascii="Times New Roman" w:hAnsi="Times New Roman" w:eastAsia="黑体" w:cs="Times New Roman"/>
          <w:b/>
          <w:sz w:val="21"/>
          <w:szCs w:val="24"/>
        </w:rPr>
      </w:pPr>
      <w:r>
        <w:rPr>
          <w:rFonts w:ascii="Times New Roman" w:hAnsi="Times New Roman" w:eastAsia="黑体" w:cs="Times New Roman"/>
          <w:b/>
          <w:sz w:val="21"/>
          <w:szCs w:val="24"/>
        </w:rPr>
        <w:t xml:space="preserve">4.5.1  </w:t>
      </w:r>
      <w:r>
        <w:rPr>
          <w:rFonts w:ascii="Times New Roman" w:hAnsi="Times New Roman" w:cs="Times New Roman"/>
          <w:bCs/>
          <w:sz w:val="21"/>
          <w:szCs w:val="24"/>
        </w:rPr>
        <w:t>拦沙坝主要适用于南方崩岗治理，以及土石山区多沙沟道的治理。</w:t>
      </w:r>
    </w:p>
    <w:p w14:paraId="0C45FFF7">
      <w:pPr>
        <w:spacing w:line="360" w:lineRule="auto"/>
        <w:rPr>
          <w:rFonts w:ascii="Times New Roman" w:hAnsi="Times New Roman" w:cs="Times New Roman"/>
          <w:sz w:val="21"/>
          <w:szCs w:val="24"/>
          <w:u w:val="single"/>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 xml:space="preserve">2 </w:t>
      </w:r>
      <w:r>
        <w:rPr>
          <w:rFonts w:ascii="Times New Roman" w:hAnsi="Times New Roman" w:cs="Times New Roman"/>
          <w:sz w:val="21"/>
          <w:szCs w:val="24"/>
        </w:rPr>
        <w:t xml:space="preserve"> 拦沙坝不得兼做塘坝或水库的挡水坝使用。拦沙坝宜由坝体和溢洪道（溢洪口）组成，坝型为土石坝的可根据库容、淤积年限、安全需求设置放水建筑物。</w:t>
      </w:r>
    </w:p>
    <w:p w14:paraId="0EB1909A">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拦沙坝设计应调查沟道来水、来沙情况及其对下游的危害和影响，重点收集下列资料： </w:t>
      </w:r>
    </w:p>
    <w:p w14:paraId="75A907D7">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应调查崩岗、崩塌体，包括崩岗、崩塌体位置和形态、崩岗和崩塌体稳定状况、治理现状、治理经验及可能的崩塌量等资料。</w:t>
      </w:r>
    </w:p>
    <w:p w14:paraId="4B8C2E75">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应调查山洪灾害现状和治理现状，主要包括洪水中的泥沙土石组成和来源资料、沟道堆积物状况以及两岸坡面植被情况。在西南土石山区应根据需要调查石漠化情况。</w:t>
      </w:r>
    </w:p>
    <w:p w14:paraId="24A3F60A">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2 \* ROMAN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II</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工程布置</w:t>
      </w:r>
    </w:p>
    <w:p w14:paraId="7AA6912F">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 xml:space="preserve"> </w:t>
      </w:r>
      <w:r>
        <w:rPr>
          <w:rFonts w:ascii="Times New Roman" w:hAnsi="Times New Roman" w:cs="Times New Roman"/>
          <w:sz w:val="21"/>
          <w:szCs w:val="24"/>
        </w:rPr>
        <w:t xml:space="preserve"> 拦沙坝布置应因害设防，在控制泥沙下泄、抬高侵蚀基准和稳定边岸坡体坍塌的基础上，应结合后续开发利用。</w:t>
      </w:r>
    </w:p>
    <w:p w14:paraId="771BA366">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sz w:val="21"/>
          <w:szCs w:val="24"/>
        </w:rPr>
        <w:t xml:space="preserve">  沟谷治理中拦沙坝宜与谷坊、塘坝、沟头防护工程、截排水工程、造林种草等其他水土流失综合治理措施相互配合，联合运用。</w:t>
      </w:r>
    </w:p>
    <w:p w14:paraId="6EC2E2E0">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sz w:val="21"/>
          <w:szCs w:val="24"/>
        </w:rPr>
        <w:t xml:space="preserve">  崩岗地区单个较大崩岗治理，</w:t>
      </w:r>
      <w:r>
        <w:rPr>
          <w:rFonts w:ascii="Times New Roman" w:hAnsi="Times New Roman" w:cs="Times New Roman"/>
          <w:sz w:val="21"/>
        </w:rPr>
        <w:t>应按“上截、中削、下堵”的综合防治原则，</w:t>
      </w:r>
      <w:r>
        <w:rPr>
          <w:rFonts w:ascii="Times New Roman" w:hAnsi="Times New Roman" w:cs="Times New Roman"/>
          <w:sz w:val="21"/>
          <w:szCs w:val="24"/>
        </w:rPr>
        <w:t>在下游因地制宜布设拦沙坝。</w:t>
      </w:r>
    </w:p>
    <w:p w14:paraId="10E3DE80">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3 \* ROMAN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III</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坝址坝型选择</w:t>
      </w:r>
    </w:p>
    <w:p w14:paraId="49005856">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7</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坝址选择应遵循坝轴线短、库容大、便于布设排洪泄洪设施的原则。</w:t>
      </w:r>
    </w:p>
    <w:p w14:paraId="03B75356">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8</w:t>
      </w:r>
      <w:r>
        <w:rPr>
          <w:rFonts w:ascii="Times New Roman" w:hAnsi="Times New Roman" w:cs="Times New Roman"/>
          <w:sz w:val="21"/>
          <w:szCs w:val="24"/>
        </w:rPr>
        <w:t xml:space="preserve">  崩岗地区拦沙坝坝址应根据崩岗、崩塌体和沟道发育情况，以及周边地形、地质条件进行选择，包括在单个崩岗、崩塌体崩口处筑坝，或在崩岗、崩塌体群下游沟道筑坝两种型式。</w:t>
      </w:r>
    </w:p>
    <w:p w14:paraId="222908C4">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sz w:val="21"/>
          <w:szCs w:val="24"/>
        </w:rPr>
        <w:t xml:space="preserve">  土石山区拦沙坝坝址应根据沟道堆积物状况、两侧坡面风化崩落情况、滑坡体分布、上游泥沙来量及地形地质条件等选定。</w:t>
      </w:r>
    </w:p>
    <w:p w14:paraId="762EEEE4">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10</w:t>
      </w:r>
      <w:r>
        <w:rPr>
          <w:rFonts w:ascii="Times New Roman" w:hAnsi="Times New Roman" w:cs="Times New Roman"/>
          <w:sz w:val="21"/>
          <w:szCs w:val="24"/>
        </w:rPr>
        <w:t xml:space="preserve">  拦沙坝坝型应根据洪水、泥沙量、崩塌物、地质条件、建筑材料、施工条件等比选确定，应优先采用当地材料坝，并应符合下列规定。</w:t>
      </w:r>
    </w:p>
    <w:p w14:paraId="06AE6FE6">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拦截崩岗泥沙的拦沙坝宜采用均质土坝或土石混合坝，地质条件较好地区可选用重力坝。</w:t>
      </w:r>
    </w:p>
    <w:p w14:paraId="10817E9D">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2</w:t>
      </w:r>
      <w:r>
        <w:rPr>
          <w:rFonts w:ascii="Times New Roman" w:hAnsi="Times New Roman" w:cs="Times New Roman"/>
          <w:sz w:val="21"/>
          <w:szCs w:val="24"/>
        </w:rPr>
        <w:t xml:space="preserve">  石质山区拦沙坝坝型应选择重力坝，土石山区宜选择重力坝，有条件的可采用土石坝。</w:t>
      </w:r>
    </w:p>
    <w:p w14:paraId="01C821C6">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坝轴线宜采用直线。当采用折线型布置时，转折处应设曲线段。</w:t>
      </w:r>
    </w:p>
    <w:p w14:paraId="5EC37142">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12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泄洪建筑物宜采用开敞式无闸溢洪道。重力坝可采用坝顶溢流；土石坝宜选择有利地形布设岸边泄水建筑物。</w:t>
      </w:r>
    </w:p>
    <w:p w14:paraId="2C3F2217">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4 \* ROMAN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IV</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规模确定</w:t>
      </w:r>
    </w:p>
    <w:p w14:paraId="71D2E32F">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sz w:val="21"/>
          <w:szCs w:val="24"/>
        </w:rPr>
        <w:t xml:space="preserve">  拦沙坝总库容应由拦沙库容和滞洪库容两部分组成。</w:t>
      </w:r>
    </w:p>
    <w:p w14:paraId="75FC98CE">
      <w:pPr>
        <w:spacing w:line="360" w:lineRule="auto"/>
        <w:rPr>
          <w:rFonts w:ascii="Times New Roman" w:hAnsi="Times New Roman" w:cs="Times New Roman"/>
          <w:sz w:val="21"/>
          <w:szCs w:val="24"/>
        </w:rPr>
      </w:pPr>
      <w:r>
        <w:rPr>
          <w:rFonts w:ascii="Times New Roman" w:hAnsi="Times New Roman" w:cs="Times New Roman"/>
          <w:b/>
          <w:sz w:val="21"/>
        </w:rPr>
        <w:drawing>
          <wp:anchor distT="0" distB="0" distL="114300" distR="114300" simplePos="0" relativeHeight="251671552" behindDoc="0" locked="0" layoutInCell="1" allowOverlap="1">
            <wp:simplePos x="0" y="0"/>
            <wp:positionH relativeFrom="column">
              <wp:posOffset>1941830</wp:posOffset>
            </wp:positionH>
            <wp:positionV relativeFrom="paragraph">
              <wp:posOffset>270510</wp:posOffset>
            </wp:positionV>
            <wp:extent cx="570865" cy="379730"/>
            <wp:effectExtent l="0" t="0" r="8255" b="1270"/>
            <wp:wrapNone/>
            <wp:docPr id="111"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57"/>
                    <pic:cNvPicPr>
                      <a:picLocks noChangeAspect="1"/>
                    </pic:cNvPicPr>
                  </pic:nvPicPr>
                  <pic:blipFill>
                    <a:blip r:embed="rId84"/>
                    <a:stretch>
                      <a:fillRect/>
                    </a:stretch>
                  </pic:blipFill>
                  <pic:spPr>
                    <a:xfrm>
                      <a:off x="0" y="0"/>
                      <a:ext cx="570865" cy="379730"/>
                    </a:xfrm>
                    <a:prstGeom prst="rect">
                      <a:avLst/>
                    </a:prstGeom>
                    <a:noFill/>
                    <a:ln>
                      <a:noFill/>
                    </a:ln>
                  </pic:spPr>
                </pic:pic>
              </a:graphicData>
            </a:graphic>
          </wp:anchor>
        </w:drawing>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14</w:t>
      </w:r>
      <w:r>
        <w:rPr>
          <w:rFonts w:ascii="Times New Roman" w:hAnsi="Times New Roman" w:cs="Times New Roman"/>
          <w:sz w:val="21"/>
          <w:szCs w:val="24"/>
        </w:rPr>
        <w:t xml:space="preserve">  拦沙库容按下列公式计算：</w:t>
      </w:r>
    </w:p>
    <w:p w14:paraId="5DD2278E">
      <w:pPr>
        <w:pStyle w:val="16"/>
        <w:rPr>
          <w:szCs w:val="24"/>
        </w:rPr>
      </w:pPr>
      <w:r>
        <w:rPr>
          <w:rStyle w:val="17"/>
          <w:rFonts w:hint="eastAsia"/>
          <w:i w:val="0"/>
          <w:iCs/>
        </w:rPr>
        <w:tab/>
      </w:r>
      <w:r>
        <w:rPr>
          <w:rStyle w:val="17"/>
          <w:rFonts w:hint="eastAsia"/>
          <w:i w:val="0"/>
          <w:iCs/>
        </w:rPr>
        <w:tab/>
      </w:r>
      <w:r>
        <w:rPr>
          <w:rStyle w:val="17"/>
          <w:i w:val="0"/>
          <w:iCs/>
        </w:rPr>
        <w:t>（4.5.14）</w:t>
      </w:r>
    </w:p>
    <w:p w14:paraId="61C0BD85">
      <w:pPr>
        <w:snapToGrid w:val="0"/>
        <w:spacing w:line="360" w:lineRule="auto"/>
        <w:rPr>
          <w:rFonts w:ascii="Times New Roman" w:hAnsi="Times New Roman" w:cs="Times New Roman"/>
          <w:sz w:val="21"/>
          <w:szCs w:val="24"/>
        </w:rPr>
      </w:pPr>
      <w:r>
        <w:rPr>
          <w:rFonts w:ascii="Times New Roman" w:hAnsi="Times New Roman" w:cs="Times New Roman"/>
          <w:sz w:val="21"/>
          <w:szCs w:val="24"/>
        </w:rPr>
        <w:t>式中：</w:t>
      </w:r>
      <w:r>
        <w:rPr>
          <w:rFonts w:ascii="Times New Roman" w:hAnsi="Times New Roman" w:cs="Times New Roman"/>
          <w:b/>
          <w:sz w:val="24"/>
          <w:szCs w:val="24"/>
        </w:rPr>
        <w:drawing>
          <wp:inline distT="0" distB="0" distL="114300" distR="114300">
            <wp:extent cx="162560" cy="198755"/>
            <wp:effectExtent l="0" t="0" r="0" b="14605"/>
            <wp:docPr id="112"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83"/>
                    <pic:cNvPicPr>
                      <a:picLocks noChangeAspect="1"/>
                    </pic:cNvPicPr>
                  </pic:nvPicPr>
                  <pic:blipFill>
                    <a:blip r:embed="rId85"/>
                    <a:stretch>
                      <a:fillRect/>
                    </a:stretch>
                  </pic:blipFill>
                  <pic:spPr>
                    <a:xfrm>
                      <a:off x="0" y="0"/>
                      <a:ext cx="162560" cy="198755"/>
                    </a:xfrm>
                    <a:prstGeom prst="rect">
                      <a:avLst/>
                    </a:prstGeom>
                    <a:noFill/>
                    <a:ln>
                      <a:noFill/>
                    </a:ln>
                  </pic:spPr>
                </pic:pic>
              </a:graphicData>
            </a:graphic>
          </wp:inline>
        </w:drawing>
      </w:r>
      <w:r>
        <w:rPr>
          <w:rFonts w:ascii="Times New Roman" w:hAnsi="Times New Roman" w:cs="Times New Roman"/>
          <w:sz w:val="21"/>
          <w:szCs w:val="21"/>
        </w:rPr>
        <w:t>——</w:t>
      </w:r>
      <w:r>
        <w:rPr>
          <w:rFonts w:ascii="Times New Roman" w:hAnsi="Times New Roman" w:cs="Times New Roman"/>
          <w:sz w:val="21"/>
          <w:szCs w:val="24"/>
        </w:rPr>
        <w:t>拦沙库容</w:t>
      </w:r>
      <w:r>
        <w:rPr>
          <w:rFonts w:hint="eastAsia" w:ascii="宋体" w:hAnsi="宋体"/>
          <w:sz w:val="21"/>
          <w:szCs w:val="24"/>
        </w:rPr>
        <w:t>(</w:t>
      </w:r>
      <w:r>
        <w:rPr>
          <w:rFonts w:ascii="Times New Roman" w:hAnsi="Times New Roman" w:cs="Times New Roman"/>
          <w:sz w:val="21"/>
          <w:szCs w:val="24"/>
        </w:rPr>
        <w:t>m</w:t>
      </w:r>
      <w:r>
        <w:rPr>
          <w:rFonts w:ascii="Times New Roman" w:hAnsi="Times New Roman" w:cs="Times New Roman"/>
          <w:sz w:val="21"/>
          <w:szCs w:val="24"/>
          <w:vertAlign w:val="superscript"/>
        </w:rPr>
        <w:t>3</w:t>
      </w:r>
      <w:r>
        <w:rPr>
          <w:rFonts w:hint="eastAsia" w:ascii="宋体" w:hAnsi="宋体"/>
          <w:sz w:val="21"/>
          <w:szCs w:val="24"/>
        </w:rPr>
        <w:t>)</w:t>
      </w:r>
      <w:r>
        <w:rPr>
          <w:rFonts w:ascii="Times New Roman" w:hAnsi="Times New Roman" w:cs="Times New Roman"/>
          <w:sz w:val="21"/>
          <w:szCs w:val="24"/>
        </w:rPr>
        <w:t>；</w:t>
      </w:r>
    </w:p>
    <w:p w14:paraId="23C5FD1D">
      <w:pPr>
        <w:snapToGrid w:val="0"/>
        <w:spacing w:line="360" w:lineRule="auto"/>
        <w:ind w:left="188" w:leftChars="67" w:firstLine="430" w:firstLineChars="205"/>
        <w:rPr>
          <w:rFonts w:ascii="Times New Roman" w:hAnsi="Times New Roman" w:cs="Times New Roman"/>
          <w:sz w:val="21"/>
          <w:szCs w:val="24"/>
        </w:rPr>
      </w:pPr>
      <w:r>
        <w:rPr>
          <w:rFonts w:ascii="Times New Roman" w:hAnsi="Times New Roman" w:cs="Times New Roman"/>
          <w:sz w:val="21"/>
        </w:rPr>
        <w:drawing>
          <wp:anchor distT="0" distB="0" distL="114300" distR="114300" simplePos="0" relativeHeight="251672576" behindDoc="0" locked="0" layoutInCell="1" allowOverlap="1">
            <wp:simplePos x="0" y="0"/>
            <wp:positionH relativeFrom="column">
              <wp:posOffset>384175</wp:posOffset>
            </wp:positionH>
            <wp:positionV relativeFrom="paragraph">
              <wp:posOffset>225425</wp:posOffset>
            </wp:positionV>
            <wp:extent cx="161925" cy="233045"/>
            <wp:effectExtent l="0" t="0" r="0" b="0"/>
            <wp:wrapNone/>
            <wp:docPr id="113"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56"/>
                    <pic:cNvPicPr>
                      <a:picLocks noChangeAspect="1"/>
                    </pic:cNvPicPr>
                  </pic:nvPicPr>
                  <pic:blipFill>
                    <a:blip r:embed="rId86"/>
                    <a:stretch>
                      <a:fillRect/>
                    </a:stretch>
                  </pic:blipFill>
                  <pic:spPr>
                    <a:xfrm>
                      <a:off x="0" y="0"/>
                      <a:ext cx="161925" cy="233045"/>
                    </a:xfrm>
                    <a:prstGeom prst="rect">
                      <a:avLst/>
                    </a:prstGeom>
                    <a:noFill/>
                    <a:ln>
                      <a:noFill/>
                    </a:ln>
                  </pic:spPr>
                </pic:pic>
              </a:graphicData>
            </a:graphic>
          </wp:anchor>
        </w:drawing>
      </w:r>
      <w:r>
        <w:rPr>
          <w:rFonts w:ascii="Times New Roman" w:hAnsi="Times New Roman" w:cs="Times New Roman"/>
          <w:i/>
          <w:sz w:val="21"/>
          <w:szCs w:val="24"/>
        </w:rPr>
        <w:t>N</w:t>
      </w:r>
      <w:r>
        <w:rPr>
          <w:rFonts w:hint="eastAsia" w:ascii="Times New Roman" w:hAnsi="Times New Roman" w:cs="Times New Roman"/>
          <w:i/>
          <w:sz w:val="21"/>
          <w:szCs w:val="24"/>
        </w:rPr>
        <w:t xml:space="preserve"> </w:t>
      </w:r>
      <w:r>
        <w:rPr>
          <w:rFonts w:ascii="Times New Roman" w:hAnsi="Times New Roman" w:cs="Times New Roman"/>
          <w:sz w:val="21"/>
          <w:szCs w:val="21"/>
        </w:rPr>
        <w:t>——设计</w:t>
      </w:r>
      <w:r>
        <w:rPr>
          <w:rFonts w:ascii="Times New Roman" w:hAnsi="Times New Roman" w:cs="Times New Roman"/>
          <w:sz w:val="21"/>
          <w:szCs w:val="24"/>
        </w:rPr>
        <w:t>淤积年限</w:t>
      </w:r>
      <w:r>
        <w:rPr>
          <w:rFonts w:hint="eastAsia" w:ascii="宋体" w:hAnsi="宋体"/>
          <w:sz w:val="21"/>
          <w:szCs w:val="24"/>
        </w:rPr>
        <w:t>(</w:t>
      </w:r>
      <w:r>
        <w:rPr>
          <w:rFonts w:ascii="Times New Roman" w:hAnsi="Times New Roman" w:cs="Times New Roman"/>
          <w:sz w:val="21"/>
          <w:szCs w:val="24"/>
        </w:rPr>
        <w:t>年</w:t>
      </w:r>
      <w:r>
        <w:rPr>
          <w:rFonts w:hint="eastAsia" w:ascii="宋体" w:hAnsi="宋体"/>
          <w:sz w:val="21"/>
          <w:szCs w:val="24"/>
        </w:rPr>
        <w:t>)</w:t>
      </w:r>
      <w:r>
        <w:rPr>
          <w:rFonts w:ascii="Times New Roman" w:hAnsi="Times New Roman" w:cs="Times New Roman"/>
          <w:sz w:val="21"/>
          <w:szCs w:val="24"/>
        </w:rPr>
        <w:t>；</w:t>
      </w:r>
    </w:p>
    <w:p w14:paraId="20C3BE91">
      <w:pPr>
        <w:snapToGrid w:val="0"/>
        <w:spacing w:line="360" w:lineRule="auto"/>
        <w:ind w:firstLine="898" w:firstLineChars="428"/>
        <w:rPr>
          <w:rFonts w:ascii="Times New Roman" w:hAnsi="Times New Roman" w:cs="Times New Roman"/>
          <w:sz w:val="21"/>
          <w:szCs w:val="24"/>
        </w:rPr>
      </w:pPr>
      <w:r>
        <w:rPr>
          <w:rFonts w:ascii="Times New Roman" w:hAnsi="Times New Roman" w:cs="Times New Roman"/>
          <w:sz w:val="21"/>
          <w:szCs w:val="21"/>
        </w:rPr>
        <w:t>——</w:t>
      </w:r>
      <w:r>
        <w:rPr>
          <w:rFonts w:ascii="Times New Roman" w:hAnsi="Times New Roman" w:cs="Times New Roman"/>
          <w:sz w:val="21"/>
          <w:szCs w:val="24"/>
        </w:rPr>
        <w:t>淤积泥沙干容重</w:t>
      </w:r>
      <w:r>
        <w:rPr>
          <w:rFonts w:hint="eastAsia" w:ascii="宋体" w:hAnsi="宋体"/>
          <w:sz w:val="21"/>
          <w:szCs w:val="24"/>
        </w:rPr>
        <w:t>(</w:t>
      </w:r>
      <w:r>
        <w:rPr>
          <w:rFonts w:ascii="Times New Roman" w:hAnsi="Times New Roman" w:cs="Times New Roman"/>
          <w:sz w:val="21"/>
          <w:szCs w:val="24"/>
        </w:rPr>
        <w:t>t/m</w:t>
      </w:r>
      <w:r>
        <w:rPr>
          <w:rFonts w:ascii="Times New Roman" w:hAnsi="Times New Roman" w:cs="Times New Roman"/>
          <w:sz w:val="21"/>
          <w:szCs w:val="24"/>
          <w:vertAlign w:val="superscript"/>
        </w:rPr>
        <w:t>3</w:t>
      </w:r>
      <w:r>
        <w:rPr>
          <w:rFonts w:hint="eastAsia" w:ascii="宋体" w:hAnsi="宋体"/>
          <w:sz w:val="21"/>
          <w:szCs w:val="24"/>
        </w:rPr>
        <w:t>)</w:t>
      </w:r>
      <w:r>
        <w:rPr>
          <w:rFonts w:ascii="Times New Roman" w:hAnsi="Times New Roman" w:cs="Times New Roman"/>
          <w:sz w:val="21"/>
          <w:szCs w:val="24"/>
        </w:rPr>
        <w:t>；</w:t>
      </w:r>
    </w:p>
    <w:p w14:paraId="45DC7093">
      <w:pPr>
        <w:snapToGrid w:val="0"/>
        <w:spacing w:line="360" w:lineRule="auto"/>
        <w:ind w:left="-188" w:leftChars="-67" w:firstLine="207" w:firstLineChars="86"/>
        <w:rPr>
          <w:rFonts w:ascii="Times New Roman" w:hAnsi="Times New Roman" w:cs="Times New Roman"/>
          <w:sz w:val="21"/>
          <w:szCs w:val="24"/>
        </w:rPr>
      </w:pPr>
      <w:r>
        <w:rPr>
          <w:rFonts w:ascii="Times New Roman" w:hAnsi="Times New Roman" w:cs="Times New Roman"/>
          <w:b/>
          <w:sz w:val="24"/>
          <w:szCs w:val="24"/>
        </w:rPr>
        <w:t xml:space="preserve">     </w:t>
      </w:r>
      <w:r>
        <w:rPr>
          <w:rFonts w:ascii="Times New Roman" w:hAnsi="Times New Roman" w:cs="Times New Roman"/>
          <w:sz w:val="24"/>
          <w:szCs w:val="24"/>
        </w:rPr>
        <w:t>W</w:t>
      </w:r>
      <w:r>
        <w:rPr>
          <w:rFonts w:ascii="Times New Roman" w:hAnsi="Times New Roman" w:cs="Times New Roman"/>
          <w:b/>
          <w:sz w:val="24"/>
          <w:szCs w:val="24"/>
        </w:rPr>
        <w:t xml:space="preserve"> </w:t>
      </w:r>
      <w:r>
        <w:rPr>
          <w:rFonts w:ascii="Times New Roman" w:hAnsi="Times New Roman" w:cs="Times New Roman"/>
          <w:sz w:val="21"/>
          <w:szCs w:val="21"/>
        </w:rPr>
        <w:t>——</w:t>
      </w:r>
      <w:r>
        <w:rPr>
          <w:rFonts w:ascii="Times New Roman" w:hAnsi="Times New Roman" w:cs="Times New Roman"/>
          <w:sz w:val="21"/>
          <w:szCs w:val="24"/>
        </w:rPr>
        <w:t>多年平均输沙量，</w:t>
      </w:r>
      <w:r>
        <w:rPr>
          <w:rFonts w:ascii="Times New Roman" w:hAnsi="Times New Roman" w:cs="Times New Roman"/>
          <w:sz w:val="21"/>
          <w:szCs w:val="21"/>
        </w:rPr>
        <w:t>10</w:t>
      </w:r>
      <w:r>
        <w:rPr>
          <w:rFonts w:ascii="Times New Roman" w:hAnsi="Times New Roman" w:cs="Times New Roman"/>
          <w:sz w:val="21"/>
          <w:szCs w:val="21"/>
          <w:vertAlign w:val="superscript"/>
        </w:rPr>
        <w:t>4</w:t>
      </w:r>
      <w:r>
        <w:rPr>
          <w:rFonts w:ascii="Times New Roman" w:hAnsi="Times New Roman" w:cs="Times New Roman"/>
          <w:sz w:val="21"/>
          <w:szCs w:val="24"/>
        </w:rPr>
        <w:t>t/a。</w:t>
      </w:r>
    </w:p>
    <w:p w14:paraId="77BAF864">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15</w:t>
      </w:r>
      <w:r>
        <w:rPr>
          <w:rFonts w:hint="eastAsia" w:ascii="Times New Roman" w:hAnsi="Times New Roman" w:eastAsia="黑体" w:cs="Times New Roman"/>
          <w:b/>
          <w:sz w:val="21"/>
          <w:szCs w:val="24"/>
        </w:rPr>
        <w:t xml:space="preserve">  </w:t>
      </w:r>
      <w:r>
        <w:rPr>
          <w:rFonts w:ascii="Times New Roman" w:hAnsi="Times New Roman" w:cs="Times New Roman"/>
          <w:sz w:val="21"/>
          <w:szCs w:val="24"/>
        </w:rPr>
        <w:t xml:space="preserve">滞洪库容应根据调洪计算确定，拦沙坝工程设计洪峰流量、设计洪水总量应按本标准附录A进行计算，调洪计算应按下列公式计算： </w:t>
      </w:r>
    </w:p>
    <w:p w14:paraId="5EE54FD5">
      <w:pPr>
        <w:wordWrap w:val="0"/>
        <w:snapToGrid w:val="0"/>
        <w:spacing w:line="360" w:lineRule="auto"/>
        <w:ind w:firstLine="426" w:firstLineChars="202"/>
        <w:jc w:val="right"/>
        <w:rPr>
          <w:rFonts w:ascii="Times New Roman" w:hAnsi="Times New Roman" w:cs="Times New Roman"/>
          <w:sz w:val="21"/>
          <w:szCs w:val="21"/>
        </w:rPr>
      </w:pPr>
      <w:r>
        <w:rPr>
          <w:rFonts w:ascii="Times New Roman" w:hAnsi="Times New Roman" w:cs="Times New Roman"/>
          <w:b/>
          <w:sz w:val="21"/>
          <w:szCs w:val="21"/>
        </w:rPr>
        <w:drawing>
          <wp:anchor distT="0" distB="0" distL="114300" distR="114300" simplePos="0" relativeHeight="251670528" behindDoc="0" locked="0" layoutInCell="1" allowOverlap="1">
            <wp:simplePos x="0" y="0"/>
            <wp:positionH relativeFrom="column">
              <wp:posOffset>1265555</wp:posOffset>
            </wp:positionH>
            <wp:positionV relativeFrom="paragraph">
              <wp:posOffset>350520</wp:posOffset>
            </wp:positionV>
            <wp:extent cx="922655" cy="389890"/>
            <wp:effectExtent l="0" t="0" r="0" b="5715"/>
            <wp:wrapNone/>
            <wp:docPr id="114" name="Object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Object 1431"/>
                    <pic:cNvPicPr>
                      <a:picLocks noChangeAspect="1"/>
                    </pic:cNvPicPr>
                  </pic:nvPicPr>
                  <pic:blipFill>
                    <a:blip r:embed="rId87"/>
                    <a:stretch>
                      <a:fillRect/>
                    </a:stretch>
                  </pic:blipFill>
                  <pic:spPr>
                    <a:xfrm>
                      <a:off x="0" y="0"/>
                      <a:ext cx="922655" cy="389890"/>
                    </a:xfrm>
                    <a:prstGeom prst="rect">
                      <a:avLst/>
                    </a:prstGeom>
                    <a:noFill/>
                    <a:ln>
                      <a:noFill/>
                    </a:ln>
                  </pic:spPr>
                </pic:pic>
              </a:graphicData>
            </a:graphic>
          </wp:anchor>
        </w:drawing>
      </w:r>
      <w:r>
        <w:rPr>
          <w:rFonts w:ascii="Times New Roman" w:hAnsi="Times New Roman" w:cs="Times New Roman"/>
          <w:b/>
          <w:position w:val="-24"/>
          <w:sz w:val="21"/>
          <w:szCs w:val="21"/>
        </w:rPr>
        <w:object>
          <v:shape id="_x0000_i1059" o:spt="75" type="#_x0000_t75" style="height:27pt;width:157.2pt;" o:ole="t" filled="f" o:preferrelative="t" stroked="f" coordsize="21600,21600">
            <v:path/>
            <v:fill on="f" focussize="0,0"/>
            <v:stroke on="f" joinstyle="miter"/>
            <v:imagedata r:id="rId89" o:title=""/>
            <o:lock v:ext="edit" aspectratio="t"/>
            <w10:wrap type="none"/>
            <w10:anchorlock/>
          </v:shape>
          <o:OLEObject Type="Embed" ProgID="Equation.3" ShapeID="_x0000_i1059" DrawAspect="Content" ObjectID="_1468075755" r:id="rId88">
            <o:LockedField>false</o:LockedField>
          </o:OLEObject>
        </w:object>
      </w:r>
      <w:r>
        <w:rPr>
          <w:rFonts w:ascii="Times New Roman" w:hAnsi="Times New Roman" w:cs="Times New Roman"/>
          <w:sz w:val="21"/>
          <w:szCs w:val="21"/>
        </w:rPr>
        <w:t xml:space="preserve">                   （4.5.15-1）</w:t>
      </w:r>
    </w:p>
    <w:p w14:paraId="24310EC4">
      <w:pPr>
        <w:wordWrap w:val="0"/>
        <w:snapToGrid w:val="0"/>
        <w:spacing w:line="360" w:lineRule="auto"/>
        <w:ind w:firstLine="424" w:firstLineChars="202"/>
        <w:jc w:val="right"/>
        <w:rPr>
          <w:rFonts w:ascii="Times New Roman" w:hAnsi="Times New Roman" w:cs="Times New Roman"/>
          <w:sz w:val="21"/>
          <w:szCs w:val="21"/>
        </w:rPr>
      </w:pPr>
      <w:r>
        <w:rPr>
          <w:rFonts w:ascii="Times New Roman" w:hAnsi="Times New Roman" w:cs="Times New Roman"/>
          <w:sz w:val="21"/>
          <w:szCs w:val="21"/>
        </w:rPr>
        <w:t xml:space="preserve">                               （4.5.15-2）</w:t>
      </w:r>
    </w:p>
    <w:p w14:paraId="2BD14132">
      <w:pPr>
        <w:snapToGrid w:val="0"/>
        <w:spacing w:line="360" w:lineRule="auto"/>
        <w:ind w:firstLine="424" w:firstLineChars="202"/>
        <w:jc w:val="right"/>
        <w:rPr>
          <w:rFonts w:ascii="Times New Roman" w:hAnsi="Times New Roman" w:cs="Times New Roman"/>
          <w:sz w:val="21"/>
          <w:szCs w:val="21"/>
        </w:rPr>
      </w:pPr>
    </w:p>
    <w:p w14:paraId="4CF06840">
      <w:pPr>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V</w:t>
      </w:r>
      <w:r>
        <w:rPr>
          <w:rFonts w:ascii="Times New Roman" w:hAnsi="Times New Roman" w:cs="Times New Roman"/>
          <w:sz w:val="21"/>
          <w:szCs w:val="21"/>
          <w:vertAlign w:val="subscript"/>
        </w:rPr>
        <w:t>1</w:t>
      </w:r>
      <w:r>
        <w:rPr>
          <w:rFonts w:ascii="Times New Roman" w:hAnsi="Times New Roman" w:cs="Times New Roman"/>
          <w:sz w:val="21"/>
          <w:szCs w:val="21"/>
        </w:rPr>
        <w:t>、</w:t>
      </w:r>
      <w:r>
        <w:rPr>
          <w:rFonts w:ascii="Times New Roman" w:hAnsi="Times New Roman" w:cs="Times New Roman"/>
          <w:i/>
          <w:sz w:val="21"/>
          <w:szCs w:val="21"/>
        </w:rPr>
        <w:t>V</w:t>
      </w:r>
      <w:r>
        <w:rPr>
          <w:rFonts w:ascii="Times New Roman" w:hAnsi="Times New Roman" w:cs="Times New Roman"/>
          <w:sz w:val="21"/>
          <w:szCs w:val="21"/>
          <w:vertAlign w:val="subscript"/>
        </w:rPr>
        <w:t>2</w:t>
      </w:r>
      <w:r>
        <w:rPr>
          <w:rFonts w:ascii="Times New Roman" w:hAnsi="Times New Roman" w:cs="Times New Roman"/>
          <w:sz w:val="21"/>
          <w:szCs w:val="21"/>
        </w:rPr>
        <w:t>——时段初、时段末库容，10</w:t>
      </w:r>
      <w:r>
        <w:rPr>
          <w:rFonts w:ascii="Times New Roman" w:hAnsi="Times New Roman" w:cs="Times New Roman"/>
          <w:sz w:val="21"/>
          <w:szCs w:val="21"/>
          <w:vertAlign w:val="superscript"/>
        </w:rPr>
        <w:t>4</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w:t>
      </w:r>
    </w:p>
    <w:p w14:paraId="530E9134">
      <w:pPr>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Q</w:t>
      </w:r>
      <w:r>
        <w:rPr>
          <w:rFonts w:ascii="Times New Roman" w:hAnsi="Times New Roman" w:cs="Times New Roman"/>
          <w:sz w:val="21"/>
          <w:szCs w:val="21"/>
          <w:vertAlign w:val="subscript"/>
        </w:rPr>
        <w:t>1</w:t>
      </w:r>
      <w:r>
        <w:rPr>
          <w:rFonts w:ascii="Times New Roman" w:hAnsi="Times New Roman" w:cs="Times New Roman"/>
          <w:sz w:val="21"/>
          <w:szCs w:val="21"/>
        </w:rPr>
        <w:t>、</w:t>
      </w:r>
      <w:r>
        <w:rPr>
          <w:rFonts w:ascii="Times New Roman" w:hAnsi="Times New Roman" w:cs="Times New Roman"/>
          <w:i/>
          <w:sz w:val="21"/>
          <w:szCs w:val="21"/>
        </w:rPr>
        <w:t>Q</w:t>
      </w:r>
      <w:r>
        <w:rPr>
          <w:rFonts w:ascii="Times New Roman" w:hAnsi="Times New Roman" w:cs="Times New Roman"/>
          <w:sz w:val="21"/>
          <w:szCs w:val="21"/>
          <w:vertAlign w:val="subscript"/>
        </w:rPr>
        <w:t>2</w:t>
      </w:r>
      <w:r>
        <w:rPr>
          <w:rFonts w:ascii="Times New Roman" w:hAnsi="Times New Roman" w:cs="Times New Roman"/>
          <w:sz w:val="21"/>
          <w:szCs w:val="21"/>
        </w:rPr>
        <w:t>——时段初、时段末入库流量</w:t>
      </w:r>
      <w:r>
        <w:rPr>
          <w:rFonts w:hint="eastAsia" w:ascii="Times New Roman" w:hAnsi="Times New Roman" w:cs="Times New Roman"/>
          <w:sz w:val="21"/>
          <w:szCs w:val="21"/>
        </w:rPr>
        <w:t>（</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/s</w:t>
      </w:r>
      <w:r>
        <w:rPr>
          <w:rFonts w:hint="eastAsia" w:ascii="Times New Roman" w:hAnsi="Times New Roman" w:cs="Times New Roman"/>
          <w:sz w:val="21"/>
          <w:szCs w:val="21"/>
        </w:rPr>
        <w:t>）</w:t>
      </w:r>
      <w:r>
        <w:rPr>
          <w:rFonts w:ascii="Times New Roman" w:hAnsi="Times New Roman" w:cs="Times New Roman"/>
          <w:sz w:val="21"/>
          <w:szCs w:val="21"/>
        </w:rPr>
        <w:t>；</w:t>
      </w:r>
    </w:p>
    <w:p w14:paraId="1ECF2BDA">
      <w:pPr>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q</w:t>
      </w:r>
      <w:r>
        <w:rPr>
          <w:rFonts w:ascii="Times New Roman" w:hAnsi="Times New Roman" w:cs="Times New Roman"/>
          <w:sz w:val="21"/>
          <w:szCs w:val="21"/>
          <w:vertAlign w:val="subscript"/>
        </w:rPr>
        <w:t>1</w:t>
      </w:r>
      <w:r>
        <w:rPr>
          <w:rFonts w:ascii="Times New Roman" w:hAnsi="Times New Roman" w:cs="Times New Roman"/>
          <w:sz w:val="21"/>
          <w:szCs w:val="21"/>
        </w:rPr>
        <w:t>、</w:t>
      </w:r>
      <w:r>
        <w:rPr>
          <w:rFonts w:ascii="Times New Roman" w:hAnsi="Times New Roman" w:cs="Times New Roman"/>
          <w:i/>
          <w:sz w:val="21"/>
          <w:szCs w:val="21"/>
        </w:rPr>
        <w:t>q</w:t>
      </w:r>
      <w:r>
        <w:rPr>
          <w:rFonts w:ascii="Times New Roman" w:hAnsi="Times New Roman" w:cs="Times New Roman"/>
          <w:sz w:val="21"/>
          <w:szCs w:val="21"/>
          <w:vertAlign w:val="subscript"/>
        </w:rPr>
        <w:t xml:space="preserve">2 </w:t>
      </w:r>
      <w:r>
        <w:rPr>
          <w:rFonts w:ascii="Times New Roman" w:hAnsi="Times New Roman" w:cs="Times New Roman"/>
          <w:sz w:val="21"/>
          <w:szCs w:val="21"/>
        </w:rPr>
        <w:t>——时段初、时段末出库流量</w:t>
      </w:r>
      <w:r>
        <w:rPr>
          <w:rFonts w:hint="eastAsia" w:ascii="宋体" w:hAnsi="宋体"/>
          <w:sz w:val="21"/>
          <w:szCs w:val="21"/>
        </w:rPr>
        <w:t>(</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/s</w:t>
      </w:r>
      <w:r>
        <w:rPr>
          <w:rFonts w:hint="eastAsia" w:ascii="宋体" w:hAnsi="宋体"/>
          <w:sz w:val="21"/>
          <w:szCs w:val="21"/>
        </w:rPr>
        <w:t>)</w:t>
      </w:r>
      <w:r>
        <w:rPr>
          <w:rFonts w:ascii="Times New Roman" w:hAnsi="Times New Roman" w:cs="Times New Roman"/>
          <w:sz w:val="21"/>
          <w:szCs w:val="21"/>
        </w:rPr>
        <w:t>；</w:t>
      </w:r>
    </w:p>
    <w:p w14:paraId="7B90CF84">
      <w:pPr>
        <w:spacing w:line="360" w:lineRule="auto"/>
        <w:ind w:firstLine="991" w:firstLineChars="470"/>
        <w:rPr>
          <w:rFonts w:ascii="Times New Roman" w:hAnsi="Times New Roman" w:cs="Times New Roman"/>
          <w:sz w:val="21"/>
          <w:szCs w:val="21"/>
        </w:rPr>
      </w:pPr>
      <w:r>
        <w:rPr>
          <w:rFonts w:ascii="Times New Roman" w:hAnsi="Times New Roman" w:cs="Times New Roman"/>
          <w:b/>
          <w:sz w:val="21"/>
          <w:szCs w:val="21"/>
        </w:rPr>
        <w:object>
          <v:shape id="_x0000_i1060" o:spt="75" type="#_x0000_t75" style="height:12pt;width:13.8pt;" o:ole="t" filled="f" o:preferrelative="t" stroked="f" coordsize="21600,21600">
            <v:path/>
            <v:fill on="f" focussize="0,0"/>
            <v:stroke on="f" joinstyle="miter"/>
            <v:imagedata r:id="rId91" o:title=""/>
            <o:lock v:ext="edit" aspectratio="t"/>
            <w10:wrap type="none"/>
            <w10:anchorlock/>
          </v:shape>
          <o:OLEObject Type="Embed" ProgID="Equation.3" ShapeID="_x0000_i1060" DrawAspect="Content" ObjectID="_1468075756" r:id="rId90">
            <o:LockedField>false</o:LockedField>
          </o:OLEObject>
        </w:object>
      </w:r>
      <w:r>
        <w:rPr>
          <w:rFonts w:ascii="Times New Roman" w:hAnsi="Times New Roman" w:cs="Times New Roman"/>
          <w:sz w:val="21"/>
          <w:szCs w:val="21"/>
        </w:rPr>
        <w:t>——时段长度</w:t>
      </w:r>
      <w:r>
        <w:rPr>
          <w:rFonts w:hint="eastAsia" w:ascii="宋体" w:hAnsi="宋体"/>
          <w:sz w:val="21"/>
          <w:szCs w:val="21"/>
        </w:rPr>
        <w:t>(</w:t>
      </w:r>
      <w:r>
        <w:rPr>
          <w:rFonts w:ascii="Times New Roman" w:hAnsi="Times New Roman" w:cs="Times New Roman"/>
          <w:sz w:val="21"/>
          <w:szCs w:val="21"/>
        </w:rPr>
        <w:t>h</w:t>
      </w:r>
      <w:r>
        <w:rPr>
          <w:rFonts w:hint="eastAsia" w:ascii="宋体" w:hAnsi="宋体"/>
          <w:sz w:val="21"/>
          <w:szCs w:val="21"/>
        </w:rPr>
        <w:t>)</w:t>
      </w:r>
      <w:r>
        <w:rPr>
          <w:rFonts w:ascii="Times New Roman" w:hAnsi="Times New Roman" w:cs="Times New Roman"/>
          <w:sz w:val="21"/>
          <w:szCs w:val="21"/>
        </w:rPr>
        <w:t>；</w:t>
      </w:r>
    </w:p>
    <w:p w14:paraId="32DD0C73">
      <w:pPr>
        <w:spacing w:line="360" w:lineRule="auto"/>
        <w:ind w:firstLine="424" w:firstLineChars="202"/>
        <w:rPr>
          <w:rFonts w:ascii="Times New Roman" w:hAnsi="Times New Roman" w:cs="Times New Roman"/>
          <w:sz w:val="21"/>
          <w:szCs w:val="21"/>
        </w:rPr>
      </w:pPr>
      <w:r>
        <w:rPr>
          <w:rFonts w:ascii="Times New Roman" w:hAnsi="Times New Roman" w:cs="Times New Roman"/>
          <w:sz w:val="21"/>
          <w:szCs w:val="21"/>
        </w:rPr>
        <w:t xml:space="preserve">      </w:t>
      </w:r>
      <w:r>
        <w:rPr>
          <w:rFonts w:ascii="Times New Roman" w:hAnsi="Times New Roman" w:cs="Times New Roman"/>
          <w:i/>
          <w:sz w:val="21"/>
          <w:szCs w:val="21"/>
        </w:rPr>
        <w:t>Q</w:t>
      </w:r>
      <w:r>
        <w:rPr>
          <w:rFonts w:ascii="Times New Roman" w:hAnsi="Times New Roman" w:cs="Times New Roman"/>
          <w:i/>
          <w:sz w:val="21"/>
          <w:szCs w:val="21"/>
          <w:vertAlign w:val="subscript"/>
        </w:rPr>
        <w:t>p</w:t>
      </w:r>
      <w:r>
        <w:rPr>
          <w:rFonts w:ascii="Times New Roman" w:hAnsi="Times New Roman" w:cs="Times New Roman"/>
          <w:sz w:val="21"/>
          <w:szCs w:val="21"/>
        </w:rPr>
        <w:t xml:space="preserve"> ——区间面积频率为</w:t>
      </w:r>
      <w:r>
        <w:rPr>
          <w:rFonts w:ascii="Times New Roman" w:hAnsi="Times New Roman" w:cs="Times New Roman"/>
          <w:i/>
          <w:sz w:val="21"/>
          <w:szCs w:val="21"/>
        </w:rPr>
        <w:t>p</w:t>
      </w:r>
      <w:r>
        <w:rPr>
          <w:rFonts w:ascii="Times New Roman" w:hAnsi="Times New Roman" w:cs="Times New Roman"/>
          <w:sz w:val="21"/>
          <w:szCs w:val="21"/>
        </w:rPr>
        <w:t>的设计洪峰流量</w:t>
      </w:r>
      <w:r>
        <w:rPr>
          <w:rFonts w:hint="eastAsia" w:ascii="宋体" w:hAnsi="宋体"/>
          <w:sz w:val="21"/>
          <w:szCs w:val="21"/>
        </w:rPr>
        <w:t>(</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/s</w:t>
      </w:r>
      <w:r>
        <w:rPr>
          <w:rFonts w:hint="eastAsia" w:ascii="宋体" w:hAnsi="宋体"/>
          <w:sz w:val="21"/>
          <w:szCs w:val="21"/>
        </w:rPr>
        <w:t>)</w:t>
      </w:r>
      <w:r>
        <w:rPr>
          <w:rFonts w:ascii="Times New Roman" w:hAnsi="Times New Roman" w:cs="Times New Roman"/>
          <w:sz w:val="21"/>
          <w:szCs w:val="21"/>
        </w:rPr>
        <w:t>；</w:t>
      </w:r>
    </w:p>
    <w:p w14:paraId="78992DE2">
      <w:pPr>
        <w:spacing w:line="360" w:lineRule="auto"/>
        <w:ind w:firstLine="1050" w:firstLineChars="500"/>
        <w:rPr>
          <w:rFonts w:ascii="Times New Roman" w:hAnsi="Times New Roman" w:cs="Times New Roman"/>
          <w:sz w:val="21"/>
          <w:szCs w:val="21"/>
        </w:rPr>
      </w:pPr>
      <w:r>
        <w:rPr>
          <w:rFonts w:ascii="Times New Roman" w:hAnsi="Times New Roman" w:cs="Times New Roman"/>
          <w:i/>
          <w:sz w:val="21"/>
          <w:szCs w:val="21"/>
        </w:rPr>
        <w:t>q</w:t>
      </w:r>
      <w:r>
        <w:rPr>
          <w:rFonts w:ascii="Times New Roman" w:hAnsi="Times New Roman" w:cs="Times New Roman"/>
          <w:i/>
          <w:sz w:val="21"/>
          <w:szCs w:val="21"/>
          <w:vertAlign w:val="subscript"/>
        </w:rPr>
        <w:t>p</w:t>
      </w:r>
      <w:r>
        <w:rPr>
          <w:rFonts w:ascii="Times New Roman" w:hAnsi="Times New Roman" w:cs="Times New Roman"/>
          <w:sz w:val="21"/>
          <w:szCs w:val="21"/>
        </w:rPr>
        <w:t xml:space="preserve"> ——频率为</w:t>
      </w:r>
      <w:r>
        <w:rPr>
          <w:rFonts w:ascii="Times New Roman" w:hAnsi="Times New Roman" w:cs="Times New Roman"/>
          <w:i/>
          <w:sz w:val="21"/>
          <w:szCs w:val="21"/>
        </w:rPr>
        <w:t>p</w:t>
      </w:r>
      <w:r>
        <w:rPr>
          <w:rFonts w:ascii="Times New Roman" w:hAnsi="Times New Roman" w:cs="Times New Roman"/>
          <w:sz w:val="21"/>
          <w:szCs w:val="21"/>
        </w:rPr>
        <w:t>的洪水时溢洪道最大下泄流量</w:t>
      </w:r>
      <w:r>
        <w:rPr>
          <w:rFonts w:hint="eastAsia" w:ascii="宋体" w:hAnsi="宋体"/>
          <w:sz w:val="21"/>
          <w:szCs w:val="21"/>
        </w:rPr>
        <w:t>(</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/s</w:t>
      </w:r>
      <w:r>
        <w:rPr>
          <w:rFonts w:hint="eastAsia" w:ascii="宋体" w:hAnsi="宋体"/>
          <w:sz w:val="21"/>
          <w:szCs w:val="21"/>
        </w:rPr>
        <w:t>)</w:t>
      </w:r>
      <w:r>
        <w:rPr>
          <w:rFonts w:ascii="Times New Roman" w:hAnsi="Times New Roman" w:cs="Times New Roman"/>
          <w:sz w:val="21"/>
          <w:szCs w:val="21"/>
        </w:rPr>
        <w:t>；</w:t>
      </w:r>
    </w:p>
    <w:p w14:paraId="2CF31ADE">
      <w:pPr>
        <w:spacing w:line="360" w:lineRule="auto"/>
        <w:ind w:firstLine="1050" w:firstLineChars="500"/>
        <w:rPr>
          <w:rFonts w:ascii="Times New Roman" w:hAnsi="Times New Roman" w:cs="Times New Roman"/>
          <w:sz w:val="21"/>
          <w:szCs w:val="21"/>
        </w:rPr>
      </w:pPr>
      <w:r>
        <w:rPr>
          <w:rFonts w:ascii="Times New Roman" w:hAnsi="Times New Roman" w:cs="Times New Roman"/>
          <w:i/>
          <w:sz w:val="21"/>
          <w:szCs w:val="21"/>
        </w:rPr>
        <w:t>V</w:t>
      </w:r>
      <w:r>
        <w:rPr>
          <w:rFonts w:ascii="Times New Roman" w:hAnsi="Times New Roman" w:cs="Times New Roman"/>
          <w:i/>
          <w:sz w:val="21"/>
          <w:szCs w:val="21"/>
          <w:vertAlign w:val="subscript"/>
        </w:rPr>
        <w:t>z</w:t>
      </w:r>
      <w:r>
        <w:rPr>
          <w:rFonts w:ascii="Times New Roman" w:hAnsi="Times New Roman" w:cs="Times New Roman"/>
          <w:i/>
          <w:sz w:val="21"/>
          <w:szCs w:val="21"/>
        </w:rPr>
        <w:t xml:space="preserve"> </w:t>
      </w:r>
      <w:r>
        <w:rPr>
          <w:rFonts w:ascii="Times New Roman" w:hAnsi="Times New Roman" w:cs="Times New Roman"/>
          <w:sz w:val="21"/>
          <w:szCs w:val="21"/>
        </w:rPr>
        <w:t>——滞洪库容，10</w:t>
      </w:r>
      <w:r>
        <w:rPr>
          <w:rFonts w:ascii="Times New Roman" w:hAnsi="Times New Roman" w:cs="Times New Roman"/>
          <w:sz w:val="21"/>
          <w:szCs w:val="21"/>
          <w:vertAlign w:val="superscript"/>
        </w:rPr>
        <w:t>4</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w:t>
      </w:r>
    </w:p>
    <w:p w14:paraId="70FBB92A">
      <w:pPr>
        <w:spacing w:line="360" w:lineRule="auto"/>
        <w:ind w:firstLine="991" w:firstLineChars="472"/>
        <w:rPr>
          <w:rFonts w:ascii="Times New Roman" w:hAnsi="Times New Roman" w:cs="Times New Roman"/>
          <w:sz w:val="21"/>
          <w:szCs w:val="21"/>
        </w:rPr>
      </w:pPr>
      <w:r>
        <w:rPr>
          <w:rFonts w:ascii="Times New Roman" w:hAnsi="Times New Roman" w:cs="Times New Roman"/>
          <w:i/>
          <w:sz w:val="21"/>
          <w:szCs w:val="21"/>
        </w:rPr>
        <w:t>W</w:t>
      </w:r>
      <w:r>
        <w:rPr>
          <w:rFonts w:ascii="Times New Roman" w:hAnsi="Times New Roman" w:cs="Times New Roman"/>
          <w:i/>
          <w:sz w:val="21"/>
          <w:szCs w:val="21"/>
          <w:vertAlign w:val="subscript"/>
        </w:rPr>
        <w:t>p</w:t>
      </w:r>
      <w:r>
        <w:rPr>
          <w:rFonts w:ascii="Times New Roman" w:hAnsi="Times New Roman" w:cs="Times New Roman"/>
          <w:i/>
          <w:sz w:val="21"/>
          <w:szCs w:val="21"/>
        </w:rPr>
        <w:t xml:space="preserve"> </w:t>
      </w:r>
      <w:r>
        <w:rPr>
          <w:rFonts w:ascii="Times New Roman" w:hAnsi="Times New Roman" w:cs="Times New Roman"/>
          <w:sz w:val="21"/>
          <w:szCs w:val="21"/>
        </w:rPr>
        <w:t>——频率为</w:t>
      </w:r>
      <w:r>
        <w:rPr>
          <w:rFonts w:ascii="Times New Roman" w:hAnsi="Times New Roman" w:cs="Times New Roman"/>
          <w:i/>
          <w:sz w:val="21"/>
          <w:szCs w:val="21"/>
        </w:rPr>
        <w:t>p</w:t>
      </w:r>
      <w:r>
        <w:rPr>
          <w:rFonts w:ascii="Times New Roman" w:hAnsi="Times New Roman" w:cs="Times New Roman"/>
          <w:sz w:val="21"/>
          <w:szCs w:val="21"/>
        </w:rPr>
        <w:t>的设计洪水总量，10</w:t>
      </w:r>
      <w:r>
        <w:rPr>
          <w:rFonts w:ascii="Times New Roman" w:hAnsi="Times New Roman" w:cs="Times New Roman"/>
          <w:sz w:val="21"/>
          <w:szCs w:val="21"/>
          <w:vertAlign w:val="superscript"/>
        </w:rPr>
        <w:t>4</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w:t>
      </w:r>
    </w:p>
    <w:p w14:paraId="65E1077C">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16</w:t>
      </w:r>
      <w:r>
        <w:rPr>
          <w:rFonts w:ascii="Times New Roman" w:hAnsi="Times New Roman" w:cs="Times New Roman"/>
          <w:sz w:val="21"/>
          <w:szCs w:val="24"/>
        </w:rPr>
        <w:t xml:space="preserve">  多年平均输沙量计算应符合下列规定：</w:t>
      </w:r>
    </w:p>
    <w:p w14:paraId="47E79357">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多年平均输沙量计算应按本标准附录A规定执行。</w:t>
      </w:r>
    </w:p>
    <w:p w14:paraId="04C32D32">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应分析已有的、正在实施的和计划在近期内完成的各类水土保持措施对多年平均输沙量的影响。</w:t>
      </w:r>
    </w:p>
    <w:p w14:paraId="21A65BC1">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应分析坝址上游崩岗、崩塌体的崩塌量对拦沙坝来沙量的影响。</w:t>
      </w:r>
    </w:p>
    <w:p w14:paraId="7C50FDE9">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5 \* ROMAN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V</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坝体设计</w:t>
      </w:r>
    </w:p>
    <w:p w14:paraId="0D07F28D">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 xml:space="preserve">17 </w:t>
      </w:r>
      <w:r>
        <w:rPr>
          <w:rFonts w:ascii="Times New Roman" w:hAnsi="Times New Roman" w:cs="Times New Roman"/>
          <w:sz w:val="21"/>
          <w:szCs w:val="24"/>
        </w:rPr>
        <w:t xml:space="preserve"> 坝顶高程确定应符合下列规定：</w:t>
      </w:r>
    </w:p>
    <w:p w14:paraId="3F4C026E">
      <w:pPr>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坝顶高程应为校核洪水位加坝顶安全超高，坝顶安全超高值可取0.5m～1.0m。</w:t>
      </w:r>
    </w:p>
    <w:p w14:paraId="07F55D21">
      <w:pPr>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w:t>
      </w:r>
      <w:r>
        <w:rPr>
          <w:rFonts w:ascii="Times New Roman" w:hAnsi="Times New Roman" w:cs="Times New Roman"/>
          <w:sz w:val="21"/>
          <w:szCs w:val="21"/>
        </w:rPr>
        <w:t>坝高</w:t>
      </w:r>
      <w:r>
        <w:rPr>
          <w:rFonts w:ascii="Times New Roman" w:hAnsi="Times New Roman" w:cs="Times New Roman"/>
          <w:i/>
          <w:sz w:val="21"/>
          <w:szCs w:val="21"/>
        </w:rPr>
        <w:t>H</w:t>
      </w:r>
      <w:r>
        <w:rPr>
          <w:rFonts w:ascii="Times New Roman" w:hAnsi="Times New Roman" w:cs="Times New Roman"/>
          <w:sz w:val="21"/>
          <w:szCs w:val="21"/>
        </w:rPr>
        <w:t>应由拦泥坝高</w:t>
      </w:r>
      <w:r>
        <w:rPr>
          <w:rFonts w:ascii="Times New Roman" w:hAnsi="Times New Roman" w:cs="Times New Roman"/>
          <w:i/>
          <w:sz w:val="21"/>
          <w:szCs w:val="21"/>
        </w:rPr>
        <w:t>H</w:t>
      </w:r>
      <w:r>
        <w:rPr>
          <w:rFonts w:ascii="Times New Roman" w:hAnsi="Times New Roman" w:cs="Times New Roman"/>
          <w:i/>
          <w:sz w:val="21"/>
          <w:szCs w:val="21"/>
          <w:vertAlign w:val="subscript"/>
        </w:rPr>
        <w:t>L</w:t>
      </w:r>
      <w:r>
        <w:rPr>
          <w:rFonts w:ascii="Times New Roman" w:hAnsi="Times New Roman" w:cs="Times New Roman"/>
          <w:sz w:val="21"/>
          <w:szCs w:val="21"/>
        </w:rPr>
        <w:t>、滞洪坝高</w:t>
      </w:r>
      <w:r>
        <w:rPr>
          <w:rFonts w:ascii="Times New Roman" w:hAnsi="Times New Roman" w:cs="Times New Roman"/>
          <w:i/>
          <w:sz w:val="21"/>
          <w:szCs w:val="21"/>
        </w:rPr>
        <w:t>H</w:t>
      </w:r>
      <w:r>
        <w:rPr>
          <w:rFonts w:ascii="Times New Roman" w:hAnsi="Times New Roman" w:cs="Times New Roman"/>
          <w:i/>
          <w:sz w:val="21"/>
          <w:szCs w:val="21"/>
          <w:vertAlign w:val="subscript"/>
        </w:rPr>
        <w:t>z</w:t>
      </w:r>
      <w:r>
        <w:rPr>
          <w:rFonts w:ascii="Times New Roman" w:hAnsi="Times New Roman" w:cs="Times New Roman"/>
          <w:sz w:val="21"/>
          <w:szCs w:val="21"/>
        </w:rPr>
        <w:t>和安全超高</w:t>
      </w:r>
      <w:r>
        <w:rPr>
          <w:rFonts w:ascii="Times New Roman" w:hAnsi="Times New Roman" w:cs="Times New Roman"/>
          <w:i/>
          <w:sz w:val="21"/>
          <w:szCs w:val="21"/>
        </w:rPr>
        <w:t>ΔH</w:t>
      </w:r>
      <w:r>
        <w:rPr>
          <w:rFonts w:ascii="Times New Roman" w:hAnsi="Times New Roman" w:cs="Times New Roman"/>
          <w:sz w:val="21"/>
          <w:szCs w:val="21"/>
        </w:rPr>
        <w:t>三部分组成，拦泥高程和校核洪水位应由相应库容查水位库容关系曲线确定。</w:t>
      </w:r>
    </w:p>
    <w:p w14:paraId="2F7E5427">
      <w:pPr>
        <w:spacing w:before="156" w:beforeLines="50" w:line="360" w:lineRule="auto"/>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 xml:space="preserve">18 </w:t>
      </w:r>
      <w:r>
        <w:rPr>
          <w:rFonts w:ascii="Times New Roman" w:hAnsi="Times New Roman" w:cs="Times New Roman"/>
          <w:sz w:val="21"/>
          <w:szCs w:val="24"/>
        </w:rPr>
        <w:t xml:space="preserve"> 碾压土石坝不同坝高的断面尺寸可参照表4.4.20，坝坡坡比应经稳定分析后确定。</w:t>
      </w:r>
    </w:p>
    <w:p w14:paraId="5D60C3C2">
      <w:pPr>
        <w:spacing w:line="360" w:lineRule="auto"/>
        <w:rPr>
          <w:rFonts w:ascii="Times New Roman" w:hAnsi="Times New Roman" w:cs="Times New Roman"/>
          <w:b/>
          <w:sz w:val="24"/>
          <w:szCs w:val="24"/>
        </w:rPr>
      </w:pPr>
      <w:r>
        <w:rPr>
          <w:rFonts w:ascii="Times New Roman" w:hAnsi="Times New Roman" w:cs="Times New Roman"/>
          <w:sz w:val="21"/>
          <w:szCs w:val="24"/>
        </w:rPr>
        <w:t>重力坝不同坝高的断面尺寸应经稳定分析后确定。</w:t>
      </w:r>
    </w:p>
    <w:p w14:paraId="597D397C">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 xml:space="preserve">19 </w:t>
      </w:r>
      <w:r>
        <w:rPr>
          <w:rFonts w:ascii="Times New Roman" w:hAnsi="Times New Roman" w:cs="Times New Roman"/>
          <w:sz w:val="21"/>
          <w:szCs w:val="24"/>
        </w:rPr>
        <w:t xml:space="preserve"> 土石坝筑坝材料选择与填筑应符合下列规定：</w:t>
      </w:r>
    </w:p>
    <w:p w14:paraId="1D6EF2CA">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b/>
          <w:sz w:val="21"/>
          <w:szCs w:val="24"/>
        </w:rPr>
        <w:t xml:space="preserve"> </w:t>
      </w:r>
      <w:r>
        <w:rPr>
          <w:rFonts w:ascii="Times New Roman" w:hAnsi="Times New Roman" w:cs="Times New Roman"/>
          <w:sz w:val="21"/>
          <w:szCs w:val="24"/>
        </w:rPr>
        <w:t xml:space="preserve"> 筑坝材料应就地、就近取材，优先选择崩岗削级、修坡开挖料。</w:t>
      </w:r>
    </w:p>
    <w:p w14:paraId="1244DF12">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防渗土料渗透系数不宜大于1×10</w:t>
      </w:r>
      <w:r>
        <w:rPr>
          <w:rFonts w:ascii="Times New Roman" w:hAnsi="Times New Roman" w:cs="Times New Roman"/>
          <w:sz w:val="21"/>
          <w:szCs w:val="24"/>
          <w:vertAlign w:val="superscript"/>
        </w:rPr>
        <w:t>-4</w:t>
      </w:r>
      <w:r>
        <w:rPr>
          <w:rFonts w:ascii="Times New Roman" w:hAnsi="Times New Roman" w:cs="Times New Roman"/>
          <w:sz w:val="21"/>
          <w:szCs w:val="24"/>
        </w:rPr>
        <w:t>cm/s。</w:t>
      </w:r>
    </w:p>
    <w:p w14:paraId="51CF6827">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坝壳料可利用无粘性土、石料、风化料和砾石土。</w:t>
      </w:r>
    </w:p>
    <w:p w14:paraId="3BCFCB24">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 xml:space="preserve">4 </w:t>
      </w:r>
      <w:r>
        <w:rPr>
          <w:rFonts w:ascii="Times New Roman" w:hAnsi="Times New Roman" w:cs="Times New Roman"/>
          <w:sz w:val="21"/>
          <w:szCs w:val="24"/>
        </w:rPr>
        <w:t xml:space="preserve"> 粘性土的填筑标准应按压实度确定，压实度不应小于0.94，无粘性土填筑标准按相对密度确定，相对密度不得小于0.65。</w:t>
      </w:r>
    </w:p>
    <w:p w14:paraId="17E36786">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 xml:space="preserve">20 </w:t>
      </w:r>
      <w:r>
        <w:rPr>
          <w:rFonts w:ascii="Times New Roman" w:hAnsi="Times New Roman" w:cs="Times New Roman"/>
          <w:sz w:val="21"/>
          <w:szCs w:val="24"/>
        </w:rPr>
        <w:t xml:space="preserve"> 重力坝筑坝材料选择与浇筑应符合下列规定：</w:t>
      </w:r>
    </w:p>
    <w:p w14:paraId="0C2DAC7D">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 xml:space="preserve">1 </w:t>
      </w:r>
      <w:r>
        <w:rPr>
          <w:rFonts w:ascii="Times New Roman" w:hAnsi="Times New Roman" w:cs="Times New Roman"/>
          <w:sz w:val="21"/>
          <w:szCs w:val="24"/>
        </w:rPr>
        <w:t xml:space="preserve"> 浆砌石重力坝所用砌石应新鲜、完整，质地坚硬、不得有剥落层及裂纹。胶凝材料可采用水泥砂浆或者一、二级配混凝土。</w:t>
      </w:r>
    </w:p>
    <w:p w14:paraId="645D5311">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b/>
          <w:sz w:val="21"/>
          <w:szCs w:val="24"/>
        </w:rPr>
        <w:t xml:space="preserve"> </w:t>
      </w:r>
      <w:r>
        <w:rPr>
          <w:rFonts w:ascii="Times New Roman" w:hAnsi="Times New Roman" w:cs="Times New Roman"/>
          <w:sz w:val="21"/>
          <w:szCs w:val="24"/>
        </w:rPr>
        <w:t xml:space="preserve"> 混凝土重力坝混凝土抗压强度等级不应低于C20。</w:t>
      </w:r>
    </w:p>
    <w:p w14:paraId="075FCC46">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21</w:t>
      </w:r>
      <w:r>
        <w:rPr>
          <w:rFonts w:ascii="Times New Roman" w:hAnsi="Times New Roman" w:cs="Times New Roman"/>
          <w:sz w:val="21"/>
          <w:szCs w:val="24"/>
        </w:rPr>
        <w:t xml:space="preserve">  土石坝坝体结构与构造应符合下列规定： </w:t>
      </w:r>
    </w:p>
    <w:p w14:paraId="22D46BEC">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 xml:space="preserve">1 </w:t>
      </w:r>
      <w:r>
        <w:rPr>
          <w:rFonts w:ascii="Times New Roman" w:hAnsi="Times New Roman" w:cs="Times New Roman"/>
          <w:sz w:val="21"/>
          <w:szCs w:val="24"/>
        </w:rPr>
        <w:t xml:space="preserve"> 坝体上下游边坡应经稳定计算确定。</w:t>
      </w:r>
    </w:p>
    <w:p w14:paraId="4D672F5C">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b/>
          <w:sz w:val="21"/>
          <w:szCs w:val="24"/>
        </w:rPr>
        <w:t xml:space="preserve"> </w:t>
      </w:r>
      <w:r>
        <w:rPr>
          <w:rFonts w:ascii="Times New Roman" w:hAnsi="Times New Roman" w:cs="Times New Roman"/>
          <w:sz w:val="21"/>
          <w:szCs w:val="24"/>
        </w:rPr>
        <w:t xml:space="preserve"> 坝顶宽度应根据构造、施工、运行等因素确定。当无特殊要求，坝顶宽度不宜小于3.5m。坝顶盖面材料宜采用密实的砂砾石、碎石或单层砌石等柔性材料。</w:t>
      </w:r>
    </w:p>
    <w:p w14:paraId="6C0B9EB8">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 xml:space="preserve">3 </w:t>
      </w:r>
      <w:r>
        <w:rPr>
          <w:rFonts w:ascii="Times New Roman" w:hAnsi="Times New Roman" w:cs="Times New Roman"/>
          <w:sz w:val="21"/>
          <w:szCs w:val="24"/>
        </w:rPr>
        <w:t xml:space="preserve"> 坝体下游护坡施工完毕后应种植适生草本固坡。</w:t>
      </w:r>
    </w:p>
    <w:p w14:paraId="41F2D9DC">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 xml:space="preserve"> </w:t>
      </w:r>
      <w:r>
        <w:rPr>
          <w:rFonts w:ascii="Times New Roman" w:hAnsi="Times New Roman" w:cs="Times New Roman"/>
          <w:sz w:val="21"/>
          <w:szCs w:val="24"/>
        </w:rPr>
        <w:t xml:space="preserve"> 坝高大于10m时在下游坝坡脚应设反滤排水体，反滤体设计按本标准第4.4.23~第4.4.26条规定执行。</w:t>
      </w:r>
    </w:p>
    <w:p w14:paraId="379C9924">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22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重力坝坝体结构与构造应符合下列规定：</w:t>
      </w:r>
    </w:p>
    <w:p w14:paraId="51E9776E">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重力坝上游坝面可为铅直面、斜面或者折面。下游坝坡应根据稳定及应力计算确定。</w:t>
      </w:r>
    </w:p>
    <w:p w14:paraId="3B744C2B">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浆砌石重力坝坝顶宽度不应小于0.5m，混凝土重力坝坝顶宽度不应小于0.3m。</w:t>
      </w:r>
    </w:p>
    <w:p w14:paraId="7624B31E">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23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土石坝坝基处理应符合下列规定： </w:t>
      </w:r>
    </w:p>
    <w:p w14:paraId="4A7DFD54">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应清除坝基与岸坡上的草皮、树根、腐殖土等，并应将清理后的坝基表面土层压实。</w:t>
      </w:r>
    </w:p>
    <w:p w14:paraId="2B8CDE14">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b/>
          <w:sz w:val="21"/>
          <w:szCs w:val="24"/>
        </w:rPr>
        <w:t xml:space="preserve"> </w:t>
      </w:r>
      <w:r>
        <w:rPr>
          <w:rFonts w:ascii="Times New Roman" w:hAnsi="Times New Roman" w:cs="Times New Roman"/>
          <w:sz w:val="21"/>
          <w:szCs w:val="24"/>
        </w:rPr>
        <w:t xml:space="preserve"> 土质防渗体底部坝基、岸坡应开挖结合槽，并应用粘土回填夯实。</w:t>
      </w:r>
    </w:p>
    <w:p w14:paraId="0F368316">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坝基覆盖层与下游坝壳粗粒料接触处，应符合反滤要求，不符合时应设置反滤层。</w:t>
      </w:r>
    </w:p>
    <w:p w14:paraId="5B4441C7">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24</w:t>
      </w:r>
      <w:r>
        <w:rPr>
          <w:rFonts w:ascii="Times New Roman" w:hAnsi="Times New Roman" w:cs="Times New Roman"/>
          <w:sz w:val="21"/>
          <w:szCs w:val="24"/>
        </w:rPr>
        <w:t xml:space="preserve">  重力坝坝基处理后应符合下列规定：</w:t>
      </w:r>
    </w:p>
    <w:p w14:paraId="3303AB92">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应具有足够的强度。</w:t>
      </w:r>
    </w:p>
    <w:p w14:paraId="2DB68F35">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应具有足够的整体性和均匀性。</w:t>
      </w:r>
    </w:p>
    <w:p w14:paraId="6140B806">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应具有足够的耐久性。</w:t>
      </w:r>
    </w:p>
    <w:p w14:paraId="1FC0FCF1">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25</w:t>
      </w:r>
      <w:r>
        <w:rPr>
          <w:rFonts w:ascii="Times New Roman" w:hAnsi="Times New Roman" w:cs="Times New Roman"/>
          <w:sz w:val="21"/>
          <w:szCs w:val="24"/>
        </w:rPr>
        <w:t xml:space="preserve">  坝的计算与分析应符合下列规定：</w:t>
      </w:r>
    </w:p>
    <w:p w14:paraId="1AF14257">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土石坝坝型拦沙坝应进行渗流及稳定计算。</w:t>
      </w:r>
    </w:p>
    <w:p w14:paraId="2C90468B">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重力坝坝型拦沙坝应进行稳定及应力计算。</w:t>
      </w:r>
    </w:p>
    <w:p w14:paraId="4918545C">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6 \* ROMAN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VI</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溢洪道设计</w:t>
      </w:r>
    </w:p>
    <w:p w14:paraId="4C07C3EB">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26</w:t>
      </w:r>
      <w:r>
        <w:rPr>
          <w:rFonts w:ascii="Times New Roman" w:hAnsi="Times New Roman" w:cs="Times New Roman"/>
          <w:b/>
          <w:sz w:val="21"/>
          <w:szCs w:val="24"/>
        </w:rPr>
        <w:t xml:space="preserve"> </w:t>
      </w:r>
      <w:r>
        <w:rPr>
          <w:rFonts w:ascii="Times New Roman" w:hAnsi="Times New Roman" w:cs="Times New Roman"/>
          <w:sz w:val="21"/>
          <w:szCs w:val="24"/>
        </w:rPr>
        <w:t xml:space="preserve"> 土石坝宜布置岸坡式溢洪道，设计可参照本标准第4.4.</w:t>
      </w:r>
      <w:r>
        <w:rPr>
          <w:rFonts w:ascii="Times New Roman" w:hAnsi="Times New Roman" w:eastAsia="微软雅黑" w:cs="Times New Roman"/>
          <w:sz w:val="21"/>
          <w:szCs w:val="24"/>
        </w:rPr>
        <w:t>32~</w:t>
      </w:r>
      <w:r>
        <w:rPr>
          <w:rFonts w:hint="eastAsia" w:ascii="宋体" w:hAnsi="宋体"/>
          <w:sz w:val="21"/>
          <w:szCs w:val="24"/>
        </w:rPr>
        <w:t>第</w:t>
      </w:r>
      <w:r>
        <w:rPr>
          <w:rFonts w:hint="eastAsia" w:ascii="Times New Roman" w:hAnsi="Times New Roman" w:eastAsia="微软雅黑" w:cs="Times New Roman"/>
          <w:sz w:val="21"/>
          <w:szCs w:val="24"/>
        </w:rPr>
        <w:t>4.4.</w:t>
      </w:r>
      <w:r>
        <w:rPr>
          <w:rFonts w:ascii="Times New Roman" w:hAnsi="Times New Roman" w:eastAsia="微软雅黑" w:cs="Times New Roman"/>
          <w:sz w:val="21"/>
          <w:szCs w:val="24"/>
        </w:rPr>
        <w:t>42</w:t>
      </w:r>
      <w:r>
        <w:rPr>
          <w:rFonts w:ascii="Times New Roman" w:hAnsi="Times New Roman" w:cs="Times New Roman"/>
          <w:sz w:val="21"/>
          <w:szCs w:val="24"/>
        </w:rPr>
        <w:t>条规定执行，坝高5m以下可布置泄槽溢流，泄槽应进行泄槽沉降计算。泄槽分缝应采用半搭接缝、全搭接缝或者键槽缝。缝间应设置止水，宜在泄槽底板上游端设置齿槽。</w:t>
      </w:r>
    </w:p>
    <w:p w14:paraId="38CDBC8D">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27</w:t>
      </w:r>
      <w:r>
        <w:rPr>
          <w:rFonts w:ascii="Times New Roman" w:hAnsi="Times New Roman" w:eastAsia="黑体" w:cs="Times New Roman"/>
          <w:sz w:val="21"/>
          <w:szCs w:val="24"/>
        </w:rPr>
        <w:t xml:space="preserve">  </w:t>
      </w:r>
      <w:r>
        <w:rPr>
          <w:rFonts w:ascii="Times New Roman" w:hAnsi="Times New Roman" w:cs="Times New Roman"/>
          <w:sz w:val="21"/>
          <w:szCs w:val="24"/>
        </w:rPr>
        <w:t>重力坝应在坝体中部设溢洪口。</w:t>
      </w:r>
      <w:r>
        <w:rPr>
          <w:rFonts w:ascii="Times New Roman" w:hAnsi="Times New Roman" w:cs="Times New Roman"/>
          <w:sz w:val="21"/>
          <w:szCs w:val="21"/>
        </w:rPr>
        <w:t>溢洪口梯形断面应经试算确定，矩形宽顶堰应按式4.4.36计算。</w:t>
      </w:r>
    </w:p>
    <w:p w14:paraId="070DE245">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Ⅶ 放水建筑物设计</w:t>
      </w:r>
    </w:p>
    <w:p w14:paraId="023E1A33">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28</w:t>
      </w:r>
      <w:r>
        <w:rPr>
          <w:rFonts w:ascii="Times New Roman" w:hAnsi="Times New Roman" w:cs="Times New Roman"/>
          <w:sz w:val="21"/>
          <w:szCs w:val="24"/>
        </w:rPr>
        <w:t xml:space="preserve">  土石坝放水建筑物由卧管和涵管或竖井和涵管组成。</w:t>
      </w:r>
    </w:p>
    <w:p w14:paraId="2CCFEEB8">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29</w:t>
      </w:r>
      <w:r>
        <w:rPr>
          <w:rFonts w:ascii="Times New Roman" w:hAnsi="Times New Roman" w:cs="Times New Roman"/>
          <w:sz w:val="21"/>
          <w:szCs w:val="24"/>
        </w:rPr>
        <w:t xml:space="preserve">  卧管和涵管或竖井和涵管的设计可参照本标准第4.</w:t>
      </w:r>
      <w:r>
        <w:rPr>
          <w:rFonts w:hint="eastAsia" w:ascii="Times New Roman" w:hAnsi="Times New Roman" w:cs="Times New Roman"/>
          <w:sz w:val="21"/>
          <w:szCs w:val="24"/>
        </w:rPr>
        <w:t>4</w:t>
      </w:r>
      <w:r>
        <w:rPr>
          <w:rFonts w:ascii="Times New Roman" w:hAnsi="Times New Roman" w:cs="Times New Roman"/>
          <w:sz w:val="21"/>
          <w:szCs w:val="24"/>
        </w:rPr>
        <w:t>.43~</w:t>
      </w:r>
      <w:r>
        <w:rPr>
          <w:rFonts w:hint="eastAsia" w:ascii="宋体" w:hAnsi="宋体"/>
          <w:sz w:val="21"/>
          <w:szCs w:val="24"/>
        </w:rPr>
        <w:t>第</w:t>
      </w:r>
      <w:r>
        <w:rPr>
          <w:rFonts w:hint="eastAsia" w:ascii="Times New Roman" w:hAnsi="Times New Roman" w:eastAsia="微软雅黑" w:cs="Times New Roman"/>
          <w:sz w:val="21"/>
          <w:szCs w:val="24"/>
        </w:rPr>
        <w:t>4.4.</w:t>
      </w:r>
      <w:r>
        <w:rPr>
          <w:rFonts w:ascii="Times New Roman" w:hAnsi="Times New Roman" w:cs="Times New Roman"/>
          <w:sz w:val="21"/>
          <w:szCs w:val="24"/>
        </w:rPr>
        <w:t>55条规定执行。</w:t>
      </w:r>
    </w:p>
    <w:p w14:paraId="68E3F77A">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Ⅷ 施工组织</w:t>
      </w:r>
    </w:p>
    <w:p w14:paraId="1497F73B">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30</w:t>
      </w:r>
      <w:r>
        <w:rPr>
          <w:rFonts w:ascii="Times New Roman" w:hAnsi="Times New Roman" w:cs="Times New Roman"/>
          <w:sz w:val="21"/>
          <w:szCs w:val="24"/>
        </w:rPr>
        <w:t xml:space="preserve">  拦沙坝宜在非汛期施工。当需跨汛期施工时，导流建筑物度汛洪水重现期应取1a～3a，条件允许时优先采用垭口、小冲沟、</w:t>
      </w:r>
      <w:r>
        <w:rPr>
          <w:rFonts w:ascii="Times New Roman" w:hAnsi="Times New Roman" w:cs="Times New Roman"/>
          <w:sz w:val="21"/>
        </w:rPr>
        <w:t>现有灌渠</w:t>
      </w:r>
      <w:r>
        <w:rPr>
          <w:rFonts w:ascii="Times New Roman" w:hAnsi="Times New Roman" w:cs="Times New Roman"/>
          <w:sz w:val="21"/>
          <w:szCs w:val="24"/>
        </w:rPr>
        <w:t>进行导流。</w:t>
      </w:r>
    </w:p>
    <w:p w14:paraId="3A679C88">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31</w:t>
      </w:r>
      <w:r>
        <w:rPr>
          <w:rFonts w:ascii="Times New Roman" w:hAnsi="Times New Roman" w:cs="Times New Roman"/>
          <w:sz w:val="21"/>
          <w:szCs w:val="24"/>
        </w:rPr>
        <w:t xml:space="preserve">  施工布置宜利用现有道路及已有场地。</w:t>
      </w:r>
    </w:p>
    <w:p w14:paraId="35B15867">
      <w:pPr>
        <w:keepNext/>
        <w:keepLines/>
        <w:spacing w:before="260" w:after="260" w:line="415" w:lineRule="auto"/>
        <w:jc w:val="center"/>
        <w:outlineLvl w:val="1"/>
        <w:rPr>
          <w:rFonts w:ascii="Times New Roman" w:hAnsi="Times New Roman" w:eastAsia="黑体" w:cs="Times New Roman"/>
          <w:bCs/>
          <w:sz w:val="30"/>
          <w:szCs w:val="32"/>
        </w:rPr>
      </w:pPr>
      <w:bookmarkStart w:id="75" w:name="_Toc1466"/>
      <w:bookmarkStart w:id="76" w:name="_Toc16931"/>
      <w:r>
        <w:rPr>
          <w:rFonts w:ascii="Times New Roman" w:hAnsi="Times New Roman" w:eastAsia="黑体" w:cs="Times New Roman"/>
          <w:bCs/>
          <w:sz w:val="30"/>
          <w:szCs w:val="32"/>
        </w:rPr>
        <w:t>4.6 塘坝和滚水坝</w:t>
      </w:r>
      <w:bookmarkEnd w:id="75"/>
      <w:bookmarkEnd w:id="76"/>
    </w:p>
    <w:p w14:paraId="497AE3EC">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Ⅰ 一般规定</w:t>
      </w:r>
    </w:p>
    <w:p w14:paraId="6112CDFD">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sz w:val="21"/>
          <w:szCs w:val="24"/>
        </w:rPr>
        <w:t xml:space="preserve">  塘坝应根据洪水调节计算确定工程规模。滚水坝应根据其作用、地质、水文等因素确定规模，也可结合</w:t>
      </w:r>
      <w:r>
        <w:rPr>
          <w:rFonts w:ascii="Times New Roman" w:hAnsi="Times New Roman" w:cs="Times New Roman"/>
          <w:sz w:val="21"/>
          <w:szCs w:val="21"/>
        </w:rPr>
        <w:t>生产生活</w:t>
      </w:r>
      <w:r>
        <w:rPr>
          <w:rFonts w:ascii="Times New Roman" w:hAnsi="Times New Roman" w:cs="Times New Roman"/>
          <w:sz w:val="21"/>
          <w:szCs w:val="24"/>
        </w:rPr>
        <w:t>需求确定。有灌溉任务的滚水坝坝顶高程确定应满足灌溉需求。</w:t>
      </w:r>
    </w:p>
    <w:p w14:paraId="7BB73759">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sz w:val="21"/>
          <w:szCs w:val="24"/>
        </w:rPr>
        <w:t xml:space="preserve">  塘坝和滚水坝设计应收集下列基本资料：</w:t>
      </w:r>
      <w:r>
        <w:rPr>
          <w:rFonts w:ascii="Times New Roman" w:hAnsi="Times New Roman" w:eastAsia="楷体_GB2312" w:cs="Times New Roman"/>
          <w:sz w:val="22"/>
          <w:szCs w:val="28"/>
        </w:rPr>
        <w:t xml:space="preserve"> </w:t>
      </w:r>
    </w:p>
    <w:p w14:paraId="5CFD20F8">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区域气候、降水、蒸发等水文气象资料。</w:t>
      </w:r>
    </w:p>
    <w:p w14:paraId="34F8B1C6">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坝址区l</w:t>
      </w:r>
      <w:r>
        <w:rPr>
          <w:rFonts w:hint="eastAsia" w:ascii="Times New Roman" w:hAnsi="Times New Roman" w:cs="Times New Roman"/>
          <w:sz w:val="21"/>
          <w:szCs w:val="24"/>
        </w:rPr>
        <w:t>:</w:t>
      </w:r>
      <w:r>
        <w:rPr>
          <w:rFonts w:ascii="Times New Roman" w:hAnsi="Times New Roman" w:cs="Times New Roman"/>
          <w:sz w:val="21"/>
          <w:szCs w:val="24"/>
        </w:rPr>
        <w:t>1000～1</w:t>
      </w:r>
      <w:r>
        <w:rPr>
          <w:rFonts w:hint="eastAsia" w:ascii="Times New Roman" w:hAnsi="Times New Roman" w:cs="Times New Roman"/>
          <w:sz w:val="21"/>
          <w:szCs w:val="24"/>
        </w:rPr>
        <w:t>:</w:t>
      </w:r>
      <w:r>
        <w:rPr>
          <w:rFonts w:ascii="Times New Roman" w:hAnsi="Times New Roman" w:cs="Times New Roman"/>
          <w:sz w:val="21"/>
          <w:szCs w:val="24"/>
        </w:rPr>
        <w:t>500地形图，库区1</w:t>
      </w:r>
      <w:r>
        <w:rPr>
          <w:rFonts w:hint="eastAsia" w:ascii="Times New Roman" w:hAnsi="Times New Roman" w:cs="Times New Roman"/>
          <w:sz w:val="21"/>
          <w:szCs w:val="24"/>
        </w:rPr>
        <w:t>:</w:t>
      </w:r>
      <w:r>
        <w:rPr>
          <w:rFonts w:ascii="Times New Roman" w:hAnsi="Times New Roman" w:cs="Times New Roman"/>
          <w:sz w:val="21"/>
          <w:szCs w:val="24"/>
        </w:rPr>
        <w:t>5000～l</w:t>
      </w:r>
      <w:r>
        <w:rPr>
          <w:rFonts w:hint="eastAsia" w:ascii="Times New Roman" w:hAnsi="Times New Roman" w:cs="Times New Roman"/>
          <w:sz w:val="21"/>
          <w:szCs w:val="24"/>
        </w:rPr>
        <w:t>:</w:t>
      </w:r>
      <w:r>
        <w:rPr>
          <w:rFonts w:ascii="Times New Roman" w:hAnsi="Times New Roman" w:cs="Times New Roman"/>
          <w:sz w:val="21"/>
          <w:szCs w:val="24"/>
        </w:rPr>
        <w:t>2000地形图，坝址断面图1:500～1:100。</w:t>
      </w:r>
    </w:p>
    <w:p w14:paraId="63FCE747">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区域地质资料及坝区工程地质情况。</w:t>
      </w:r>
    </w:p>
    <w:p w14:paraId="037B3089">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sz w:val="21"/>
          <w:szCs w:val="24"/>
        </w:rPr>
        <w:t xml:space="preserve">  灌溉面积、人畜用水、养殖等社会经济情况。</w:t>
      </w:r>
    </w:p>
    <w:p w14:paraId="3CCF6A44">
      <w:pPr>
        <w:spacing w:line="360" w:lineRule="auto"/>
        <w:ind w:firstLine="420"/>
        <w:rPr>
          <w:rFonts w:ascii="Times New Roman" w:hAnsi="Times New Roman" w:cs="Times New Roman"/>
          <w:b/>
          <w:sz w:val="24"/>
          <w:szCs w:val="24"/>
        </w:rPr>
      </w:pPr>
      <w:r>
        <w:rPr>
          <w:rFonts w:ascii="Times New Roman" w:hAnsi="Times New Roman" w:eastAsia="黑体" w:cs="Times New Roman"/>
          <w:b/>
          <w:sz w:val="21"/>
          <w:szCs w:val="24"/>
        </w:rPr>
        <w:t>5</w:t>
      </w:r>
      <w:r>
        <w:rPr>
          <w:rFonts w:ascii="Times New Roman" w:hAnsi="Times New Roman" w:cs="Times New Roman"/>
          <w:sz w:val="21"/>
          <w:szCs w:val="24"/>
        </w:rPr>
        <w:t xml:space="preserve">  工程所在河流河道纵横断面图等。</w:t>
      </w:r>
    </w:p>
    <w:p w14:paraId="53DDC607">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Ⅱ 工程布置</w:t>
      </w:r>
    </w:p>
    <w:p w14:paraId="01531214">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3</w:t>
      </w:r>
      <w:r>
        <w:rPr>
          <w:rFonts w:ascii="Times New Roman" w:hAnsi="Times New Roman" w:cs="Times New Roman"/>
          <w:b/>
          <w:sz w:val="21"/>
          <w:szCs w:val="24"/>
        </w:rPr>
        <w:t xml:space="preserve"> </w:t>
      </w:r>
      <w:r>
        <w:rPr>
          <w:rFonts w:ascii="Times New Roman" w:hAnsi="Times New Roman" w:cs="Times New Roman"/>
          <w:sz w:val="21"/>
          <w:szCs w:val="24"/>
        </w:rPr>
        <w:t xml:space="preserve"> 塘坝工程布置应符合下列规定：</w:t>
      </w:r>
    </w:p>
    <w:p w14:paraId="41E39965">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塘坝由坝体、泄洪消能设施和放水设施组成，坝体材料为砌石和混凝土的，可采用坝顶溢流方式。布置应力求紧凑，满足功能要求，节省工程量，并应方便施工和运行管理。</w:t>
      </w:r>
    </w:p>
    <w:p w14:paraId="2AC47E1B">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泄洪消能设施为溢洪道的，宜修建在天然垭口上，如无天然垭口，溢洪道可布置在靠近坝肩处，土质溢洪道进口段应采取防护措施，溢洪道出口应采取消能措施。</w:t>
      </w:r>
    </w:p>
    <w:p w14:paraId="417FBA0D">
      <w:pPr>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放水设施布置宜与坝轴线垂直。放水建筑物应布设在岩基或稳定坚实的原状土基上，不得布置在坝体填筑体上。</w:t>
      </w:r>
    </w:p>
    <w:p w14:paraId="787EB0CB">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 xml:space="preserve"> </w:t>
      </w:r>
      <w:r>
        <w:rPr>
          <w:rFonts w:ascii="Times New Roman" w:hAnsi="Times New Roman" w:cs="Times New Roman"/>
          <w:sz w:val="21"/>
          <w:szCs w:val="24"/>
        </w:rPr>
        <w:t xml:space="preserve"> 滚水坝工程布置应满足防洪要求，坝面无不利的负压或振动，下泄水流应采取防护措施，防止造成危害性冲刷。</w:t>
      </w:r>
    </w:p>
    <w:p w14:paraId="15610C40">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Ⅲ 坝址坝型选择</w:t>
      </w:r>
    </w:p>
    <w:p w14:paraId="004F1B23">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sz w:val="21"/>
          <w:szCs w:val="24"/>
        </w:rPr>
        <w:t xml:space="preserve">  坝址选择应符合下列规定：</w:t>
      </w:r>
    </w:p>
    <w:p w14:paraId="48A02FCF">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应根据地形、地质、水源条件、建筑材料、建筑物布置及上下游情况，经方案比选后确定。</w:t>
      </w:r>
    </w:p>
    <w:p w14:paraId="5DFD7723">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宜选择在地质构造简单的岩基，厚度不大的砂砾石地基或密实的土基。</w:t>
      </w:r>
    </w:p>
    <w:p w14:paraId="4B147864">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有灌溉要求的，宜选择位置较高处，实现自流供水；有人畜用水要求的，应靠近供水对象。</w:t>
      </w:r>
    </w:p>
    <w:p w14:paraId="0F2DD10F">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.6.</w:t>
      </w:r>
      <w:r>
        <w:rPr>
          <w:rFonts w:ascii="Times New Roman" w:hAnsi="Times New Roman" w:eastAsia="黑体" w:cs="Times New Roman"/>
          <w:b/>
          <w:sz w:val="21"/>
          <w:szCs w:val="24"/>
        </w:rPr>
        <w:t>6</w:t>
      </w:r>
      <w:r>
        <w:rPr>
          <w:rFonts w:ascii="Times New Roman" w:hAnsi="Times New Roman" w:cs="Times New Roman"/>
          <w:sz w:val="21"/>
          <w:szCs w:val="24"/>
        </w:rPr>
        <w:t xml:space="preserve">  塘坝坝型选择应符合下列要求：</w:t>
      </w:r>
    </w:p>
    <w:p w14:paraId="556231A1">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当坝址附近有性质适宜、数量足够的土料时，宜选用均质土坝。</w:t>
      </w:r>
    </w:p>
    <w:p w14:paraId="7BCAE8AA">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当坝址附近无性质适宜、数量足够的土料，宜选用土质防渗体分区坝或</w:t>
      </w:r>
      <w:r>
        <w:rPr>
          <w:rFonts w:ascii="Times New Roman" w:hAnsi="Times New Roman" w:cs="Times New Roman"/>
          <w:kern w:val="0"/>
          <w:sz w:val="21"/>
          <w:szCs w:val="21"/>
        </w:rPr>
        <w:t>非土质材料防渗体坝</w:t>
      </w:r>
      <w:r>
        <w:rPr>
          <w:rFonts w:ascii="Times New Roman" w:hAnsi="Times New Roman" w:cs="Times New Roman"/>
          <w:sz w:val="21"/>
          <w:szCs w:val="24"/>
        </w:rPr>
        <w:t>。</w:t>
      </w:r>
    </w:p>
    <w:p w14:paraId="248E99F3">
      <w:pPr>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w:t>
      </w:r>
      <w:r>
        <w:rPr>
          <w:rFonts w:hint="eastAsia" w:ascii="Times New Roman" w:hAnsi="Times New Roman" w:cs="Times New Roman"/>
          <w:sz w:val="21"/>
          <w:szCs w:val="24"/>
        </w:rPr>
        <w:t xml:space="preserve"> </w:t>
      </w:r>
      <w:r>
        <w:rPr>
          <w:rFonts w:ascii="Times New Roman" w:hAnsi="Times New Roman" w:cs="Times New Roman"/>
          <w:sz w:val="21"/>
          <w:szCs w:val="24"/>
        </w:rPr>
        <w:t>当坝址附近有性质适宜、数量足够的石料，宜选用砌石坝。</w:t>
      </w:r>
    </w:p>
    <w:p w14:paraId="4D4F4AB1">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7</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滚水坝坝型应根据地形、地质以及建筑材料等条件，选择浆砌石坝、混凝土坝。</w:t>
      </w:r>
    </w:p>
    <w:p w14:paraId="6B9218A6">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Ⅳ 规模确定</w:t>
      </w:r>
    </w:p>
    <w:p w14:paraId="092EB722">
      <w:pPr>
        <w:spacing w:line="360" w:lineRule="auto"/>
        <w:rPr>
          <w:rFonts w:ascii="Times New Roman" w:hAnsi="Times New Roman" w:eastAsia="黑体" w:cs="Times New Roman"/>
          <w:b/>
          <w:sz w:val="18"/>
          <w:szCs w:val="18"/>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8</w:t>
      </w:r>
      <w:r>
        <w:rPr>
          <w:rFonts w:ascii="Times New Roman" w:hAnsi="Times New Roman" w:cs="Times New Roman"/>
          <w:sz w:val="21"/>
          <w:szCs w:val="24"/>
        </w:rPr>
        <w:t xml:space="preserve">  塘坝总库容应由死库容、兴利库容和滞洪库容组成。</w:t>
      </w:r>
    </w:p>
    <w:p w14:paraId="638076DA">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死库容和死水位的确定应符合下列规定：</w:t>
      </w:r>
    </w:p>
    <w:p w14:paraId="4914D5C7">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来沙量很小时，应按自流灌溉需求确定死水位。</w:t>
      </w:r>
    </w:p>
    <w:p w14:paraId="5508653C">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来沙量较大时，应按下列公式确定死库容。</w:t>
      </w:r>
    </w:p>
    <w:p w14:paraId="685F7DE6">
      <w:pPr>
        <w:snapToGrid w:val="0"/>
        <w:spacing w:line="360" w:lineRule="auto"/>
        <w:ind w:firstLine="3150" w:firstLineChars="1500"/>
        <w:jc w:val="left"/>
        <w:rPr>
          <w:rFonts w:ascii="Times New Roman" w:hAnsi="Times New Roman" w:cs="Times New Roman"/>
          <w:b/>
          <w:sz w:val="24"/>
          <w:szCs w:val="24"/>
        </w:rPr>
      </w:pPr>
      <w:r>
        <w:rPr>
          <w:rFonts w:ascii="Times New Roman" w:hAnsi="Times New Roman" w:cs="Times New Roman"/>
          <w:i/>
          <w:sz w:val="21"/>
          <w:szCs w:val="24"/>
        </w:rPr>
        <w:t>V</w:t>
      </w:r>
      <w:r>
        <w:rPr>
          <w:rFonts w:ascii="Times New Roman" w:hAnsi="Times New Roman" w:cs="Times New Roman"/>
          <w:sz w:val="21"/>
          <w:szCs w:val="24"/>
          <w:vertAlign w:val="subscript"/>
        </w:rPr>
        <w:t>死</w:t>
      </w:r>
      <w:r>
        <w:rPr>
          <w:rFonts w:ascii="Times New Roman" w:hAnsi="Times New Roman" w:cs="Times New Roman"/>
          <w:sz w:val="21"/>
          <w:szCs w:val="24"/>
        </w:rPr>
        <w:t>＝</w:t>
      </w:r>
      <w:r>
        <w:rPr>
          <w:rFonts w:ascii="Times New Roman" w:hAnsi="Times New Roman" w:cs="Times New Roman"/>
          <w:i/>
          <w:sz w:val="21"/>
          <w:szCs w:val="24"/>
        </w:rPr>
        <w:t>N</w:t>
      </w:r>
      <w:r>
        <w:rPr>
          <w:rFonts w:ascii="Times New Roman" w:hAnsi="Times New Roman" w:cs="Times New Roman"/>
          <w:sz w:val="21"/>
          <w:szCs w:val="24"/>
        </w:rPr>
        <w:t>（</w:t>
      </w:r>
      <w:r>
        <w:rPr>
          <w:rFonts w:ascii="Times New Roman" w:hAnsi="Times New Roman" w:cs="Times New Roman"/>
          <w:i/>
          <w:sz w:val="21"/>
          <w:szCs w:val="24"/>
        </w:rPr>
        <w:t>V</w:t>
      </w:r>
      <w:r>
        <w:rPr>
          <w:rFonts w:ascii="Times New Roman" w:hAnsi="Times New Roman" w:cs="Times New Roman"/>
          <w:sz w:val="21"/>
          <w:szCs w:val="24"/>
          <w:vertAlign w:val="subscript"/>
        </w:rPr>
        <w:t>淤</w:t>
      </w:r>
      <w:r>
        <w:rPr>
          <w:rFonts w:ascii="Times New Roman" w:hAnsi="Times New Roman" w:cs="Times New Roman"/>
          <w:sz w:val="21"/>
          <w:szCs w:val="24"/>
        </w:rPr>
        <w:t>－</w:t>
      </w:r>
      <w:r>
        <w:rPr>
          <w:rFonts w:ascii="Times New Roman" w:hAnsi="Times New Roman" w:cs="Times New Roman"/>
          <w:i/>
          <w:sz w:val="21"/>
          <w:szCs w:val="24"/>
        </w:rPr>
        <w:t>△V</w:t>
      </w:r>
      <w:r>
        <w:rPr>
          <w:rFonts w:ascii="Times New Roman" w:hAnsi="Times New Roman" w:cs="Times New Roman"/>
          <w:sz w:val="21"/>
          <w:szCs w:val="24"/>
        </w:rPr>
        <w:t>）</w:t>
      </w:r>
      <w:r>
        <w:rPr>
          <w:rFonts w:ascii="Times New Roman" w:hAnsi="Times New Roman" w:cs="Times New Roman"/>
          <w:i/>
          <w:sz w:val="21"/>
          <w:szCs w:val="24"/>
        </w:rPr>
        <w:t>/</w:t>
      </w:r>
      <w:r>
        <w:rPr>
          <w:rFonts w:ascii="Times New Roman" w:hAnsi="Times New Roman" w:cs="Times New Roman"/>
          <w:b/>
          <w:position w:val="-12"/>
          <w:sz w:val="21"/>
          <w:szCs w:val="24"/>
        </w:rPr>
        <w:object>
          <v:shape id="_x0000_i1061" o:spt="75" type="#_x0000_t75" style="height:18.6pt;width:13.8pt;" o:ole="t" filled="f" o:preferrelative="t" stroked="f" coordsize="21600,21600">
            <v:path/>
            <v:fill on="f" focussize="0,0"/>
            <v:stroke on="f" joinstyle="miter"/>
            <v:imagedata r:id="rId93" o:title=""/>
            <o:lock v:ext="edit" aspectratio="t"/>
            <w10:wrap type="none"/>
            <w10:anchorlock/>
          </v:shape>
          <o:OLEObject Type="Embed" ProgID="Equation.3" ShapeID="_x0000_i1061" DrawAspect="Content" ObjectID="_1468075757" r:id="rId92">
            <o:LockedField>false</o:LockedField>
          </o:OLEObject>
        </w:object>
      </w:r>
      <w:r>
        <w:rPr>
          <w:rFonts w:ascii="Times New Roman" w:hAnsi="Times New Roman" w:cs="Times New Roman"/>
          <w:sz w:val="21"/>
          <w:szCs w:val="24"/>
        </w:rPr>
        <w:t xml:space="preserve">          </w:t>
      </w:r>
      <w:r>
        <w:rPr>
          <w:rFonts w:hint="eastAsia" w:ascii="Times New Roman" w:hAnsi="Times New Roman" w:cs="Times New Roman"/>
          <w:sz w:val="21"/>
          <w:szCs w:val="24"/>
        </w:rPr>
        <w:t xml:space="preserve">          </w:t>
      </w:r>
      <w:r>
        <w:rPr>
          <w:rFonts w:ascii="Times New Roman" w:hAnsi="Times New Roman" w:cs="Times New Roman"/>
          <w:sz w:val="21"/>
          <w:szCs w:val="24"/>
        </w:rPr>
        <w:t>（4.6.9-1）</w:t>
      </w:r>
    </w:p>
    <w:p w14:paraId="456B25F0">
      <w:pPr>
        <w:snapToGrid w:val="0"/>
        <w:spacing w:line="360" w:lineRule="auto"/>
        <w:ind w:right="112" w:rightChars="40" w:firstLine="3256" w:firstLineChars="1802"/>
        <w:rPr>
          <w:rFonts w:ascii="Times New Roman" w:hAnsi="Times New Roman" w:cs="Times New Roman"/>
          <w:b/>
          <w:sz w:val="24"/>
          <w:szCs w:val="24"/>
        </w:rPr>
      </w:pPr>
      <w:r>
        <w:rPr>
          <w:rFonts w:ascii="Times New Roman" w:hAnsi="Times New Roman" w:cs="Times New Roman"/>
          <w:b/>
          <w:position w:val="-30"/>
          <w:sz w:val="18"/>
          <w:szCs w:val="18"/>
        </w:rPr>
        <w:object>
          <v:shape id="_x0000_i1062" o:spt="75" type="#_x0000_t75" style="height:27pt;width:59.4pt;" o:ole="t" filled="f" o:preferrelative="t" stroked="f" coordsize="21600,21600">
            <v:path/>
            <v:fill on="f" focussize="0,0"/>
            <v:stroke on="f" joinstyle="miter"/>
            <v:imagedata r:id="rId95" o:title=""/>
            <o:lock v:ext="edit" aspectratio="t"/>
            <w10:wrap type="none"/>
            <w10:anchorlock/>
          </v:shape>
          <o:OLEObject Type="Embed" ProgID="Equation.3" ShapeID="_x0000_i1062" DrawAspect="Content" ObjectID="_1468075758" r:id="rId94">
            <o:LockedField>false</o:LockedField>
          </o:OLEObject>
        </w:object>
      </w:r>
      <w:r>
        <w:rPr>
          <w:rFonts w:ascii="Times New Roman" w:hAnsi="Times New Roman" w:cs="Times New Roman"/>
          <w:sz w:val="18"/>
          <w:szCs w:val="18"/>
        </w:rPr>
        <w:t xml:space="preserve">                               </w:t>
      </w:r>
      <w:r>
        <w:rPr>
          <w:rFonts w:hint="eastAsia" w:ascii="Times New Roman" w:hAnsi="Times New Roman" w:cs="Times New Roman"/>
          <w:sz w:val="18"/>
          <w:szCs w:val="18"/>
        </w:rPr>
        <w:t xml:space="preserve">  </w:t>
      </w:r>
      <w:r>
        <w:rPr>
          <w:rFonts w:ascii="Times New Roman" w:hAnsi="Times New Roman" w:cs="Times New Roman"/>
          <w:sz w:val="21"/>
          <w:szCs w:val="24"/>
        </w:rPr>
        <w:t>（4.6.9-2）</w:t>
      </w:r>
    </w:p>
    <w:p w14:paraId="2F274236">
      <w:pPr>
        <w:snapToGrid w:val="0"/>
        <w:spacing w:line="360" w:lineRule="auto"/>
        <w:rPr>
          <w:rFonts w:ascii="Times New Roman" w:hAnsi="Times New Roman" w:cs="Times New Roman"/>
          <w:b/>
          <w:sz w:val="24"/>
          <w:szCs w:val="24"/>
        </w:rPr>
      </w:pPr>
      <w:r>
        <w:rPr>
          <w:rFonts w:ascii="Times New Roman" w:hAnsi="Times New Roman" w:cs="Times New Roman"/>
          <w:sz w:val="21"/>
          <w:szCs w:val="24"/>
        </w:rPr>
        <w:t>式中：</w:t>
      </w:r>
      <w:r>
        <w:rPr>
          <w:rFonts w:ascii="Times New Roman" w:hAnsi="Times New Roman" w:cs="Times New Roman"/>
          <w:i/>
          <w:sz w:val="21"/>
          <w:szCs w:val="24"/>
        </w:rPr>
        <w:t>V</w:t>
      </w:r>
      <w:r>
        <w:rPr>
          <w:rFonts w:ascii="Times New Roman" w:hAnsi="Times New Roman" w:cs="Times New Roman"/>
          <w:sz w:val="21"/>
          <w:szCs w:val="24"/>
          <w:vertAlign w:val="subscript"/>
        </w:rPr>
        <w:t xml:space="preserve">死 </w:t>
      </w:r>
      <w:r>
        <w:rPr>
          <w:rFonts w:ascii="Times New Roman" w:hAnsi="Times New Roman" w:cs="Times New Roman"/>
          <w:sz w:val="21"/>
          <w:szCs w:val="21"/>
        </w:rPr>
        <w:t>——</w:t>
      </w:r>
      <w:r>
        <w:rPr>
          <w:rFonts w:ascii="Times New Roman" w:hAnsi="Times New Roman" w:cs="Times New Roman"/>
          <w:sz w:val="21"/>
          <w:szCs w:val="24"/>
        </w:rPr>
        <w:t>死库容（m</w:t>
      </w:r>
      <w:r>
        <w:rPr>
          <w:rFonts w:ascii="Times New Roman" w:hAnsi="Times New Roman" w:cs="Times New Roman"/>
          <w:sz w:val="21"/>
          <w:szCs w:val="24"/>
          <w:vertAlign w:val="superscript"/>
        </w:rPr>
        <w:t>3</w:t>
      </w:r>
      <w:r>
        <w:rPr>
          <w:rFonts w:ascii="Times New Roman" w:hAnsi="Times New Roman" w:cs="Times New Roman"/>
          <w:sz w:val="21"/>
          <w:szCs w:val="24"/>
        </w:rPr>
        <w:t>）；</w:t>
      </w:r>
    </w:p>
    <w:p w14:paraId="41348EBA">
      <w:pPr>
        <w:snapToGrid w:val="0"/>
        <w:spacing w:line="360" w:lineRule="auto"/>
        <w:ind w:firstLine="630" w:firstLineChars="300"/>
        <w:rPr>
          <w:rFonts w:ascii="Times New Roman" w:hAnsi="Times New Roman" w:cs="Times New Roman"/>
          <w:b/>
          <w:sz w:val="24"/>
          <w:szCs w:val="21"/>
        </w:rPr>
      </w:pPr>
      <w:r>
        <w:rPr>
          <w:rFonts w:ascii="Times New Roman" w:hAnsi="Times New Roman" w:cs="Times New Roman"/>
          <w:i/>
          <w:sz w:val="21"/>
          <w:szCs w:val="21"/>
        </w:rPr>
        <w:t>V</w:t>
      </w:r>
      <w:r>
        <w:rPr>
          <w:rFonts w:ascii="Times New Roman" w:hAnsi="Times New Roman" w:cs="Times New Roman"/>
          <w:sz w:val="21"/>
          <w:szCs w:val="21"/>
          <w:vertAlign w:val="subscript"/>
        </w:rPr>
        <w:t xml:space="preserve">淤 </w:t>
      </w:r>
      <w:r>
        <w:rPr>
          <w:rFonts w:ascii="Times New Roman" w:hAnsi="Times New Roman" w:cs="Times New Roman"/>
          <w:sz w:val="21"/>
          <w:szCs w:val="21"/>
        </w:rPr>
        <w:t>——年淤积量</w:t>
      </w:r>
      <w:r>
        <w:rPr>
          <w:rFonts w:ascii="Times New Roman" w:hAnsi="Times New Roman" w:cs="Times New Roman"/>
          <w:sz w:val="21"/>
          <w:szCs w:val="24"/>
        </w:rPr>
        <w:t>（m</w:t>
      </w:r>
      <w:r>
        <w:rPr>
          <w:rFonts w:ascii="Times New Roman" w:hAnsi="Times New Roman" w:cs="Times New Roman"/>
          <w:sz w:val="21"/>
          <w:szCs w:val="24"/>
          <w:vertAlign w:val="superscript"/>
        </w:rPr>
        <w:t>3</w:t>
      </w:r>
      <w:r>
        <w:rPr>
          <w:rFonts w:ascii="Times New Roman" w:hAnsi="Times New Roman" w:cs="Times New Roman"/>
          <w:sz w:val="21"/>
          <w:szCs w:val="24"/>
        </w:rPr>
        <w:t>/a）</w:t>
      </w:r>
      <w:r>
        <w:rPr>
          <w:rFonts w:ascii="Times New Roman" w:hAnsi="Times New Roman" w:cs="Times New Roman"/>
          <w:sz w:val="21"/>
          <w:szCs w:val="21"/>
        </w:rPr>
        <w:t>；</w:t>
      </w:r>
    </w:p>
    <w:p w14:paraId="400C78D9">
      <w:pPr>
        <w:snapToGrid w:val="0"/>
        <w:spacing w:line="360" w:lineRule="auto"/>
        <w:ind w:firstLine="630" w:firstLineChars="300"/>
        <w:rPr>
          <w:rFonts w:ascii="Times New Roman" w:hAnsi="Times New Roman" w:cs="Times New Roman"/>
          <w:b/>
          <w:sz w:val="24"/>
          <w:szCs w:val="24"/>
        </w:rPr>
      </w:pPr>
      <w:r>
        <w:rPr>
          <w:rFonts w:ascii="Times New Roman" w:hAnsi="Times New Roman" w:cs="Times New Roman"/>
          <w:i/>
          <w:sz w:val="21"/>
          <w:szCs w:val="24"/>
        </w:rPr>
        <w:t>△V</w:t>
      </w:r>
      <w:r>
        <w:rPr>
          <w:rFonts w:ascii="Times New Roman" w:hAnsi="Times New Roman" w:cs="Times New Roman"/>
          <w:sz w:val="21"/>
          <w:szCs w:val="24"/>
        </w:rPr>
        <w:t xml:space="preserve"> </w:t>
      </w:r>
      <w:r>
        <w:rPr>
          <w:rFonts w:ascii="Times New Roman" w:hAnsi="Times New Roman" w:cs="Times New Roman"/>
          <w:sz w:val="21"/>
          <w:szCs w:val="21"/>
        </w:rPr>
        <w:t>——</w:t>
      </w:r>
      <w:r>
        <w:rPr>
          <w:rFonts w:ascii="Times New Roman" w:hAnsi="Times New Roman" w:cs="Times New Roman"/>
          <w:sz w:val="21"/>
          <w:szCs w:val="24"/>
        </w:rPr>
        <w:t>年均排沙量（m</w:t>
      </w:r>
      <w:r>
        <w:rPr>
          <w:rFonts w:ascii="Times New Roman" w:hAnsi="Times New Roman" w:cs="Times New Roman"/>
          <w:sz w:val="21"/>
          <w:szCs w:val="24"/>
          <w:vertAlign w:val="superscript"/>
        </w:rPr>
        <w:t>3</w:t>
      </w:r>
      <w:r>
        <w:rPr>
          <w:rFonts w:ascii="Times New Roman" w:hAnsi="Times New Roman" w:cs="Times New Roman"/>
          <w:sz w:val="21"/>
          <w:szCs w:val="24"/>
        </w:rPr>
        <w:t>/a）；</w:t>
      </w:r>
    </w:p>
    <w:p w14:paraId="6CBDFCB6">
      <w:pPr>
        <w:snapToGrid w:val="0"/>
        <w:spacing w:line="360" w:lineRule="auto"/>
        <w:ind w:firstLine="707" w:firstLineChars="337"/>
        <w:rPr>
          <w:rFonts w:ascii="Times New Roman" w:hAnsi="Times New Roman" w:cs="Times New Roman"/>
          <w:b/>
          <w:sz w:val="24"/>
          <w:szCs w:val="24"/>
        </w:rPr>
      </w:pPr>
      <w:r>
        <w:rPr>
          <w:rFonts w:ascii="Times New Roman" w:hAnsi="Times New Roman" w:cs="Times New Roman"/>
          <w:i/>
          <w:sz w:val="21"/>
          <w:szCs w:val="24"/>
        </w:rPr>
        <w:t xml:space="preserve">N </w:t>
      </w:r>
      <w:r>
        <w:rPr>
          <w:rFonts w:ascii="Times New Roman" w:hAnsi="Times New Roman" w:cs="Times New Roman"/>
          <w:sz w:val="21"/>
          <w:szCs w:val="21"/>
        </w:rPr>
        <w:t>——</w:t>
      </w:r>
      <w:r>
        <w:rPr>
          <w:rFonts w:ascii="Times New Roman" w:hAnsi="Times New Roman" w:cs="Times New Roman"/>
          <w:sz w:val="21"/>
          <w:szCs w:val="24"/>
        </w:rPr>
        <w:t>淤积年限（a）；</w:t>
      </w:r>
    </w:p>
    <w:p w14:paraId="301C43B6">
      <w:pPr>
        <w:snapToGrid w:val="0"/>
        <w:spacing w:line="360" w:lineRule="auto"/>
        <w:ind w:firstLine="708" w:firstLineChars="336"/>
        <w:rPr>
          <w:rFonts w:ascii="Times New Roman" w:hAnsi="Times New Roman" w:cs="Times New Roman"/>
          <w:b/>
          <w:sz w:val="24"/>
          <w:szCs w:val="24"/>
        </w:rPr>
      </w:pPr>
      <w:r>
        <w:rPr>
          <w:rFonts w:ascii="Times New Roman" w:hAnsi="Times New Roman" w:cs="Times New Roman"/>
          <w:b/>
          <w:position w:val="-12"/>
          <w:sz w:val="21"/>
          <w:szCs w:val="24"/>
        </w:rPr>
        <w:object>
          <v:shape id="_x0000_i1063" o:spt="75" type="#_x0000_t75" style="height:18.6pt;width:13.8pt;" o:ole="t" filled="f" o:preferrelative="t" stroked="f" coordsize="21600,21600">
            <v:path/>
            <v:fill on="f" focussize="0,0"/>
            <v:stroke on="f" joinstyle="miter"/>
            <v:imagedata r:id="rId93" o:title=""/>
            <o:lock v:ext="edit" aspectratio="t"/>
            <w10:wrap type="none"/>
            <w10:anchorlock/>
          </v:shape>
          <o:OLEObject Type="Embed" ProgID="Equation.3" ShapeID="_x0000_i1063" DrawAspect="Content" ObjectID="_1468075759" r:id="rId96">
            <o:LockedField>false</o:LockedField>
          </o:OLEObject>
        </w:object>
      </w:r>
      <w:r>
        <w:rPr>
          <w:rFonts w:ascii="Times New Roman" w:hAnsi="Times New Roman" w:cs="Times New Roman"/>
          <w:sz w:val="21"/>
          <w:szCs w:val="21"/>
        </w:rPr>
        <w:t>——</w:t>
      </w:r>
      <w:r>
        <w:rPr>
          <w:rFonts w:ascii="Times New Roman" w:hAnsi="Times New Roman" w:cs="Times New Roman"/>
          <w:sz w:val="21"/>
          <w:szCs w:val="24"/>
        </w:rPr>
        <w:t>淤积泥沙干容重，可取1.2t/m</w:t>
      </w:r>
      <w:r>
        <w:rPr>
          <w:rFonts w:ascii="Times New Roman" w:hAnsi="Times New Roman" w:cs="Times New Roman"/>
          <w:sz w:val="21"/>
          <w:szCs w:val="24"/>
          <w:vertAlign w:val="superscript"/>
        </w:rPr>
        <w:t>3</w:t>
      </w:r>
      <w:r>
        <w:rPr>
          <w:rFonts w:ascii="Times New Roman" w:hAnsi="Times New Roman" w:cs="Times New Roman"/>
          <w:sz w:val="21"/>
          <w:szCs w:val="24"/>
        </w:rPr>
        <w:t>～1.4t/m</w:t>
      </w:r>
      <w:r>
        <w:rPr>
          <w:rFonts w:ascii="Times New Roman" w:hAnsi="Times New Roman" w:cs="Times New Roman"/>
          <w:sz w:val="21"/>
          <w:szCs w:val="24"/>
          <w:vertAlign w:val="superscript"/>
        </w:rPr>
        <w:t>3</w:t>
      </w:r>
      <w:r>
        <w:rPr>
          <w:rFonts w:ascii="Times New Roman" w:hAnsi="Times New Roman" w:cs="Times New Roman"/>
          <w:sz w:val="21"/>
          <w:szCs w:val="24"/>
        </w:rPr>
        <w:t>；</w:t>
      </w:r>
    </w:p>
    <w:p w14:paraId="56CA2447">
      <w:pPr>
        <w:snapToGrid w:val="0"/>
        <w:spacing w:line="360" w:lineRule="auto"/>
        <w:ind w:firstLine="708" w:firstLineChars="336"/>
        <w:rPr>
          <w:rFonts w:ascii="Times New Roman" w:hAnsi="Times New Roman" w:cs="Times New Roman"/>
          <w:b/>
          <w:sz w:val="24"/>
          <w:szCs w:val="24"/>
        </w:rPr>
      </w:pPr>
      <w:r>
        <w:rPr>
          <w:rFonts w:ascii="Times New Roman" w:hAnsi="Times New Roman" w:cs="Times New Roman"/>
          <w:b/>
          <w:position w:val="-6"/>
          <w:sz w:val="21"/>
          <w:szCs w:val="24"/>
        </w:rPr>
        <w:object>
          <v:shape id="_x0000_i1064" o:spt="75" type="#_x0000_t75" style="height:15.6pt;width:15.6pt;" o:ole="t" fillcolor="#000011" filled="f" o:preferrelative="t" stroked="f" coordsize="21600,21600">
            <v:path/>
            <v:fill on="f" focussize="0,0"/>
            <v:stroke on="f" joinstyle="miter"/>
            <v:imagedata r:id="rId98" o:title=""/>
            <o:lock v:ext="edit" aspectratio="t"/>
            <w10:wrap type="none"/>
            <w10:anchorlock/>
          </v:shape>
          <o:OLEObject Type="Embed" ProgID="Equation.3" ShapeID="_x0000_i1064" DrawAspect="Content" ObjectID="_1468075760" r:id="rId97">
            <o:LockedField>false</o:LockedField>
          </o:OLEObject>
        </w:object>
      </w:r>
      <w:r>
        <w:rPr>
          <w:rFonts w:ascii="Times New Roman" w:hAnsi="Times New Roman" w:cs="Times New Roman"/>
          <w:sz w:val="21"/>
          <w:szCs w:val="21"/>
        </w:rPr>
        <w:t>——</w:t>
      </w:r>
      <w:r>
        <w:rPr>
          <w:rFonts w:ascii="Times New Roman" w:hAnsi="Times New Roman" w:cs="Times New Roman"/>
          <w:sz w:val="21"/>
          <w:szCs w:val="24"/>
        </w:rPr>
        <w:t>多年平均侵蚀模数（t/km</w:t>
      </w:r>
      <w:r>
        <w:rPr>
          <w:rFonts w:ascii="Times New Roman" w:hAnsi="Times New Roman" w:cs="Times New Roman"/>
          <w:sz w:val="18"/>
          <w:szCs w:val="24"/>
          <w:vertAlign w:val="superscript"/>
        </w:rPr>
        <w:t>2</w:t>
      </w:r>
      <w:r>
        <w:rPr>
          <w:rFonts w:ascii="Times New Roman" w:hAnsi="Times New Roman" w:cs="Times New Roman"/>
          <w:sz w:val="18"/>
          <w:szCs w:val="24"/>
        </w:rPr>
        <w:t>·</w:t>
      </w:r>
      <w:r>
        <w:rPr>
          <w:rFonts w:ascii="Times New Roman" w:hAnsi="Times New Roman" w:cs="Times New Roman"/>
          <w:sz w:val="21"/>
          <w:szCs w:val="24"/>
        </w:rPr>
        <w:t>a）；</w:t>
      </w:r>
    </w:p>
    <w:p w14:paraId="7F002A06">
      <w:pPr>
        <w:snapToGrid w:val="0"/>
        <w:spacing w:line="360" w:lineRule="auto"/>
        <w:ind w:firstLine="707" w:firstLineChars="337"/>
        <w:rPr>
          <w:rFonts w:ascii="Times New Roman" w:hAnsi="Times New Roman" w:cs="Times New Roman"/>
          <w:b/>
          <w:sz w:val="24"/>
          <w:szCs w:val="24"/>
        </w:rPr>
      </w:pPr>
      <w:r>
        <w:rPr>
          <w:rFonts w:ascii="Times New Roman" w:hAnsi="Times New Roman" w:cs="Times New Roman"/>
          <w:i/>
          <w:sz w:val="21"/>
          <w:szCs w:val="24"/>
        </w:rPr>
        <w:t>η</w:t>
      </w:r>
      <w:r>
        <w:rPr>
          <w:rFonts w:ascii="Times New Roman" w:hAnsi="Times New Roman" w:cs="Times New Roman"/>
          <w:sz w:val="21"/>
          <w:szCs w:val="21"/>
        </w:rPr>
        <w:t>——</w:t>
      </w:r>
      <w:r>
        <w:rPr>
          <w:rFonts w:ascii="Times New Roman" w:hAnsi="Times New Roman" w:cs="Times New Roman"/>
          <w:sz w:val="21"/>
          <w:szCs w:val="24"/>
        </w:rPr>
        <w:t>输移比，可根据经验确定；</w:t>
      </w:r>
    </w:p>
    <w:p w14:paraId="703B70C3">
      <w:pPr>
        <w:snapToGrid w:val="0"/>
        <w:spacing w:line="360" w:lineRule="auto"/>
        <w:ind w:firstLine="707" w:firstLineChars="337"/>
        <w:rPr>
          <w:rFonts w:ascii="Times New Roman" w:hAnsi="Times New Roman" w:cs="Times New Roman"/>
          <w:b/>
          <w:sz w:val="24"/>
          <w:szCs w:val="24"/>
        </w:rPr>
      </w:pPr>
      <w:r>
        <w:rPr>
          <w:rFonts w:ascii="Times New Roman" w:hAnsi="Times New Roman" w:cs="Times New Roman"/>
          <w:i/>
          <w:sz w:val="21"/>
          <w:szCs w:val="24"/>
        </w:rPr>
        <w:t>F</w:t>
      </w:r>
      <w:r>
        <w:rPr>
          <w:rFonts w:ascii="Times New Roman" w:hAnsi="Times New Roman" w:cs="Times New Roman"/>
          <w:sz w:val="21"/>
          <w:szCs w:val="21"/>
        </w:rPr>
        <w:t>——</w:t>
      </w:r>
      <w:r>
        <w:rPr>
          <w:rFonts w:ascii="Times New Roman" w:hAnsi="Times New Roman" w:cs="Times New Roman"/>
          <w:sz w:val="21"/>
          <w:szCs w:val="24"/>
        </w:rPr>
        <w:t>流域集水面积（hm</w:t>
      </w:r>
      <w:r>
        <w:rPr>
          <w:rFonts w:ascii="Times New Roman" w:hAnsi="Times New Roman" w:cs="Times New Roman"/>
          <w:sz w:val="21"/>
          <w:szCs w:val="24"/>
          <w:vertAlign w:val="superscript"/>
        </w:rPr>
        <w:t>2</w:t>
      </w:r>
      <w:r>
        <w:rPr>
          <w:rFonts w:ascii="Times New Roman" w:hAnsi="Times New Roman" w:cs="Times New Roman"/>
          <w:sz w:val="21"/>
          <w:szCs w:val="24"/>
        </w:rPr>
        <w:t>）。</w:t>
      </w:r>
    </w:p>
    <w:p w14:paraId="5C3475F9">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死库容确定后，应由塘坝水位库容曲线查算死水位。</w:t>
      </w:r>
    </w:p>
    <w:p w14:paraId="67709AA8">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10</w:t>
      </w:r>
      <w:r>
        <w:rPr>
          <w:rFonts w:ascii="Times New Roman" w:hAnsi="Times New Roman" w:cs="Times New Roman"/>
          <w:sz w:val="21"/>
          <w:szCs w:val="24"/>
        </w:rPr>
        <w:t xml:space="preserve">  确定兴利库容和正常蓄水位应符合下列规定：</w:t>
      </w:r>
    </w:p>
    <w:p w14:paraId="38F4998A">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塘坝多年平均来水量较小时，应根据多年平均来水量确定兴利库容，兴利库容应按下式计算：</w:t>
      </w:r>
    </w:p>
    <w:p w14:paraId="728FF46F">
      <w:pPr>
        <w:snapToGrid w:val="0"/>
        <w:spacing w:line="360" w:lineRule="auto"/>
        <w:ind w:left="218" w:leftChars="78"/>
        <w:jc w:val="center"/>
        <w:rPr>
          <w:rFonts w:ascii="Times New Roman" w:hAnsi="Times New Roman" w:cs="Times New Roman"/>
          <w:b/>
          <w:sz w:val="24"/>
          <w:szCs w:val="24"/>
        </w:rPr>
      </w:pPr>
      <w:r>
        <w:rPr>
          <w:rFonts w:ascii="Times New Roman" w:hAnsi="Times New Roman" w:cs="Times New Roman"/>
          <w:sz w:val="21"/>
          <w:szCs w:val="24"/>
        </w:rPr>
        <w:t xml:space="preserve">                           </w:t>
      </w:r>
      <w:r>
        <w:rPr>
          <w:rFonts w:ascii="Times New Roman" w:hAnsi="Times New Roman" w:cs="Times New Roman"/>
          <w:b/>
          <w:position w:val="-24"/>
          <w:sz w:val="21"/>
          <w:szCs w:val="24"/>
        </w:rPr>
        <w:object>
          <v:shape id="_x0000_i1065" o:spt="75" type="#_x0000_t75" style="height:28.2pt;width:59.4pt;" o:ole="t" filled="f" o:preferrelative="t" stroked="f" coordsize="21600,21600">
            <v:path/>
            <v:fill on="f" focussize="0,0"/>
            <v:stroke on="f" joinstyle="miter"/>
            <v:imagedata r:id="rId100" o:title=""/>
            <o:lock v:ext="edit" aspectratio="t"/>
            <w10:wrap type="none"/>
            <w10:anchorlock/>
          </v:shape>
          <o:OLEObject Type="Embed" ProgID="Equation.3" ShapeID="_x0000_i1065" DrawAspect="Content" ObjectID="_1468075761" r:id="rId99">
            <o:LockedField>false</o:LockedField>
          </o:OLEObject>
        </w:object>
      </w:r>
      <w:r>
        <w:rPr>
          <w:rFonts w:ascii="Times New Roman" w:hAnsi="Times New Roman" w:cs="Times New Roman"/>
          <w:sz w:val="21"/>
          <w:szCs w:val="24"/>
        </w:rPr>
        <w:t xml:space="preserve">                           </w:t>
      </w:r>
      <w:r>
        <w:rPr>
          <w:rFonts w:hint="eastAsia" w:ascii="Times New Roman" w:hAnsi="Times New Roman" w:cs="Times New Roman"/>
          <w:sz w:val="21"/>
          <w:szCs w:val="24"/>
        </w:rPr>
        <w:t xml:space="preserve"> </w:t>
      </w:r>
      <w:r>
        <w:rPr>
          <w:rFonts w:ascii="Times New Roman" w:hAnsi="Times New Roman" w:cs="Times New Roman"/>
          <w:sz w:val="21"/>
          <w:szCs w:val="24"/>
        </w:rPr>
        <w:t>（4.6.10）</w:t>
      </w:r>
    </w:p>
    <w:p w14:paraId="2D567027">
      <w:pPr>
        <w:spacing w:line="360" w:lineRule="auto"/>
        <w:rPr>
          <w:rFonts w:ascii="Times New Roman" w:hAnsi="Times New Roman" w:cs="Times New Roman"/>
          <w:b/>
          <w:sz w:val="24"/>
          <w:szCs w:val="24"/>
        </w:rPr>
      </w:pPr>
      <w:r>
        <w:rPr>
          <w:rFonts w:ascii="Times New Roman" w:hAnsi="Times New Roman" w:cs="Times New Roman"/>
          <w:sz w:val="21"/>
          <w:szCs w:val="24"/>
        </w:rPr>
        <w:t>式中：</w:t>
      </w:r>
      <w:r>
        <w:rPr>
          <w:rFonts w:ascii="Times New Roman" w:hAnsi="Times New Roman" w:cs="Times New Roman"/>
          <w:i/>
          <w:sz w:val="21"/>
          <w:szCs w:val="24"/>
        </w:rPr>
        <w:t>V</w:t>
      </w:r>
      <w:r>
        <w:rPr>
          <w:rFonts w:ascii="Times New Roman" w:hAnsi="Times New Roman" w:cs="Times New Roman"/>
          <w:sz w:val="21"/>
          <w:szCs w:val="24"/>
          <w:vertAlign w:val="subscript"/>
        </w:rPr>
        <w:t>兴</w:t>
      </w:r>
      <w:r>
        <w:rPr>
          <w:rFonts w:ascii="Times New Roman" w:hAnsi="Times New Roman" w:cs="Times New Roman"/>
          <w:sz w:val="21"/>
          <w:szCs w:val="21"/>
        </w:rPr>
        <w:t>——</w:t>
      </w:r>
      <w:r>
        <w:rPr>
          <w:rFonts w:ascii="Times New Roman" w:hAnsi="Times New Roman" w:cs="Times New Roman"/>
          <w:sz w:val="21"/>
          <w:szCs w:val="24"/>
        </w:rPr>
        <w:t>兴利库容（m</w:t>
      </w:r>
      <w:r>
        <w:rPr>
          <w:rFonts w:ascii="Times New Roman" w:hAnsi="Times New Roman" w:cs="Times New Roman"/>
          <w:sz w:val="21"/>
          <w:szCs w:val="24"/>
          <w:vertAlign w:val="superscript"/>
        </w:rPr>
        <w:t>3</w:t>
      </w:r>
      <w:r>
        <w:rPr>
          <w:rFonts w:ascii="Times New Roman" w:hAnsi="Times New Roman" w:cs="Times New Roman"/>
          <w:sz w:val="21"/>
          <w:szCs w:val="24"/>
        </w:rPr>
        <w:t>）；</w:t>
      </w:r>
    </w:p>
    <w:p w14:paraId="49094468">
      <w:pPr>
        <w:spacing w:line="360" w:lineRule="auto"/>
        <w:ind w:firstLine="630" w:firstLineChars="300"/>
        <w:rPr>
          <w:rFonts w:ascii="Times New Roman" w:hAnsi="Times New Roman" w:cs="Times New Roman"/>
          <w:b/>
          <w:sz w:val="24"/>
          <w:szCs w:val="24"/>
        </w:rPr>
      </w:pPr>
      <w:r>
        <w:rPr>
          <w:rFonts w:ascii="Times New Roman" w:hAnsi="Times New Roman" w:cs="Times New Roman"/>
          <w:i/>
          <w:sz w:val="21"/>
          <w:szCs w:val="24"/>
        </w:rPr>
        <w:t>h</w:t>
      </w:r>
      <w:r>
        <w:rPr>
          <w:rFonts w:ascii="Times New Roman" w:hAnsi="Times New Roman" w:cs="Times New Roman"/>
          <w:sz w:val="21"/>
          <w:szCs w:val="24"/>
          <w:vertAlign w:val="subscript"/>
        </w:rPr>
        <w:t>0</w:t>
      </w:r>
      <w:r>
        <w:rPr>
          <w:rFonts w:ascii="Times New Roman" w:hAnsi="Times New Roman" w:cs="Times New Roman"/>
          <w:sz w:val="21"/>
          <w:szCs w:val="21"/>
        </w:rPr>
        <w:t>——</w:t>
      </w:r>
      <w:r>
        <w:rPr>
          <w:rFonts w:ascii="Times New Roman" w:hAnsi="Times New Roman" w:cs="Times New Roman"/>
          <w:sz w:val="21"/>
          <w:szCs w:val="24"/>
        </w:rPr>
        <w:t>流域多年平均径流深（mm）；</w:t>
      </w:r>
    </w:p>
    <w:p w14:paraId="0EF0867F">
      <w:pPr>
        <w:spacing w:line="360" w:lineRule="auto"/>
        <w:ind w:firstLine="630" w:firstLineChars="300"/>
        <w:rPr>
          <w:rFonts w:ascii="Times New Roman" w:hAnsi="Times New Roman" w:cs="Times New Roman"/>
          <w:b/>
          <w:sz w:val="24"/>
          <w:szCs w:val="24"/>
        </w:rPr>
      </w:pPr>
      <w:r>
        <w:rPr>
          <w:rFonts w:ascii="Times New Roman" w:hAnsi="Times New Roman" w:cs="Times New Roman"/>
          <w:i/>
          <w:sz w:val="21"/>
          <w:szCs w:val="24"/>
        </w:rPr>
        <w:t>n</w:t>
      </w:r>
      <w:r>
        <w:rPr>
          <w:rFonts w:ascii="Times New Roman" w:hAnsi="Times New Roman" w:cs="Times New Roman"/>
          <w:sz w:val="21"/>
          <w:szCs w:val="21"/>
        </w:rPr>
        <w:t>——</w:t>
      </w:r>
      <w:r>
        <w:rPr>
          <w:rFonts w:ascii="Times New Roman" w:hAnsi="Times New Roman" w:cs="Times New Roman"/>
          <w:sz w:val="21"/>
          <w:szCs w:val="24"/>
        </w:rPr>
        <w:t>系数，根据实际情况确定，宜取1.5～2.0；</w:t>
      </w:r>
    </w:p>
    <w:p w14:paraId="6137039C">
      <w:pPr>
        <w:spacing w:line="360" w:lineRule="auto"/>
        <w:ind w:firstLine="630" w:firstLineChars="300"/>
        <w:rPr>
          <w:rFonts w:ascii="Times New Roman" w:hAnsi="Times New Roman" w:cs="Times New Roman"/>
          <w:b/>
          <w:sz w:val="24"/>
          <w:szCs w:val="24"/>
        </w:rPr>
      </w:pPr>
      <w:r>
        <w:rPr>
          <w:rFonts w:ascii="Times New Roman" w:hAnsi="Times New Roman" w:cs="Times New Roman"/>
          <w:i/>
          <w:sz w:val="21"/>
          <w:szCs w:val="24"/>
        </w:rPr>
        <w:t>F</w:t>
      </w:r>
      <w:r>
        <w:rPr>
          <w:rFonts w:ascii="Times New Roman" w:hAnsi="Times New Roman" w:cs="Times New Roman"/>
          <w:sz w:val="21"/>
          <w:szCs w:val="21"/>
        </w:rPr>
        <w:t>——</w:t>
      </w:r>
      <w:r>
        <w:rPr>
          <w:rFonts w:ascii="Times New Roman" w:hAnsi="Times New Roman" w:cs="Times New Roman"/>
          <w:sz w:val="21"/>
          <w:szCs w:val="24"/>
        </w:rPr>
        <w:t>流域集水面积（hm</w:t>
      </w:r>
      <w:r>
        <w:rPr>
          <w:rFonts w:ascii="Times New Roman" w:hAnsi="Times New Roman" w:cs="Times New Roman"/>
          <w:sz w:val="21"/>
          <w:szCs w:val="24"/>
          <w:vertAlign w:val="superscript"/>
        </w:rPr>
        <w:t>2</w:t>
      </w:r>
      <w:r>
        <w:rPr>
          <w:rFonts w:ascii="Times New Roman" w:hAnsi="Times New Roman" w:cs="Times New Roman"/>
          <w:sz w:val="21"/>
          <w:szCs w:val="24"/>
        </w:rPr>
        <w:t>）。</w:t>
      </w:r>
    </w:p>
    <w:p w14:paraId="0269B5BF">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塘坝多年平均来水量较大时</w:t>
      </w:r>
      <w:r>
        <w:rPr>
          <w:rFonts w:ascii="Times New Roman" w:hAnsi="Times New Roman" w:cs="Times New Roman"/>
          <w:sz w:val="24"/>
          <w:szCs w:val="24"/>
        </w:rPr>
        <w:t>，</w:t>
      </w:r>
      <w:r>
        <w:rPr>
          <w:rFonts w:ascii="Times New Roman" w:hAnsi="Times New Roman" w:cs="Times New Roman"/>
          <w:sz w:val="21"/>
          <w:szCs w:val="24"/>
        </w:rPr>
        <w:t>可按计算总用水量确定塘坝的兴利库容，兴利库容可视具体情况按计算的总用水量的40%～50%选定。</w:t>
      </w:r>
    </w:p>
    <w:p w14:paraId="65F6299D">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兴利库容确定后，应由塘坝水位库容曲线查算正常蓄水位。</w:t>
      </w:r>
    </w:p>
    <w:p w14:paraId="46570C14">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sz w:val="21"/>
          <w:szCs w:val="24"/>
        </w:rPr>
        <w:t xml:space="preserve">  确定滞洪库容和校核洪水位应符合下列规定：</w:t>
      </w:r>
    </w:p>
    <w:p w14:paraId="7FC6CF8E">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塘坝的调洪演算可用简化方法计算，假定来水过程线为三角形，滞洪库容可按下式计算：</w:t>
      </w:r>
    </w:p>
    <w:p w14:paraId="15D18D2C">
      <w:pPr>
        <w:wordWrap w:val="0"/>
        <w:snapToGrid w:val="0"/>
        <w:spacing w:line="360" w:lineRule="auto"/>
        <w:ind w:firstLine="316" w:firstLineChars="150"/>
        <w:jc w:val="right"/>
        <w:rPr>
          <w:rFonts w:ascii="Times New Roman" w:hAnsi="Times New Roman" w:cs="Times New Roman"/>
          <w:b/>
          <w:sz w:val="24"/>
          <w:szCs w:val="24"/>
        </w:rPr>
      </w:pPr>
      <w:r>
        <w:rPr>
          <w:rFonts w:ascii="Times New Roman" w:hAnsi="Times New Roman" w:cs="Times New Roman"/>
          <w:b/>
          <w:position w:val="-16"/>
          <w:sz w:val="21"/>
          <w:szCs w:val="24"/>
        </w:rPr>
        <w:object>
          <v:shape id="_x0000_i1066" o:spt="75" type="#_x0000_t75" style="height:18.6pt;width:87pt;" o:ole="t" filled="f" o:preferrelative="t" stroked="f" coordsize="21600,21600">
            <v:path/>
            <v:fill on="f" focussize="0,0"/>
            <v:stroke on="f" joinstyle="miter"/>
            <v:imagedata r:id="rId102" o:title=""/>
            <o:lock v:ext="edit" aspectratio="t"/>
            <w10:wrap type="none"/>
            <w10:anchorlock/>
          </v:shape>
          <o:OLEObject Type="Embed" ProgID="Equation.3" ShapeID="_x0000_i1066" DrawAspect="Content" ObjectID="_1468075762" r:id="rId101">
            <o:LockedField>false</o:LockedField>
          </o:OLEObject>
        </w:object>
      </w:r>
      <w:r>
        <w:rPr>
          <w:rFonts w:ascii="Times New Roman" w:hAnsi="Times New Roman" w:cs="Times New Roman"/>
          <w:sz w:val="21"/>
          <w:szCs w:val="24"/>
        </w:rPr>
        <w:t xml:space="preserve">                       （4.6.11）</w:t>
      </w:r>
    </w:p>
    <w:p w14:paraId="32062E27">
      <w:pPr>
        <w:snapToGrid w:val="0"/>
        <w:spacing w:line="360" w:lineRule="auto"/>
        <w:rPr>
          <w:rFonts w:ascii="Times New Roman" w:hAnsi="Times New Roman" w:cs="Times New Roman"/>
          <w:b/>
          <w:sz w:val="24"/>
          <w:szCs w:val="24"/>
        </w:rPr>
      </w:pPr>
      <w:r>
        <w:rPr>
          <w:rFonts w:ascii="Times New Roman" w:hAnsi="Times New Roman" w:cs="Times New Roman"/>
          <w:sz w:val="21"/>
          <w:szCs w:val="24"/>
        </w:rPr>
        <w:t>式中：</w:t>
      </w:r>
      <w:r>
        <w:rPr>
          <w:rFonts w:ascii="Times New Roman" w:hAnsi="Times New Roman" w:cs="Times New Roman"/>
          <w:i/>
          <w:sz w:val="21"/>
          <w:szCs w:val="24"/>
        </w:rPr>
        <w:t>q</w:t>
      </w:r>
      <w:r>
        <w:rPr>
          <w:rFonts w:ascii="Times New Roman" w:hAnsi="Times New Roman" w:cs="Times New Roman"/>
          <w:sz w:val="21"/>
          <w:szCs w:val="24"/>
          <w:vertAlign w:val="subscript"/>
        </w:rPr>
        <w:t>泄</w:t>
      </w:r>
      <w:r>
        <w:rPr>
          <w:rFonts w:ascii="Times New Roman" w:hAnsi="Times New Roman" w:cs="Times New Roman"/>
          <w:sz w:val="21"/>
          <w:szCs w:val="21"/>
        </w:rPr>
        <w:t>——</w:t>
      </w:r>
      <w:r>
        <w:rPr>
          <w:rFonts w:ascii="Times New Roman" w:hAnsi="Times New Roman" w:cs="Times New Roman"/>
          <w:sz w:val="21"/>
          <w:szCs w:val="24"/>
        </w:rPr>
        <w:t>溢洪道最大下泄流量（m</w:t>
      </w:r>
      <w:r>
        <w:rPr>
          <w:rFonts w:ascii="Times New Roman" w:hAnsi="Times New Roman" w:cs="Times New Roman"/>
          <w:sz w:val="21"/>
          <w:szCs w:val="24"/>
          <w:vertAlign w:val="superscript"/>
        </w:rPr>
        <w:t>3</w:t>
      </w:r>
      <w:r>
        <w:rPr>
          <w:rFonts w:ascii="Times New Roman" w:hAnsi="Times New Roman" w:cs="Times New Roman"/>
          <w:sz w:val="21"/>
          <w:szCs w:val="24"/>
        </w:rPr>
        <w:t>/s）；</w:t>
      </w:r>
    </w:p>
    <w:p w14:paraId="41E5CFE4">
      <w:pPr>
        <w:snapToGrid w:val="0"/>
        <w:spacing w:line="360" w:lineRule="auto"/>
        <w:ind w:firstLine="707" w:firstLineChars="337"/>
        <w:rPr>
          <w:rFonts w:ascii="Times New Roman" w:hAnsi="Times New Roman" w:cs="Times New Roman"/>
          <w:b/>
          <w:sz w:val="24"/>
          <w:szCs w:val="24"/>
        </w:rPr>
      </w:pPr>
      <w:r>
        <w:rPr>
          <w:rFonts w:ascii="Times New Roman" w:hAnsi="Times New Roman" w:cs="Times New Roman"/>
          <w:i/>
          <w:sz w:val="21"/>
          <w:szCs w:val="24"/>
        </w:rPr>
        <w:t>Q</w:t>
      </w:r>
      <w:r>
        <w:rPr>
          <w:rFonts w:ascii="Times New Roman" w:hAnsi="Times New Roman" w:cs="Times New Roman"/>
          <w:sz w:val="21"/>
          <w:szCs w:val="21"/>
        </w:rPr>
        <w:t>——</w:t>
      </w:r>
      <w:r>
        <w:rPr>
          <w:rFonts w:ascii="Times New Roman" w:hAnsi="Times New Roman" w:cs="Times New Roman"/>
          <w:sz w:val="21"/>
          <w:szCs w:val="24"/>
        </w:rPr>
        <w:t>设计洪峰流量（m</w:t>
      </w:r>
      <w:r>
        <w:rPr>
          <w:rFonts w:ascii="Times New Roman" w:hAnsi="Times New Roman" w:cs="Times New Roman"/>
          <w:sz w:val="21"/>
          <w:szCs w:val="24"/>
          <w:vertAlign w:val="superscript"/>
        </w:rPr>
        <w:t>3</w:t>
      </w:r>
      <w:r>
        <w:rPr>
          <w:rFonts w:ascii="Times New Roman" w:hAnsi="Times New Roman" w:cs="Times New Roman"/>
          <w:sz w:val="21"/>
          <w:szCs w:val="24"/>
        </w:rPr>
        <w:t>/s）；</w:t>
      </w:r>
    </w:p>
    <w:p w14:paraId="4CBE777E">
      <w:pPr>
        <w:snapToGrid w:val="0"/>
        <w:spacing w:line="360" w:lineRule="auto"/>
        <w:ind w:firstLine="630" w:firstLineChars="300"/>
        <w:rPr>
          <w:rFonts w:ascii="Times New Roman" w:hAnsi="Times New Roman" w:cs="Times New Roman"/>
          <w:b/>
          <w:sz w:val="24"/>
          <w:szCs w:val="24"/>
        </w:rPr>
      </w:pPr>
      <w:r>
        <w:rPr>
          <w:rFonts w:ascii="Times New Roman" w:hAnsi="Times New Roman" w:cs="Times New Roman"/>
          <w:i/>
          <w:sz w:val="21"/>
          <w:szCs w:val="24"/>
        </w:rPr>
        <w:t>V</w:t>
      </w:r>
      <w:r>
        <w:rPr>
          <w:rFonts w:ascii="Times New Roman" w:hAnsi="Times New Roman" w:cs="Times New Roman"/>
          <w:sz w:val="21"/>
          <w:szCs w:val="24"/>
          <w:vertAlign w:val="subscript"/>
        </w:rPr>
        <w:t>滞</w:t>
      </w:r>
      <w:r>
        <w:rPr>
          <w:rFonts w:ascii="Times New Roman" w:hAnsi="Times New Roman" w:cs="Times New Roman"/>
          <w:sz w:val="21"/>
          <w:szCs w:val="21"/>
        </w:rPr>
        <w:t>——</w:t>
      </w:r>
      <w:r>
        <w:rPr>
          <w:rFonts w:ascii="Times New Roman" w:hAnsi="Times New Roman" w:cs="Times New Roman"/>
          <w:sz w:val="21"/>
          <w:szCs w:val="24"/>
        </w:rPr>
        <w:t>滞洪库容（m</w:t>
      </w:r>
      <w:r>
        <w:rPr>
          <w:rFonts w:ascii="Times New Roman" w:hAnsi="Times New Roman" w:cs="Times New Roman"/>
          <w:sz w:val="21"/>
          <w:szCs w:val="24"/>
          <w:vertAlign w:val="superscript"/>
        </w:rPr>
        <w:t>3</w:t>
      </w:r>
      <w:r>
        <w:rPr>
          <w:rFonts w:ascii="Times New Roman" w:hAnsi="Times New Roman" w:cs="Times New Roman"/>
          <w:sz w:val="21"/>
          <w:szCs w:val="24"/>
        </w:rPr>
        <w:t>）；</w:t>
      </w:r>
    </w:p>
    <w:p w14:paraId="2E6FB849">
      <w:pPr>
        <w:snapToGrid w:val="0"/>
        <w:spacing w:line="360" w:lineRule="auto"/>
        <w:ind w:firstLine="638" w:firstLineChars="304"/>
        <w:rPr>
          <w:rFonts w:ascii="Times New Roman" w:hAnsi="Times New Roman" w:cs="Times New Roman"/>
          <w:b/>
          <w:sz w:val="24"/>
          <w:szCs w:val="24"/>
        </w:rPr>
      </w:pPr>
      <w:r>
        <w:rPr>
          <w:rFonts w:ascii="Times New Roman" w:hAnsi="Times New Roman" w:cs="Times New Roman"/>
          <w:i/>
          <w:sz w:val="21"/>
          <w:szCs w:val="24"/>
        </w:rPr>
        <w:t>W</w:t>
      </w:r>
      <w:r>
        <w:rPr>
          <w:rFonts w:ascii="Times New Roman" w:hAnsi="Times New Roman" w:cs="Times New Roman"/>
          <w:sz w:val="21"/>
          <w:szCs w:val="21"/>
        </w:rPr>
        <w:t>——</w:t>
      </w:r>
      <w:r>
        <w:rPr>
          <w:rFonts w:ascii="Times New Roman" w:hAnsi="Times New Roman" w:cs="Times New Roman"/>
          <w:sz w:val="21"/>
          <w:szCs w:val="24"/>
        </w:rPr>
        <w:t>校核洪水总量（m</w:t>
      </w:r>
      <w:r>
        <w:rPr>
          <w:rFonts w:ascii="Times New Roman" w:hAnsi="Times New Roman" w:cs="Times New Roman"/>
          <w:sz w:val="21"/>
          <w:szCs w:val="24"/>
          <w:vertAlign w:val="superscript"/>
        </w:rPr>
        <w:t>3</w:t>
      </w:r>
      <w:r>
        <w:rPr>
          <w:rFonts w:ascii="Times New Roman" w:hAnsi="Times New Roman" w:cs="Times New Roman"/>
          <w:sz w:val="21"/>
          <w:szCs w:val="24"/>
        </w:rPr>
        <w:t>）。</w:t>
      </w:r>
    </w:p>
    <w:p w14:paraId="410C5EA9">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 xml:space="preserve">2 </w:t>
      </w:r>
      <w:r>
        <w:rPr>
          <w:rFonts w:ascii="Times New Roman" w:hAnsi="Times New Roman" w:cs="Times New Roman"/>
          <w:sz w:val="21"/>
          <w:szCs w:val="24"/>
        </w:rPr>
        <w:t xml:space="preserve"> 调洪库容确定后，应由塘坝库容曲线查算校核洪水位。</w:t>
      </w:r>
    </w:p>
    <w:p w14:paraId="4B6AE853">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Ⅴ 坝体设计</w:t>
      </w:r>
    </w:p>
    <w:p w14:paraId="1F4CD9D7">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12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塘坝断面设计应符合下列要求：</w:t>
      </w:r>
    </w:p>
    <w:p w14:paraId="033B8FB4">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坝顶高程应为校核洪水位加坝顶安全超高，坝顶安全超高值应采用0.5m～1.0m。</w:t>
      </w:r>
    </w:p>
    <w:p w14:paraId="75B01FA7">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坝顶宽度应满足施工和运行检修要求。当坝顶有交通要求时路面宽度宜按公路标准确定。对于心墙坝或斜墙坝，坝顶宽度应能满足心墙、斜墙及反滤过渡层的布置要求，在寒冷地区，粘土心墙或斜墙上下游侧保护土层厚度应大于当地冻结深度。</w:t>
      </w:r>
    </w:p>
    <w:p w14:paraId="40299856">
      <w:pPr>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cs="Times New Roman"/>
          <w:b/>
          <w:sz w:val="21"/>
          <w:szCs w:val="24"/>
        </w:rPr>
        <w:t xml:space="preserve"> </w:t>
      </w:r>
      <w:r>
        <w:rPr>
          <w:rFonts w:ascii="Times New Roman" w:hAnsi="Times New Roman" w:cs="Times New Roman"/>
          <w:sz w:val="21"/>
          <w:szCs w:val="24"/>
        </w:rPr>
        <w:t xml:space="preserve"> 坝体断面宜采用梯形。坝体断面设计应根据坝高、建筑材料、坝址的地形和地基条件，以及当地的水文、气象、施工等因素合理确定。</w:t>
      </w:r>
    </w:p>
    <w:p w14:paraId="0DEC0322">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 xml:space="preserve"> </w:t>
      </w:r>
      <w:r>
        <w:rPr>
          <w:rFonts w:ascii="Times New Roman" w:hAnsi="Times New Roman" w:cs="Times New Roman"/>
          <w:sz w:val="21"/>
          <w:szCs w:val="24"/>
        </w:rPr>
        <w:t xml:space="preserve"> 滚水坝顶部应为堰面曲线，底部应采用反弧曲线与下游消能设施衔接，各段间宜采用切线连接。</w:t>
      </w:r>
    </w:p>
    <w:p w14:paraId="0DE50042">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14</w:t>
      </w:r>
      <w:r>
        <w:rPr>
          <w:rFonts w:ascii="Times New Roman" w:hAnsi="Times New Roman" w:cs="Times New Roman"/>
          <w:sz w:val="21"/>
          <w:szCs w:val="24"/>
        </w:rPr>
        <w:t xml:space="preserve">  结构设计应符合下列要求：</w:t>
      </w:r>
    </w:p>
    <w:p w14:paraId="06BB29F1">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采用砌石坝或混凝土坝时，结构设计应包括应力计算和抗滑稳定计算，坝高低于5m的应力计算和抗滑稳定计算可适当简化。</w:t>
      </w:r>
    </w:p>
    <w:p w14:paraId="0106ED2D">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基本荷载应包括下列内容：</w:t>
      </w:r>
    </w:p>
    <w:p w14:paraId="67AA9146">
      <w:pPr>
        <w:spacing w:line="360" w:lineRule="auto"/>
        <w:ind w:firstLine="624" w:firstLineChars="296"/>
        <w:rPr>
          <w:rFonts w:ascii="Times New Roman" w:hAnsi="Times New Roman" w:cs="Times New Roman"/>
          <w:b/>
          <w:sz w:val="24"/>
          <w:szCs w:val="24"/>
        </w:rPr>
      </w:pPr>
      <w:r>
        <w:rPr>
          <w:rFonts w:ascii="Times New Roman" w:hAnsi="Times New Roman" w:eastAsia="黑体" w:cs="Times New Roman"/>
          <w:b/>
          <w:sz w:val="21"/>
          <w:szCs w:val="24"/>
        </w:rPr>
        <w:t>1</w:t>
      </w:r>
      <w:r>
        <w:rPr>
          <w:rFonts w:hint="eastAsia" w:asciiTheme="majorEastAsia" w:hAnsiTheme="majorEastAsia" w:eastAsiaTheme="majorEastAsia" w:cstheme="majorEastAsia"/>
          <w:sz w:val="21"/>
          <w:szCs w:val="24"/>
        </w:rPr>
        <w:t>）</w:t>
      </w:r>
      <w:r>
        <w:rPr>
          <w:rFonts w:ascii="Times New Roman" w:hAnsi="Times New Roman" w:cs="Times New Roman"/>
          <w:sz w:val="21"/>
          <w:szCs w:val="24"/>
        </w:rPr>
        <w:t>坝体自重；</w:t>
      </w:r>
    </w:p>
    <w:p w14:paraId="4E65CB1C">
      <w:pPr>
        <w:spacing w:line="360" w:lineRule="auto"/>
        <w:ind w:firstLine="624" w:firstLineChars="296"/>
        <w:rPr>
          <w:rFonts w:ascii="Times New Roman" w:hAnsi="Times New Roman" w:cs="Times New Roman"/>
          <w:b/>
          <w:sz w:val="24"/>
          <w:szCs w:val="24"/>
        </w:rPr>
      </w:pPr>
      <w:r>
        <w:rPr>
          <w:rFonts w:ascii="Times New Roman" w:hAnsi="Times New Roman" w:eastAsia="黑体" w:cs="Times New Roman"/>
          <w:b/>
          <w:sz w:val="21"/>
          <w:szCs w:val="24"/>
        </w:rPr>
        <w:t>2</w:t>
      </w:r>
      <w:r>
        <w:rPr>
          <w:rFonts w:hint="eastAsia" w:asciiTheme="majorEastAsia" w:hAnsiTheme="majorEastAsia" w:eastAsiaTheme="majorEastAsia" w:cstheme="majorEastAsia"/>
          <w:sz w:val="21"/>
          <w:szCs w:val="24"/>
        </w:rPr>
        <w:t>）</w:t>
      </w:r>
      <w:r>
        <w:rPr>
          <w:rFonts w:ascii="Times New Roman" w:hAnsi="Times New Roman" w:cs="Times New Roman"/>
          <w:sz w:val="21"/>
          <w:szCs w:val="24"/>
        </w:rPr>
        <w:t>正常蓄水位或设计洪水位时坝上游面、下游面的静水压力；</w:t>
      </w:r>
    </w:p>
    <w:p w14:paraId="6D8A0919">
      <w:pPr>
        <w:spacing w:line="360" w:lineRule="auto"/>
        <w:ind w:firstLine="624" w:firstLineChars="296"/>
        <w:rPr>
          <w:rFonts w:ascii="Times New Roman" w:hAnsi="Times New Roman" w:cs="Times New Roman"/>
          <w:b/>
          <w:sz w:val="24"/>
          <w:szCs w:val="24"/>
        </w:rPr>
      </w:pPr>
      <w:r>
        <w:rPr>
          <w:rFonts w:ascii="Times New Roman" w:hAnsi="Times New Roman" w:eastAsia="黑体" w:cs="Times New Roman"/>
          <w:b/>
          <w:sz w:val="21"/>
          <w:szCs w:val="24"/>
        </w:rPr>
        <w:t>3</w:t>
      </w:r>
      <w:r>
        <w:rPr>
          <w:rFonts w:hint="eastAsia" w:asciiTheme="majorEastAsia" w:hAnsiTheme="majorEastAsia" w:eastAsiaTheme="majorEastAsia" w:cstheme="majorEastAsia"/>
          <w:sz w:val="21"/>
          <w:szCs w:val="24"/>
        </w:rPr>
        <w:t>）</w:t>
      </w:r>
      <w:r>
        <w:rPr>
          <w:rFonts w:ascii="Times New Roman" w:hAnsi="Times New Roman" w:cs="Times New Roman"/>
          <w:sz w:val="21"/>
          <w:szCs w:val="24"/>
        </w:rPr>
        <w:t>扬压力；</w:t>
      </w:r>
    </w:p>
    <w:p w14:paraId="2F4DC26B">
      <w:pPr>
        <w:spacing w:line="360" w:lineRule="auto"/>
        <w:ind w:firstLine="624" w:firstLineChars="296"/>
        <w:rPr>
          <w:rFonts w:ascii="Times New Roman" w:hAnsi="Times New Roman" w:cs="Times New Roman"/>
          <w:b/>
          <w:sz w:val="24"/>
          <w:szCs w:val="24"/>
        </w:rPr>
      </w:pPr>
      <w:r>
        <w:rPr>
          <w:rFonts w:ascii="Times New Roman" w:hAnsi="Times New Roman" w:eastAsia="黑体" w:cs="Times New Roman"/>
          <w:b/>
          <w:sz w:val="21"/>
          <w:szCs w:val="24"/>
        </w:rPr>
        <w:t>4</w:t>
      </w:r>
      <w:r>
        <w:rPr>
          <w:rFonts w:hint="eastAsia" w:asciiTheme="majorEastAsia" w:hAnsiTheme="majorEastAsia" w:eastAsiaTheme="majorEastAsia" w:cstheme="majorEastAsia"/>
          <w:sz w:val="21"/>
          <w:szCs w:val="24"/>
        </w:rPr>
        <w:t>）</w:t>
      </w:r>
      <w:r>
        <w:rPr>
          <w:rFonts w:ascii="Times New Roman" w:hAnsi="Times New Roman" w:cs="Times New Roman"/>
          <w:sz w:val="21"/>
          <w:szCs w:val="24"/>
        </w:rPr>
        <w:t>淤沙压力；</w:t>
      </w:r>
    </w:p>
    <w:p w14:paraId="64E9C006">
      <w:pPr>
        <w:spacing w:line="360" w:lineRule="auto"/>
        <w:ind w:firstLine="624" w:firstLineChars="296"/>
        <w:rPr>
          <w:rFonts w:ascii="Times New Roman" w:hAnsi="Times New Roman" w:cs="Times New Roman"/>
          <w:b/>
          <w:sz w:val="24"/>
          <w:szCs w:val="24"/>
        </w:rPr>
      </w:pPr>
      <w:r>
        <w:rPr>
          <w:rFonts w:ascii="Times New Roman" w:hAnsi="Times New Roman" w:eastAsia="黑体" w:cs="Times New Roman"/>
          <w:b/>
          <w:sz w:val="21"/>
          <w:szCs w:val="24"/>
        </w:rPr>
        <w:t>5</w:t>
      </w:r>
      <w:r>
        <w:rPr>
          <w:rFonts w:hint="eastAsia" w:asciiTheme="majorEastAsia" w:hAnsiTheme="majorEastAsia" w:eastAsiaTheme="majorEastAsia" w:cstheme="majorEastAsia"/>
          <w:sz w:val="21"/>
          <w:szCs w:val="24"/>
        </w:rPr>
        <w:t>）</w:t>
      </w:r>
      <w:r>
        <w:rPr>
          <w:rFonts w:ascii="Times New Roman" w:hAnsi="Times New Roman" w:cs="Times New Roman"/>
          <w:sz w:val="21"/>
          <w:szCs w:val="24"/>
        </w:rPr>
        <w:t>正常蓄水位或设计洪水位时的浪压力；</w:t>
      </w:r>
    </w:p>
    <w:p w14:paraId="2FECC0BC">
      <w:pPr>
        <w:spacing w:line="360" w:lineRule="auto"/>
        <w:ind w:firstLine="624" w:firstLineChars="296"/>
        <w:rPr>
          <w:rFonts w:ascii="Times New Roman" w:hAnsi="Times New Roman" w:cs="Times New Roman"/>
          <w:b/>
          <w:sz w:val="24"/>
          <w:szCs w:val="24"/>
        </w:rPr>
      </w:pPr>
      <w:r>
        <w:rPr>
          <w:rFonts w:ascii="Times New Roman" w:hAnsi="Times New Roman" w:eastAsia="黑体" w:cs="Times New Roman"/>
          <w:b/>
          <w:sz w:val="21"/>
          <w:szCs w:val="24"/>
        </w:rPr>
        <w:t>6</w:t>
      </w:r>
      <w:r>
        <w:rPr>
          <w:rFonts w:hint="eastAsia" w:asciiTheme="majorEastAsia" w:hAnsiTheme="majorEastAsia" w:eastAsiaTheme="majorEastAsia" w:cstheme="majorEastAsia"/>
          <w:sz w:val="21"/>
          <w:szCs w:val="24"/>
        </w:rPr>
        <w:t>）</w:t>
      </w:r>
      <w:r>
        <w:rPr>
          <w:rFonts w:ascii="Times New Roman" w:hAnsi="Times New Roman" w:cs="Times New Roman"/>
          <w:sz w:val="21"/>
          <w:szCs w:val="24"/>
        </w:rPr>
        <w:t>冰压力；</w:t>
      </w:r>
    </w:p>
    <w:p w14:paraId="271C620D">
      <w:pPr>
        <w:spacing w:line="360" w:lineRule="auto"/>
        <w:ind w:firstLine="624" w:firstLineChars="296"/>
        <w:rPr>
          <w:rFonts w:ascii="Times New Roman" w:hAnsi="Times New Roman" w:cs="Times New Roman"/>
          <w:b/>
          <w:sz w:val="24"/>
          <w:szCs w:val="24"/>
        </w:rPr>
      </w:pPr>
      <w:r>
        <w:rPr>
          <w:rFonts w:ascii="Times New Roman" w:hAnsi="Times New Roman" w:eastAsia="黑体" w:cs="Times New Roman"/>
          <w:b/>
          <w:sz w:val="21"/>
          <w:szCs w:val="24"/>
        </w:rPr>
        <w:t>7</w:t>
      </w:r>
      <w:r>
        <w:rPr>
          <w:rFonts w:hint="eastAsia" w:asciiTheme="majorEastAsia" w:hAnsiTheme="majorEastAsia" w:eastAsiaTheme="majorEastAsia" w:cstheme="majorEastAsia"/>
          <w:sz w:val="21"/>
          <w:szCs w:val="24"/>
        </w:rPr>
        <w:t>）</w:t>
      </w:r>
      <w:r>
        <w:rPr>
          <w:rFonts w:ascii="Times New Roman" w:hAnsi="Times New Roman" w:cs="Times New Roman"/>
          <w:sz w:val="21"/>
          <w:szCs w:val="24"/>
        </w:rPr>
        <w:t>土压力；</w:t>
      </w:r>
    </w:p>
    <w:p w14:paraId="578BB2C9">
      <w:pPr>
        <w:spacing w:line="360" w:lineRule="auto"/>
        <w:ind w:firstLine="624" w:firstLineChars="296"/>
        <w:rPr>
          <w:rFonts w:ascii="Times New Roman" w:hAnsi="Times New Roman" w:cs="Times New Roman"/>
          <w:b/>
          <w:sz w:val="24"/>
          <w:szCs w:val="24"/>
        </w:rPr>
      </w:pPr>
      <w:r>
        <w:rPr>
          <w:rFonts w:ascii="Times New Roman" w:hAnsi="Times New Roman" w:eastAsia="黑体" w:cs="Times New Roman"/>
          <w:b/>
          <w:sz w:val="21"/>
          <w:szCs w:val="24"/>
        </w:rPr>
        <w:t>8</w:t>
      </w:r>
      <w:r>
        <w:rPr>
          <w:rFonts w:hint="eastAsia" w:ascii="宋体" w:hAnsi="宋体"/>
          <w:sz w:val="21"/>
          <w:szCs w:val="24"/>
        </w:rPr>
        <w:t>）</w:t>
      </w:r>
      <w:r>
        <w:rPr>
          <w:rFonts w:ascii="Times New Roman" w:hAnsi="Times New Roman" w:cs="Times New Roman"/>
          <w:sz w:val="21"/>
          <w:szCs w:val="24"/>
        </w:rPr>
        <w:t>其他出现机会较多的荷载。</w:t>
      </w:r>
    </w:p>
    <w:p w14:paraId="5B6799CE">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特殊荷载应包括下列内容：</w:t>
      </w:r>
    </w:p>
    <w:p w14:paraId="62057940">
      <w:pPr>
        <w:spacing w:line="360" w:lineRule="auto"/>
        <w:ind w:firstLine="624" w:firstLineChars="296"/>
        <w:rPr>
          <w:rFonts w:ascii="Times New Roman" w:hAnsi="Times New Roman" w:cs="Times New Roman"/>
          <w:b/>
          <w:sz w:val="24"/>
          <w:szCs w:val="24"/>
        </w:rPr>
      </w:pPr>
      <w:r>
        <w:rPr>
          <w:rFonts w:ascii="Times New Roman" w:hAnsi="Times New Roman" w:eastAsia="黑体" w:cs="Times New Roman"/>
          <w:b/>
          <w:sz w:val="21"/>
          <w:szCs w:val="24"/>
        </w:rPr>
        <w:t>1</w:t>
      </w:r>
      <w:r>
        <w:rPr>
          <w:rFonts w:hint="eastAsia" w:ascii="宋体" w:hAnsi="宋体"/>
          <w:sz w:val="21"/>
          <w:szCs w:val="24"/>
        </w:rPr>
        <w:t>）</w:t>
      </w:r>
      <w:r>
        <w:rPr>
          <w:rFonts w:ascii="Times New Roman" w:hAnsi="Times New Roman" w:cs="Times New Roman"/>
          <w:sz w:val="21"/>
          <w:szCs w:val="24"/>
        </w:rPr>
        <w:t>校核洪水位时坝上游面、下游面的静水压力；</w:t>
      </w:r>
    </w:p>
    <w:p w14:paraId="285D98CD">
      <w:pPr>
        <w:spacing w:line="360" w:lineRule="auto"/>
        <w:ind w:firstLine="624" w:firstLineChars="296"/>
        <w:rPr>
          <w:rFonts w:ascii="Times New Roman" w:hAnsi="Times New Roman" w:cs="Times New Roman"/>
          <w:b/>
          <w:sz w:val="24"/>
          <w:szCs w:val="24"/>
        </w:rPr>
      </w:pPr>
      <w:r>
        <w:rPr>
          <w:rFonts w:ascii="Times New Roman" w:hAnsi="Times New Roman" w:eastAsia="黑体" w:cs="Times New Roman"/>
          <w:b/>
          <w:sz w:val="21"/>
          <w:szCs w:val="24"/>
        </w:rPr>
        <w:t>2</w:t>
      </w:r>
      <w:r>
        <w:rPr>
          <w:rFonts w:hint="eastAsia" w:ascii="宋体" w:hAnsi="宋体"/>
          <w:sz w:val="21"/>
          <w:szCs w:val="24"/>
        </w:rPr>
        <w:t>）</w:t>
      </w:r>
      <w:r>
        <w:rPr>
          <w:rFonts w:ascii="Times New Roman" w:hAnsi="Times New Roman" w:cs="Times New Roman"/>
          <w:sz w:val="21"/>
          <w:szCs w:val="24"/>
        </w:rPr>
        <w:t>校核洪水位时的扬压力、校核洪水位时的浪压力；</w:t>
      </w:r>
    </w:p>
    <w:p w14:paraId="7AD82AFA">
      <w:pPr>
        <w:spacing w:line="360" w:lineRule="auto"/>
        <w:ind w:firstLine="624" w:firstLineChars="296"/>
        <w:rPr>
          <w:rFonts w:ascii="Times New Roman" w:hAnsi="Times New Roman" w:cs="Times New Roman"/>
          <w:b/>
          <w:sz w:val="24"/>
          <w:szCs w:val="24"/>
        </w:rPr>
      </w:pPr>
      <w:r>
        <w:rPr>
          <w:rFonts w:ascii="Times New Roman" w:hAnsi="Times New Roman" w:eastAsia="黑体" w:cs="Times New Roman"/>
          <w:b/>
          <w:sz w:val="21"/>
          <w:szCs w:val="24"/>
        </w:rPr>
        <w:t>3</w:t>
      </w:r>
      <w:r>
        <w:rPr>
          <w:rFonts w:hint="eastAsia" w:ascii="宋体" w:hAnsi="宋体"/>
          <w:sz w:val="21"/>
          <w:szCs w:val="24"/>
        </w:rPr>
        <w:t>）</w:t>
      </w:r>
      <w:r>
        <w:rPr>
          <w:rFonts w:ascii="Times New Roman" w:hAnsi="Times New Roman" w:cs="Times New Roman"/>
          <w:sz w:val="21"/>
          <w:szCs w:val="24"/>
        </w:rPr>
        <w:t>地震荷载；</w:t>
      </w:r>
    </w:p>
    <w:p w14:paraId="57BA17D5">
      <w:pPr>
        <w:spacing w:line="360" w:lineRule="auto"/>
        <w:ind w:firstLine="624" w:firstLineChars="296"/>
        <w:rPr>
          <w:rFonts w:ascii="Times New Roman" w:hAnsi="Times New Roman" w:cs="Times New Roman"/>
          <w:b/>
          <w:sz w:val="24"/>
          <w:szCs w:val="24"/>
        </w:rPr>
      </w:pPr>
      <w:r>
        <w:rPr>
          <w:rFonts w:ascii="Times New Roman" w:hAnsi="Times New Roman" w:eastAsia="黑体" w:cs="Times New Roman"/>
          <w:b/>
          <w:sz w:val="21"/>
          <w:szCs w:val="24"/>
        </w:rPr>
        <w:t>4</w:t>
      </w:r>
      <w:r>
        <w:rPr>
          <w:rFonts w:hint="eastAsia" w:ascii="宋体" w:hAnsi="宋体"/>
          <w:sz w:val="21"/>
          <w:szCs w:val="24"/>
        </w:rPr>
        <w:t>）</w:t>
      </w:r>
      <w:r>
        <w:rPr>
          <w:rFonts w:ascii="Times New Roman" w:hAnsi="Times New Roman" w:cs="Times New Roman"/>
          <w:sz w:val="21"/>
          <w:szCs w:val="24"/>
        </w:rPr>
        <w:t>其他出现机会很少的荷载。</w:t>
      </w:r>
    </w:p>
    <w:p w14:paraId="67B419E1">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抗滑稳定及坝体应力计算的荷载组合应分为基本组合和特殊组合两种。荷载组合应按表4.6.14的规定选择。</w:t>
      </w:r>
    </w:p>
    <w:p w14:paraId="4E2E2CCD">
      <w:pPr>
        <w:jc w:val="center"/>
        <w:rPr>
          <w:rFonts w:ascii="Times New Roman" w:hAnsi="Times New Roman" w:eastAsia="黑体" w:cs="Times New Roman"/>
          <w:b/>
          <w:sz w:val="18"/>
          <w:szCs w:val="18"/>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6</w:t>
      </w:r>
      <w:r>
        <w:rPr>
          <w:rFonts w:ascii="Times New Roman" w:hAnsi="Times New Roman" w:cs="Times New Roman"/>
          <w:sz w:val="18"/>
          <w:szCs w:val="18"/>
        </w:rPr>
        <w:t>.</w:t>
      </w:r>
      <w:r>
        <w:rPr>
          <w:rFonts w:ascii="Times New Roman" w:hAnsi="Times New Roman" w:eastAsia="黑体" w:cs="Times New Roman"/>
          <w:sz w:val="18"/>
          <w:szCs w:val="18"/>
        </w:rPr>
        <w:t>14  荷载组合表</w:t>
      </w:r>
    </w:p>
    <w:tbl>
      <w:tblPr>
        <w:tblStyle w:val="10"/>
        <w:tblW w:w="8515" w:type="dxa"/>
        <w:tblInd w:w="12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94"/>
        <w:gridCol w:w="850"/>
        <w:gridCol w:w="565"/>
        <w:gridCol w:w="567"/>
        <w:gridCol w:w="567"/>
        <w:gridCol w:w="567"/>
        <w:gridCol w:w="567"/>
        <w:gridCol w:w="567"/>
        <w:gridCol w:w="567"/>
        <w:gridCol w:w="567"/>
        <w:gridCol w:w="567"/>
        <w:gridCol w:w="567"/>
        <w:gridCol w:w="1603"/>
      </w:tblGrid>
      <w:tr w14:paraId="00537C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94" w:type="dxa"/>
            <w:vMerge w:val="restart"/>
            <w:vAlign w:val="center"/>
          </w:tcPr>
          <w:p w14:paraId="163D1C26">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荷载组合</w:t>
            </w:r>
          </w:p>
        </w:tc>
        <w:tc>
          <w:tcPr>
            <w:tcW w:w="850" w:type="dxa"/>
            <w:vMerge w:val="restart"/>
            <w:vAlign w:val="center"/>
          </w:tcPr>
          <w:p w14:paraId="6DEB3794">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主要考虑</w:t>
            </w:r>
          </w:p>
          <w:p w14:paraId="0534C486">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情况</w:t>
            </w:r>
          </w:p>
        </w:tc>
        <w:tc>
          <w:tcPr>
            <w:tcW w:w="5668" w:type="dxa"/>
            <w:gridSpan w:val="10"/>
            <w:vAlign w:val="center"/>
          </w:tcPr>
          <w:p w14:paraId="27A5E23E">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荷载</w:t>
            </w:r>
          </w:p>
        </w:tc>
        <w:tc>
          <w:tcPr>
            <w:tcW w:w="1603" w:type="dxa"/>
            <w:vMerge w:val="restart"/>
            <w:vAlign w:val="center"/>
          </w:tcPr>
          <w:p w14:paraId="3B652D9A">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附注</w:t>
            </w:r>
          </w:p>
        </w:tc>
      </w:tr>
      <w:tr w14:paraId="3AB63A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vMerge w:val="continue"/>
            <w:vAlign w:val="center"/>
          </w:tcPr>
          <w:p w14:paraId="5E3CFB42">
            <w:pPr>
              <w:widowControl/>
              <w:adjustRightInd w:val="0"/>
              <w:snapToGrid w:val="0"/>
              <w:jc w:val="center"/>
              <w:rPr>
                <w:rFonts w:ascii="Times New Roman" w:hAnsi="Times New Roman" w:cs="Times New Roman"/>
                <w:b/>
                <w:kern w:val="0"/>
                <w:sz w:val="15"/>
                <w:szCs w:val="15"/>
              </w:rPr>
            </w:pPr>
          </w:p>
        </w:tc>
        <w:tc>
          <w:tcPr>
            <w:tcW w:w="850" w:type="dxa"/>
            <w:vMerge w:val="continue"/>
            <w:vAlign w:val="center"/>
          </w:tcPr>
          <w:p w14:paraId="59D524A7">
            <w:pPr>
              <w:widowControl/>
              <w:adjustRightInd w:val="0"/>
              <w:snapToGrid w:val="0"/>
              <w:jc w:val="center"/>
              <w:rPr>
                <w:rFonts w:ascii="Times New Roman" w:hAnsi="Times New Roman" w:cs="Times New Roman"/>
                <w:b/>
                <w:kern w:val="0"/>
                <w:sz w:val="15"/>
                <w:szCs w:val="15"/>
              </w:rPr>
            </w:pPr>
          </w:p>
        </w:tc>
        <w:tc>
          <w:tcPr>
            <w:tcW w:w="565" w:type="dxa"/>
            <w:vAlign w:val="center"/>
          </w:tcPr>
          <w:p w14:paraId="0FFD5BEA">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自重</w:t>
            </w:r>
          </w:p>
        </w:tc>
        <w:tc>
          <w:tcPr>
            <w:tcW w:w="567" w:type="dxa"/>
            <w:vAlign w:val="center"/>
          </w:tcPr>
          <w:p w14:paraId="63F594F6">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静水</w:t>
            </w:r>
          </w:p>
          <w:p w14:paraId="1165CE85">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压力</w:t>
            </w:r>
          </w:p>
        </w:tc>
        <w:tc>
          <w:tcPr>
            <w:tcW w:w="567" w:type="dxa"/>
            <w:vAlign w:val="center"/>
          </w:tcPr>
          <w:p w14:paraId="021F916F">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扬压力</w:t>
            </w:r>
          </w:p>
        </w:tc>
        <w:tc>
          <w:tcPr>
            <w:tcW w:w="567" w:type="dxa"/>
            <w:vAlign w:val="center"/>
          </w:tcPr>
          <w:p w14:paraId="5769F20E">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淤沙压力</w:t>
            </w:r>
          </w:p>
        </w:tc>
        <w:tc>
          <w:tcPr>
            <w:tcW w:w="567" w:type="dxa"/>
            <w:vAlign w:val="center"/>
          </w:tcPr>
          <w:p w14:paraId="3D3E7F1C">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浪压力</w:t>
            </w:r>
          </w:p>
        </w:tc>
        <w:tc>
          <w:tcPr>
            <w:tcW w:w="567" w:type="dxa"/>
            <w:vAlign w:val="center"/>
          </w:tcPr>
          <w:p w14:paraId="564CE06D">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冰压力</w:t>
            </w:r>
          </w:p>
        </w:tc>
        <w:tc>
          <w:tcPr>
            <w:tcW w:w="567" w:type="dxa"/>
            <w:vAlign w:val="center"/>
          </w:tcPr>
          <w:p w14:paraId="5AF41705">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地震荷载</w:t>
            </w:r>
          </w:p>
        </w:tc>
        <w:tc>
          <w:tcPr>
            <w:tcW w:w="567" w:type="dxa"/>
            <w:vAlign w:val="center"/>
          </w:tcPr>
          <w:p w14:paraId="3D80CAFE">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动水压力</w:t>
            </w:r>
          </w:p>
        </w:tc>
        <w:tc>
          <w:tcPr>
            <w:tcW w:w="567" w:type="dxa"/>
            <w:vAlign w:val="center"/>
          </w:tcPr>
          <w:p w14:paraId="09BD7345">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土压力</w:t>
            </w:r>
          </w:p>
        </w:tc>
        <w:tc>
          <w:tcPr>
            <w:tcW w:w="567" w:type="dxa"/>
            <w:vAlign w:val="center"/>
          </w:tcPr>
          <w:p w14:paraId="1AC9C2D5">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其他荷载</w:t>
            </w:r>
          </w:p>
        </w:tc>
        <w:tc>
          <w:tcPr>
            <w:tcW w:w="1603" w:type="dxa"/>
            <w:vMerge w:val="continue"/>
            <w:vAlign w:val="center"/>
          </w:tcPr>
          <w:p w14:paraId="08F841DA">
            <w:pPr>
              <w:widowControl/>
              <w:adjustRightInd w:val="0"/>
              <w:snapToGrid w:val="0"/>
              <w:jc w:val="center"/>
              <w:rPr>
                <w:rFonts w:ascii="Times New Roman" w:hAnsi="Times New Roman" w:cs="Times New Roman"/>
                <w:b/>
                <w:kern w:val="0"/>
                <w:sz w:val="15"/>
                <w:szCs w:val="15"/>
              </w:rPr>
            </w:pPr>
          </w:p>
        </w:tc>
      </w:tr>
      <w:tr w14:paraId="7EF8F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vMerge w:val="restart"/>
            <w:vAlign w:val="center"/>
          </w:tcPr>
          <w:p w14:paraId="083561BB">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基本组合</w:t>
            </w:r>
          </w:p>
        </w:tc>
        <w:tc>
          <w:tcPr>
            <w:tcW w:w="850" w:type="dxa"/>
            <w:vAlign w:val="center"/>
          </w:tcPr>
          <w:p w14:paraId="1DA560CB">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正常蓄水位情况</w:t>
            </w:r>
          </w:p>
        </w:tc>
        <w:tc>
          <w:tcPr>
            <w:tcW w:w="565" w:type="dxa"/>
            <w:vAlign w:val="center"/>
          </w:tcPr>
          <w:p w14:paraId="5D7976DE">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27E5A38F">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085451AC">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3D86E72B">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51B6FDDC">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4D1B796D">
            <w:pPr>
              <w:widowControl/>
              <w:adjustRightInd w:val="0"/>
              <w:snapToGrid w:val="0"/>
              <w:jc w:val="center"/>
              <w:rPr>
                <w:rFonts w:ascii="Times New Roman" w:hAnsi="Times New Roman" w:cs="Times New Roman"/>
                <w:b/>
                <w:kern w:val="0"/>
                <w:sz w:val="15"/>
                <w:szCs w:val="15"/>
              </w:rPr>
            </w:pPr>
          </w:p>
        </w:tc>
        <w:tc>
          <w:tcPr>
            <w:tcW w:w="567" w:type="dxa"/>
            <w:vAlign w:val="center"/>
          </w:tcPr>
          <w:p w14:paraId="3C45F852">
            <w:pPr>
              <w:widowControl/>
              <w:adjustRightInd w:val="0"/>
              <w:snapToGrid w:val="0"/>
              <w:jc w:val="center"/>
              <w:rPr>
                <w:rFonts w:ascii="Times New Roman" w:hAnsi="Times New Roman" w:cs="Times New Roman"/>
                <w:b/>
                <w:kern w:val="0"/>
                <w:sz w:val="15"/>
                <w:szCs w:val="15"/>
              </w:rPr>
            </w:pPr>
          </w:p>
        </w:tc>
        <w:tc>
          <w:tcPr>
            <w:tcW w:w="567" w:type="dxa"/>
            <w:vAlign w:val="center"/>
          </w:tcPr>
          <w:p w14:paraId="7B5D8614">
            <w:pPr>
              <w:widowControl/>
              <w:adjustRightInd w:val="0"/>
              <w:snapToGrid w:val="0"/>
              <w:jc w:val="center"/>
              <w:rPr>
                <w:rFonts w:ascii="Times New Roman" w:hAnsi="Times New Roman" w:cs="Times New Roman"/>
                <w:b/>
                <w:kern w:val="0"/>
                <w:sz w:val="15"/>
                <w:szCs w:val="15"/>
              </w:rPr>
            </w:pPr>
          </w:p>
        </w:tc>
        <w:tc>
          <w:tcPr>
            <w:tcW w:w="567" w:type="dxa"/>
            <w:vAlign w:val="center"/>
          </w:tcPr>
          <w:p w14:paraId="7AF1957C">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2DBD79B8">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1603" w:type="dxa"/>
            <w:vAlign w:val="center"/>
          </w:tcPr>
          <w:p w14:paraId="13281720">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土压力根据坝体外是否有土石而定（下同）</w:t>
            </w:r>
          </w:p>
        </w:tc>
      </w:tr>
      <w:tr w14:paraId="2733E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vMerge w:val="continue"/>
            <w:vAlign w:val="center"/>
          </w:tcPr>
          <w:p w14:paraId="3D3EC0F8">
            <w:pPr>
              <w:widowControl/>
              <w:adjustRightInd w:val="0"/>
              <w:snapToGrid w:val="0"/>
              <w:jc w:val="center"/>
              <w:rPr>
                <w:rFonts w:ascii="Times New Roman" w:hAnsi="Times New Roman" w:cs="Times New Roman"/>
                <w:b/>
                <w:kern w:val="0"/>
                <w:sz w:val="15"/>
                <w:szCs w:val="15"/>
              </w:rPr>
            </w:pPr>
          </w:p>
        </w:tc>
        <w:tc>
          <w:tcPr>
            <w:tcW w:w="850" w:type="dxa"/>
            <w:vAlign w:val="center"/>
          </w:tcPr>
          <w:p w14:paraId="4BE0E6C7">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设计洪水位情况</w:t>
            </w:r>
          </w:p>
        </w:tc>
        <w:tc>
          <w:tcPr>
            <w:tcW w:w="565" w:type="dxa"/>
            <w:vAlign w:val="center"/>
          </w:tcPr>
          <w:p w14:paraId="5D9C1916">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3BB227BB">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180A9CB6">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3C5A594A">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43E2A3B5">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629F39BD">
            <w:pPr>
              <w:widowControl/>
              <w:adjustRightInd w:val="0"/>
              <w:snapToGrid w:val="0"/>
              <w:jc w:val="center"/>
              <w:rPr>
                <w:rFonts w:ascii="Times New Roman" w:hAnsi="Times New Roman" w:cs="Times New Roman"/>
                <w:b/>
                <w:kern w:val="0"/>
                <w:sz w:val="15"/>
                <w:szCs w:val="15"/>
              </w:rPr>
            </w:pPr>
          </w:p>
        </w:tc>
        <w:tc>
          <w:tcPr>
            <w:tcW w:w="567" w:type="dxa"/>
            <w:vAlign w:val="center"/>
          </w:tcPr>
          <w:p w14:paraId="3BDAE9AF">
            <w:pPr>
              <w:widowControl/>
              <w:adjustRightInd w:val="0"/>
              <w:snapToGrid w:val="0"/>
              <w:jc w:val="center"/>
              <w:rPr>
                <w:rFonts w:ascii="Times New Roman" w:hAnsi="Times New Roman" w:cs="Times New Roman"/>
                <w:b/>
                <w:kern w:val="0"/>
                <w:sz w:val="15"/>
                <w:szCs w:val="15"/>
              </w:rPr>
            </w:pPr>
          </w:p>
        </w:tc>
        <w:tc>
          <w:tcPr>
            <w:tcW w:w="567" w:type="dxa"/>
            <w:vAlign w:val="center"/>
          </w:tcPr>
          <w:p w14:paraId="34422A99">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213A1E52">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48D8E6BA">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1603" w:type="dxa"/>
            <w:vAlign w:val="center"/>
          </w:tcPr>
          <w:p w14:paraId="6ADD665A">
            <w:pPr>
              <w:widowControl/>
              <w:adjustRightInd w:val="0"/>
              <w:snapToGrid w:val="0"/>
              <w:jc w:val="center"/>
              <w:rPr>
                <w:rFonts w:ascii="Times New Roman" w:hAnsi="Times New Roman" w:cs="Times New Roman"/>
                <w:b/>
                <w:kern w:val="0"/>
                <w:sz w:val="15"/>
                <w:szCs w:val="15"/>
              </w:rPr>
            </w:pPr>
          </w:p>
        </w:tc>
      </w:tr>
      <w:tr w14:paraId="6981A0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0" w:hRule="atLeast"/>
        </w:trPr>
        <w:tc>
          <w:tcPr>
            <w:tcW w:w="394" w:type="dxa"/>
            <w:vMerge w:val="continue"/>
            <w:vAlign w:val="center"/>
          </w:tcPr>
          <w:p w14:paraId="1A191F7D">
            <w:pPr>
              <w:widowControl/>
              <w:adjustRightInd w:val="0"/>
              <w:snapToGrid w:val="0"/>
              <w:jc w:val="center"/>
              <w:rPr>
                <w:rFonts w:ascii="Times New Roman" w:hAnsi="Times New Roman" w:cs="Times New Roman"/>
                <w:b/>
                <w:kern w:val="0"/>
                <w:sz w:val="15"/>
                <w:szCs w:val="15"/>
              </w:rPr>
            </w:pPr>
          </w:p>
        </w:tc>
        <w:tc>
          <w:tcPr>
            <w:tcW w:w="850" w:type="dxa"/>
            <w:vAlign w:val="center"/>
          </w:tcPr>
          <w:p w14:paraId="39514710">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冰冻情况</w:t>
            </w:r>
          </w:p>
        </w:tc>
        <w:tc>
          <w:tcPr>
            <w:tcW w:w="565" w:type="dxa"/>
            <w:vAlign w:val="center"/>
          </w:tcPr>
          <w:p w14:paraId="2B267B3D">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7EFE7CC4">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36EB814B">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105FFA8C">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631CEE6E">
            <w:pPr>
              <w:widowControl/>
              <w:adjustRightInd w:val="0"/>
              <w:snapToGrid w:val="0"/>
              <w:jc w:val="center"/>
              <w:rPr>
                <w:rFonts w:ascii="Times New Roman" w:hAnsi="Times New Roman" w:cs="Times New Roman"/>
                <w:b/>
                <w:kern w:val="0"/>
                <w:sz w:val="15"/>
                <w:szCs w:val="15"/>
              </w:rPr>
            </w:pPr>
          </w:p>
        </w:tc>
        <w:tc>
          <w:tcPr>
            <w:tcW w:w="567" w:type="dxa"/>
            <w:vAlign w:val="center"/>
          </w:tcPr>
          <w:p w14:paraId="520471E2">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02A594A4">
            <w:pPr>
              <w:widowControl/>
              <w:adjustRightInd w:val="0"/>
              <w:snapToGrid w:val="0"/>
              <w:jc w:val="center"/>
              <w:rPr>
                <w:rFonts w:ascii="Times New Roman" w:hAnsi="Times New Roman" w:cs="Times New Roman"/>
                <w:b/>
                <w:kern w:val="0"/>
                <w:sz w:val="15"/>
                <w:szCs w:val="15"/>
              </w:rPr>
            </w:pPr>
          </w:p>
        </w:tc>
        <w:tc>
          <w:tcPr>
            <w:tcW w:w="567" w:type="dxa"/>
            <w:vAlign w:val="center"/>
          </w:tcPr>
          <w:p w14:paraId="6B23AC9B">
            <w:pPr>
              <w:widowControl/>
              <w:adjustRightInd w:val="0"/>
              <w:snapToGrid w:val="0"/>
              <w:jc w:val="center"/>
              <w:rPr>
                <w:rFonts w:ascii="Times New Roman" w:hAnsi="Times New Roman" w:cs="Times New Roman"/>
                <w:b/>
                <w:kern w:val="0"/>
                <w:sz w:val="15"/>
                <w:szCs w:val="15"/>
              </w:rPr>
            </w:pPr>
          </w:p>
        </w:tc>
        <w:tc>
          <w:tcPr>
            <w:tcW w:w="567" w:type="dxa"/>
            <w:vAlign w:val="center"/>
          </w:tcPr>
          <w:p w14:paraId="35346F82">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48A0BCC3">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1603" w:type="dxa"/>
            <w:vAlign w:val="center"/>
          </w:tcPr>
          <w:p w14:paraId="15B0D9F7">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静水压力及扬压力按相应冬季库容水位计算</w:t>
            </w:r>
          </w:p>
        </w:tc>
      </w:tr>
      <w:tr w14:paraId="57A60F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vMerge w:val="restart"/>
            <w:vAlign w:val="center"/>
          </w:tcPr>
          <w:p w14:paraId="154A103A">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特殊组合</w:t>
            </w:r>
          </w:p>
        </w:tc>
        <w:tc>
          <w:tcPr>
            <w:tcW w:w="850" w:type="dxa"/>
            <w:vAlign w:val="center"/>
          </w:tcPr>
          <w:p w14:paraId="4A084169">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校核洪水位情况</w:t>
            </w:r>
          </w:p>
        </w:tc>
        <w:tc>
          <w:tcPr>
            <w:tcW w:w="565" w:type="dxa"/>
            <w:vAlign w:val="center"/>
          </w:tcPr>
          <w:p w14:paraId="16774657">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54726901">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688462F5">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73C21EAC">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7A942A36">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5B61AC68">
            <w:pPr>
              <w:widowControl/>
              <w:adjustRightInd w:val="0"/>
              <w:snapToGrid w:val="0"/>
              <w:jc w:val="center"/>
              <w:rPr>
                <w:rFonts w:ascii="Times New Roman" w:hAnsi="Times New Roman" w:cs="Times New Roman"/>
                <w:b/>
                <w:kern w:val="0"/>
                <w:sz w:val="15"/>
                <w:szCs w:val="15"/>
              </w:rPr>
            </w:pPr>
          </w:p>
        </w:tc>
        <w:tc>
          <w:tcPr>
            <w:tcW w:w="567" w:type="dxa"/>
            <w:vAlign w:val="center"/>
          </w:tcPr>
          <w:p w14:paraId="359B22A1">
            <w:pPr>
              <w:widowControl/>
              <w:adjustRightInd w:val="0"/>
              <w:snapToGrid w:val="0"/>
              <w:jc w:val="center"/>
              <w:rPr>
                <w:rFonts w:ascii="Times New Roman" w:hAnsi="Times New Roman" w:cs="Times New Roman"/>
                <w:b/>
                <w:kern w:val="0"/>
                <w:sz w:val="15"/>
                <w:szCs w:val="15"/>
              </w:rPr>
            </w:pPr>
          </w:p>
        </w:tc>
        <w:tc>
          <w:tcPr>
            <w:tcW w:w="567" w:type="dxa"/>
            <w:vAlign w:val="center"/>
          </w:tcPr>
          <w:p w14:paraId="300B2E3D">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227D5FD0">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3540A08D">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1603" w:type="dxa"/>
            <w:vAlign w:val="center"/>
          </w:tcPr>
          <w:p w14:paraId="1FD10F20">
            <w:pPr>
              <w:widowControl/>
              <w:adjustRightInd w:val="0"/>
              <w:snapToGrid w:val="0"/>
              <w:jc w:val="center"/>
              <w:rPr>
                <w:rFonts w:ascii="Times New Roman" w:hAnsi="Times New Roman" w:cs="Times New Roman"/>
                <w:b/>
                <w:kern w:val="0"/>
                <w:sz w:val="15"/>
                <w:szCs w:val="15"/>
              </w:rPr>
            </w:pPr>
          </w:p>
        </w:tc>
      </w:tr>
      <w:tr w14:paraId="03DCC0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vMerge w:val="continue"/>
            <w:vAlign w:val="center"/>
          </w:tcPr>
          <w:p w14:paraId="057B65F6">
            <w:pPr>
              <w:widowControl/>
              <w:adjustRightInd w:val="0"/>
              <w:snapToGrid w:val="0"/>
              <w:jc w:val="center"/>
              <w:rPr>
                <w:rFonts w:ascii="Times New Roman" w:hAnsi="Times New Roman" w:cs="Times New Roman"/>
                <w:b/>
                <w:kern w:val="0"/>
                <w:sz w:val="15"/>
                <w:szCs w:val="15"/>
              </w:rPr>
            </w:pPr>
          </w:p>
        </w:tc>
        <w:tc>
          <w:tcPr>
            <w:tcW w:w="850" w:type="dxa"/>
            <w:vAlign w:val="center"/>
          </w:tcPr>
          <w:p w14:paraId="604DB9FF">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地震情况</w:t>
            </w:r>
          </w:p>
        </w:tc>
        <w:tc>
          <w:tcPr>
            <w:tcW w:w="565" w:type="dxa"/>
            <w:vAlign w:val="center"/>
          </w:tcPr>
          <w:p w14:paraId="3ED4E2BB">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4A5D2AF7">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38E3A50F">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19A5E620">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6D26579A">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3BC24B4C">
            <w:pPr>
              <w:widowControl/>
              <w:adjustRightInd w:val="0"/>
              <w:snapToGrid w:val="0"/>
              <w:jc w:val="center"/>
              <w:rPr>
                <w:rFonts w:ascii="Times New Roman" w:hAnsi="Times New Roman" w:cs="Times New Roman"/>
                <w:b/>
                <w:kern w:val="0"/>
                <w:sz w:val="15"/>
                <w:szCs w:val="15"/>
              </w:rPr>
            </w:pPr>
          </w:p>
        </w:tc>
        <w:tc>
          <w:tcPr>
            <w:tcW w:w="567" w:type="dxa"/>
            <w:vAlign w:val="center"/>
          </w:tcPr>
          <w:p w14:paraId="2C59A04D">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0C865684">
            <w:pPr>
              <w:widowControl/>
              <w:adjustRightInd w:val="0"/>
              <w:snapToGrid w:val="0"/>
              <w:jc w:val="center"/>
              <w:rPr>
                <w:rFonts w:ascii="Times New Roman" w:hAnsi="Times New Roman" w:cs="Times New Roman"/>
                <w:b/>
                <w:kern w:val="0"/>
                <w:sz w:val="15"/>
                <w:szCs w:val="15"/>
              </w:rPr>
            </w:pPr>
          </w:p>
        </w:tc>
        <w:tc>
          <w:tcPr>
            <w:tcW w:w="567" w:type="dxa"/>
            <w:vAlign w:val="center"/>
          </w:tcPr>
          <w:p w14:paraId="70787784">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567" w:type="dxa"/>
            <w:vAlign w:val="center"/>
          </w:tcPr>
          <w:p w14:paraId="7891C83D">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w:t>
            </w:r>
          </w:p>
        </w:tc>
        <w:tc>
          <w:tcPr>
            <w:tcW w:w="1603" w:type="dxa"/>
            <w:vAlign w:val="center"/>
          </w:tcPr>
          <w:p w14:paraId="639A3196">
            <w:pPr>
              <w:widowControl/>
              <w:adjustRightInd w:val="0"/>
              <w:snapToGrid w:val="0"/>
              <w:jc w:val="center"/>
              <w:rPr>
                <w:rFonts w:ascii="Times New Roman" w:hAnsi="Times New Roman" w:cs="Times New Roman"/>
                <w:b/>
                <w:kern w:val="0"/>
                <w:sz w:val="15"/>
                <w:szCs w:val="15"/>
              </w:rPr>
            </w:pPr>
            <w:r>
              <w:rPr>
                <w:rFonts w:ascii="Times New Roman" w:hAnsi="Times New Roman" w:cs="Times New Roman"/>
                <w:kern w:val="0"/>
                <w:sz w:val="15"/>
                <w:szCs w:val="15"/>
              </w:rPr>
              <w:t>静水压力、扬压力和浪压力按正常蓄水位计算</w:t>
            </w:r>
          </w:p>
        </w:tc>
      </w:tr>
    </w:tbl>
    <w:p w14:paraId="7ABF03BF">
      <w:pPr>
        <w:widowControl/>
        <w:adjustRightInd w:val="0"/>
        <w:ind w:firstLine="450" w:firstLineChars="300"/>
        <w:rPr>
          <w:rFonts w:ascii="Times New Roman" w:hAnsi="Times New Roman" w:cs="Times New Roman"/>
          <w:b/>
          <w:kern w:val="0"/>
          <w:sz w:val="15"/>
          <w:szCs w:val="15"/>
        </w:rPr>
      </w:pPr>
      <w:r>
        <w:rPr>
          <w:rFonts w:ascii="Times New Roman" w:hAnsi="Times New Roman" w:cs="Times New Roman"/>
          <w:kern w:val="0"/>
          <w:sz w:val="15"/>
          <w:szCs w:val="15"/>
        </w:rPr>
        <w:t xml:space="preserve">注：1 </w:t>
      </w:r>
      <w:r>
        <w:rPr>
          <w:rFonts w:hint="eastAsia" w:ascii="Times New Roman" w:hAnsi="Times New Roman" w:cs="Times New Roman"/>
          <w:kern w:val="0"/>
          <w:sz w:val="15"/>
          <w:szCs w:val="15"/>
        </w:rPr>
        <w:t xml:space="preserve"> </w:t>
      </w:r>
      <w:r>
        <w:rPr>
          <w:rFonts w:ascii="Times New Roman" w:hAnsi="Times New Roman" w:cs="Times New Roman"/>
          <w:kern w:val="0"/>
          <w:sz w:val="15"/>
          <w:szCs w:val="15"/>
        </w:rPr>
        <w:t>应根据各种荷载同时作用的实际可能性，选择计算中最不利的荷载组合；</w:t>
      </w:r>
    </w:p>
    <w:p w14:paraId="312BA867">
      <w:pPr>
        <w:widowControl/>
        <w:adjustRightInd w:val="0"/>
        <w:ind w:firstLine="750" w:firstLineChars="500"/>
        <w:rPr>
          <w:rFonts w:ascii="Times New Roman" w:hAnsi="Times New Roman" w:cs="Times New Roman"/>
          <w:b/>
          <w:kern w:val="0"/>
          <w:sz w:val="15"/>
          <w:szCs w:val="15"/>
        </w:rPr>
      </w:pPr>
      <w:r>
        <w:rPr>
          <w:rFonts w:ascii="Times New Roman" w:hAnsi="Times New Roman" w:cs="Times New Roman"/>
          <w:kern w:val="0"/>
          <w:sz w:val="15"/>
          <w:szCs w:val="15"/>
        </w:rPr>
        <w:t xml:space="preserve">2 </w:t>
      </w:r>
      <w:r>
        <w:rPr>
          <w:rFonts w:hint="eastAsia" w:ascii="Times New Roman" w:hAnsi="Times New Roman" w:cs="Times New Roman"/>
          <w:kern w:val="0"/>
          <w:sz w:val="15"/>
          <w:szCs w:val="15"/>
        </w:rPr>
        <w:t xml:space="preserve"> </w:t>
      </w:r>
      <w:r>
        <w:rPr>
          <w:rFonts w:ascii="Times New Roman" w:hAnsi="Times New Roman" w:cs="Times New Roman"/>
          <w:kern w:val="0"/>
          <w:sz w:val="15"/>
          <w:szCs w:val="15"/>
        </w:rPr>
        <w:t>分期施工的坝应按相应的荷载组合分期进行计算；</w:t>
      </w:r>
    </w:p>
    <w:p w14:paraId="0BB43E58">
      <w:pPr>
        <w:widowControl/>
        <w:adjustRightInd w:val="0"/>
        <w:ind w:firstLine="750" w:firstLineChars="500"/>
        <w:rPr>
          <w:rFonts w:ascii="Times New Roman" w:hAnsi="Times New Roman" w:cs="Times New Roman"/>
          <w:b/>
          <w:kern w:val="0"/>
          <w:sz w:val="15"/>
          <w:szCs w:val="15"/>
        </w:rPr>
      </w:pPr>
      <w:r>
        <w:rPr>
          <w:rFonts w:ascii="Times New Roman" w:hAnsi="Times New Roman" w:cs="Times New Roman"/>
          <w:kern w:val="0"/>
          <w:sz w:val="15"/>
          <w:szCs w:val="15"/>
        </w:rPr>
        <w:t xml:space="preserve">3 </w:t>
      </w:r>
      <w:r>
        <w:rPr>
          <w:rFonts w:hint="eastAsia" w:ascii="Times New Roman" w:hAnsi="Times New Roman" w:cs="Times New Roman"/>
          <w:kern w:val="0"/>
          <w:sz w:val="15"/>
          <w:szCs w:val="15"/>
        </w:rPr>
        <w:t xml:space="preserve"> </w:t>
      </w:r>
      <w:r>
        <w:rPr>
          <w:rFonts w:ascii="Times New Roman" w:hAnsi="Times New Roman" w:cs="Times New Roman"/>
          <w:kern w:val="0"/>
          <w:sz w:val="15"/>
          <w:szCs w:val="15"/>
        </w:rPr>
        <w:t>施工期的情况作为特殊组合进行核算；</w:t>
      </w:r>
    </w:p>
    <w:p w14:paraId="43CAA80D">
      <w:pPr>
        <w:widowControl/>
        <w:adjustRightInd w:val="0"/>
        <w:ind w:firstLine="750" w:firstLineChars="500"/>
        <w:rPr>
          <w:rFonts w:ascii="Times New Roman" w:hAnsi="Times New Roman" w:cs="Times New Roman"/>
          <w:b/>
          <w:kern w:val="0"/>
          <w:sz w:val="15"/>
          <w:szCs w:val="15"/>
        </w:rPr>
      </w:pPr>
      <w:r>
        <w:rPr>
          <w:rFonts w:ascii="Times New Roman" w:hAnsi="Times New Roman" w:cs="Times New Roman"/>
          <w:kern w:val="0"/>
          <w:sz w:val="15"/>
          <w:szCs w:val="15"/>
        </w:rPr>
        <w:t xml:space="preserve">4 </w:t>
      </w:r>
      <w:r>
        <w:rPr>
          <w:rFonts w:hint="eastAsia" w:ascii="Times New Roman" w:hAnsi="Times New Roman" w:cs="Times New Roman"/>
          <w:kern w:val="0"/>
          <w:sz w:val="15"/>
          <w:szCs w:val="15"/>
        </w:rPr>
        <w:t xml:space="preserve"> </w:t>
      </w:r>
      <w:r>
        <w:rPr>
          <w:rFonts w:ascii="Times New Roman" w:hAnsi="Times New Roman" w:cs="Times New Roman"/>
          <w:kern w:val="0"/>
          <w:sz w:val="15"/>
          <w:szCs w:val="15"/>
        </w:rPr>
        <w:t>地震情况，按冬季计及冰压力时则不计浪压力；</w:t>
      </w:r>
    </w:p>
    <w:p w14:paraId="5A23C123">
      <w:pPr>
        <w:widowControl/>
        <w:adjustRightInd w:val="0"/>
        <w:ind w:firstLine="750" w:firstLineChars="500"/>
        <w:rPr>
          <w:rFonts w:ascii="Times New Roman" w:hAnsi="Times New Roman" w:cs="Times New Roman"/>
          <w:b/>
          <w:kern w:val="0"/>
          <w:sz w:val="15"/>
          <w:szCs w:val="15"/>
        </w:rPr>
      </w:pPr>
      <w:r>
        <w:rPr>
          <w:rFonts w:ascii="Times New Roman" w:hAnsi="Times New Roman" w:cs="Times New Roman"/>
          <w:kern w:val="0"/>
          <w:sz w:val="15"/>
          <w:szCs w:val="15"/>
        </w:rPr>
        <w:t xml:space="preserve">5 </w:t>
      </w:r>
      <w:r>
        <w:rPr>
          <w:rFonts w:hint="eastAsia" w:ascii="Times New Roman" w:hAnsi="Times New Roman" w:cs="Times New Roman"/>
          <w:kern w:val="0"/>
          <w:sz w:val="15"/>
          <w:szCs w:val="15"/>
        </w:rPr>
        <w:t xml:space="preserve"> </w:t>
      </w:r>
      <w:r>
        <w:rPr>
          <w:rFonts w:ascii="Times New Roman" w:hAnsi="Times New Roman" w:cs="Times New Roman"/>
          <w:kern w:val="0"/>
          <w:sz w:val="15"/>
          <w:szCs w:val="15"/>
        </w:rPr>
        <w:t>“ √ ”表示此荷载组合应计算本项荷载。</w:t>
      </w:r>
    </w:p>
    <w:p w14:paraId="00C76511">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5</w:t>
      </w:r>
      <w:r>
        <w:rPr>
          <w:rFonts w:ascii="Times New Roman" w:hAnsi="Times New Roman" w:cs="Times New Roman"/>
          <w:sz w:val="21"/>
          <w:szCs w:val="24"/>
        </w:rPr>
        <w:t xml:space="preserve">  基底应力计算和坝体抗滑稳定计算应符合本标准附录B的相关要求。</w:t>
      </w:r>
    </w:p>
    <w:p w14:paraId="315DE232">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15</w:t>
      </w:r>
      <w:r>
        <w:rPr>
          <w:rFonts w:ascii="Times New Roman" w:hAnsi="Times New Roman" w:cs="Times New Roman"/>
          <w:sz w:val="21"/>
          <w:szCs w:val="24"/>
        </w:rPr>
        <w:t xml:space="preserve">  塘坝防渗设计应符合下列要求：</w:t>
      </w:r>
    </w:p>
    <w:p w14:paraId="138D0747">
      <w:pPr>
        <w:autoSpaceDE w:val="0"/>
        <w:autoSpaceDN w:val="0"/>
        <w:adjustRightInd w:val="0"/>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w:t>
      </w:r>
      <w:r>
        <w:rPr>
          <w:rFonts w:ascii="Times New Roman" w:hAnsi="Times New Roman" w:cs="Times New Roman"/>
          <w:kern w:val="0"/>
          <w:sz w:val="21"/>
          <w:szCs w:val="21"/>
        </w:rPr>
        <w:t>土质防渗体断面应满足渗透比降、下游浸润线和渗透流量的要求。</w:t>
      </w:r>
      <w:r>
        <w:rPr>
          <w:rFonts w:ascii="Times New Roman" w:hAnsi="Times New Roman" w:cs="Times New Roman"/>
          <w:sz w:val="21"/>
          <w:szCs w:val="24"/>
        </w:rPr>
        <w:t>防渗体应自上而下逐渐加厚，心墙顶部厚度不应小于0.8m，底部厚度不应小于2.0m；斜墙顶部厚度不应小于0.5m，底部不应小于2.0m。防渗土料渗透系数，均质坝不应大于1×10</w:t>
      </w:r>
      <w:r>
        <w:rPr>
          <w:rFonts w:ascii="Times New Roman" w:hAnsi="Times New Roman" w:cs="Times New Roman"/>
          <w:sz w:val="21"/>
          <w:szCs w:val="24"/>
          <w:vertAlign w:val="superscript"/>
        </w:rPr>
        <w:t>-4</w:t>
      </w:r>
      <w:r>
        <w:rPr>
          <w:rFonts w:ascii="Times New Roman" w:hAnsi="Times New Roman" w:cs="Times New Roman"/>
          <w:sz w:val="21"/>
          <w:szCs w:val="24"/>
        </w:rPr>
        <w:t>cm/s，心墙和斜墙不应大于1×10</w:t>
      </w:r>
      <w:r>
        <w:rPr>
          <w:rFonts w:ascii="Times New Roman" w:hAnsi="Times New Roman" w:cs="Times New Roman"/>
          <w:sz w:val="21"/>
          <w:szCs w:val="24"/>
          <w:vertAlign w:val="superscript"/>
        </w:rPr>
        <w:t>-5</w:t>
      </w:r>
      <w:r>
        <w:rPr>
          <w:rFonts w:ascii="Times New Roman" w:hAnsi="Times New Roman" w:cs="Times New Roman"/>
          <w:sz w:val="21"/>
          <w:szCs w:val="24"/>
        </w:rPr>
        <w:t>cm/s。</w:t>
      </w:r>
    </w:p>
    <w:p w14:paraId="5732BD69">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土工膜防渗体应在其上铺设保护层，其下设置垫层。防渗土工膜应与坝基、岸坡或其他建筑物形成封闭的防渗系统，应做好周边缝的处理。</w:t>
      </w:r>
    </w:p>
    <w:p w14:paraId="38F9D1E1">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防渗体顶部高程应高出正常蓄水位0.3m以上。</w:t>
      </w:r>
    </w:p>
    <w:p w14:paraId="5EFE05B8">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砌石坝迎水面应采用高强度水泥砂浆勾深缝防渗，并应对坝体与地基的连接部位进行防渗设计。</w:t>
      </w:r>
    </w:p>
    <w:p w14:paraId="7007561B">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16</w:t>
      </w:r>
      <w:r>
        <w:rPr>
          <w:rFonts w:ascii="Times New Roman" w:hAnsi="Times New Roman" w:cs="Times New Roman"/>
          <w:b/>
          <w:sz w:val="21"/>
          <w:szCs w:val="24"/>
        </w:rPr>
        <w:t xml:space="preserve"> </w:t>
      </w:r>
      <w:r>
        <w:rPr>
          <w:rFonts w:ascii="Times New Roman" w:hAnsi="Times New Roman" w:cs="Times New Roman"/>
          <w:sz w:val="21"/>
          <w:szCs w:val="24"/>
        </w:rPr>
        <w:t xml:space="preserve"> 塘坝反滤层设计应符合下列要求：</w:t>
      </w:r>
    </w:p>
    <w:p w14:paraId="6F4BA998">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在土质防渗体与坝壳排水体或坝基透水层之间，以及坝壳与坝基之间，应满足反滤要求，不满足时均应设置反滤层。</w:t>
      </w:r>
    </w:p>
    <w:p w14:paraId="58457902">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当采用几种不同性质的土石料填筑坝体时，靠近心墙或斜墙处宜填筑透水性较小、颗粒较细的土石料，靠近坝坡处宜填筑透水性较大、颗粒较粗的土石料。</w:t>
      </w:r>
    </w:p>
    <w:p w14:paraId="7BA78617">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反滤层的渗透性应大于被保护土，能通畅地排出渗透水流，使被保护土不发生渗透变形。同时反滤层还应耐久、稳定，不致被细粒土淤塞失效。</w:t>
      </w:r>
    </w:p>
    <w:p w14:paraId="1A120D10">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反滤层厚度应根据材料的级配、料源、用途等确定。人工施工时，水平反滤层每层的最小厚度可采用0.30m，竖向或倾斜反滤层每层的最小厚度可采用0.40m；采用机械施工时，最小厚度应根据施工方法确定。</w:t>
      </w:r>
    </w:p>
    <w:p w14:paraId="3B3C6C1B">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17</w:t>
      </w:r>
      <w:r>
        <w:rPr>
          <w:rFonts w:ascii="Times New Roman" w:hAnsi="Times New Roman" w:eastAsia="黑体" w:cs="Times New Roman"/>
          <w:sz w:val="21"/>
          <w:szCs w:val="24"/>
        </w:rPr>
        <w:t xml:space="preserve">  </w:t>
      </w:r>
      <w:r>
        <w:rPr>
          <w:rFonts w:ascii="Times New Roman" w:hAnsi="Times New Roman" w:cs="Times New Roman"/>
          <w:sz w:val="21"/>
          <w:szCs w:val="24"/>
        </w:rPr>
        <w:t>坝体排水设计应符合下列要求：</w:t>
      </w:r>
    </w:p>
    <w:p w14:paraId="497DF607">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坝型为均质土坝时，应设置坝体排水设施。</w:t>
      </w:r>
    </w:p>
    <w:p w14:paraId="724AB09E">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坝体排水应按反滤要求设计，排水设施可采用棱式排水、斜卧式排水等型式。 </w:t>
      </w:r>
    </w:p>
    <w:p w14:paraId="6CB9BBCA">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坝体排水设计应按本标准第4.4.23条～第4.4.26条的相关条款执行。</w:t>
      </w:r>
    </w:p>
    <w:p w14:paraId="60E184EC">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18</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坝体护坡设计应符合下列要求：</w:t>
      </w:r>
    </w:p>
    <w:p w14:paraId="47BBCFE5">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坝体表面为土、砂、砾石等材料的塘坝，应设专门的坝体护坡。</w:t>
      </w:r>
    </w:p>
    <w:p w14:paraId="710130DA">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塘坝迎水坡应采用护坡措施，护坡范围为坝顶至死水位以下，护坡型式可采用堆石、干砌块石、浆砌石。</w:t>
      </w:r>
    </w:p>
    <w:p w14:paraId="0677F86E">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塘坝背水坡可采用碎石（卵石）护坡和植物护坡型式。</w:t>
      </w:r>
    </w:p>
    <w:p w14:paraId="2DB39715">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在寒冷地区，坝体上下游护坡和垫层的厚度应分析冻结深度影响。</w:t>
      </w:r>
    </w:p>
    <w:p w14:paraId="756856E3">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5</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浆砌石护坡应设置伸缩缝和排水孔。</w:t>
      </w:r>
    </w:p>
    <w:p w14:paraId="17416DA6">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 xml:space="preserve">19 </w:t>
      </w:r>
      <w:r>
        <w:rPr>
          <w:rFonts w:ascii="Times New Roman" w:hAnsi="Times New Roman" w:cs="Times New Roman"/>
          <w:sz w:val="21"/>
          <w:szCs w:val="24"/>
        </w:rPr>
        <w:t xml:space="preserve"> 坝面排水设计应符合下列要求：</w:t>
      </w:r>
    </w:p>
    <w:p w14:paraId="4F297259">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除干砌石或堆石护坡外，坝高5m以上塘坝坝坡应设置坝面排水设施。</w:t>
      </w:r>
    </w:p>
    <w:p w14:paraId="3EE53698">
      <w:pPr>
        <w:spacing w:line="360" w:lineRule="auto"/>
        <w:ind w:firstLine="422" w:firstLineChars="200"/>
        <w:rPr>
          <w:rFonts w:ascii="Times New Roman" w:hAnsi="Times New Roman" w:eastAsia="黑体" w:cs="Times New Roman"/>
          <w:sz w:val="21"/>
          <w:szCs w:val="24"/>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排水沟可采用浆砌石或混凝土砌筑。</w:t>
      </w:r>
    </w:p>
    <w:p w14:paraId="23400515">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坝体与岸坡连接处应设置排水沟，其集水面积应包括岸坡的有效集水面积。</w:t>
      </w:r>
    </w:p>
    <w:p w14:paraId="13EC0B3A">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Ⅵ 泄洪消能及放水设施</w:t>
      </w:r>
    </w:p>
    <w:p w14:paraId="651E2362">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20</w:t>
      </w:r>
      <w:r>
        <w:rPr>
          <w:rFonts w:ascii="Times New Roman" w:hAnsi="Times New Roman" w:cs="Times New Roman"/>
          <w:sz w:val="21"/>
          <w:szCs w:val="24"/>
        </w:rPr>
        <w:t xml:space="preserve">  泄洪消能设施设计应符合下列要求：</w:t>
      </w:r>
    </w:p>
    <w:p w14:paraId="3353EF5A">
      <w:pPr>
        <w:spacing w:line="360" w:lineRule="auto"/>
        <w:ind w:firstLine="517" w:firstLineChars="245"/>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塘坝应设置泄洪设施，泄洪形式应结合地形条件、筑坝材料选择。</w:t>
      </w:r>
    </w:p>
    <w:p w14:paraId="44BA6434">
      <w:pPr>
        <w:spacing w:line="360" w:lineRule="auto"/>
        <w:ind w:firstLine="517" w:firstLineChars="245"/>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塘坝泄洪设施宜采用开敞式，且不宜设置闸门，堰顶高程宜与正常蓄水位齐平。</w:t>
      </w:r>
    </w:p>
    <w:p w14:paraId="3E10BF48">
      <w:pPr>
        <w:spacing w:line="360" w:lineRule="auto"/>
        <w:ind w:firstLine="517" w:firstLineChars="245"/>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滚水坝和塘坝采用坝顶泄洪时，应进行消能防冲设计。</w:t>
      </w:r>
    </w:p>
    <w:p w14:paraId="0E0D27E1">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 xml:space="preserve">21 </w:t>
      </w:r>
      <w:r>
        <w:rPr>
          <w:rFonts w:ascii="Times New Roman" w:hAnsi="Times New Roman" w:cs="Times New Roman"/>
          <w:sz w:val="21"/>
          <w:szCs w:val="24"/>
        </w:rPr>
        <w:t xml:space="preserve"> 塘坝放水设施设计应符合下列要求：</w:t>
      </w:r>
    </w:p>
    <w:p w14:paraId="3981018A">
      <w:pPr>
        <w:spacing w:line="360" w:lineRule="auto"/>
        <w:ind w:firstLine="517" w:firstLineChars="245"/>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塘坝应设置放水设施，放水设施可采用管涵和浆砌石拱涵。</w:t>
      </w:r>
    </w:p>
    <w:p w14:paraId="3A260E1A">
      <w:pPr>
        <w:spacing w:line="360" w:lineRule="auto"/>
        <w:ind w:firstLine="517" w:firstLineChars="245"/>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放水设施的轴线与坝轴线应垂直，宜采用明流，其水深应小于净高的75%，结构应采用混凝土或钢筋混凝土。当为压力流时，宜用钢管或钢筋混凝土管。</w:t>
      </w:r>
    </w:p>
    <w:p w14:paraId="344307C5">
      <w:pPr>
        <w:spacing w:line="360" w:lineRule="auto"/>
        <w:ind w:firstLine="517" w:firstLineChars="245"/>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放水设施水深应按明渠均匀流公式计算，底坡取1:1000～1:200。放水设施下泄水流应经消能后送至河道下游，消能建筑物结构设计应按本标准第4.4.38~第4.4.41条的规定执行。</w:t>
      </w:r>
    </w:p>
    <w:p w14:paraId="3E6AE680">
      <w:pPr>
        <w:spacing w:line="360" w:lineRule="auto"/>
        <w:ind w:firstLine="517" w:firstLineChars="245"/>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sz w:val="21"/>
          <w:szCs w:val="24"/>
        </w:rPr>
        <w:t xml:space="preserve">  放水设施结构尺寸除根据水力计算确定外，还应结合检查和维修的要求，混凝土涵管管径不应小于0.8m，浆砌石拱涵断面宽不应小于0.8m，高不应小于1.2m。混凝土涵管结构设计应按本标准第4.4.49~53条的规定执行。</w:t>
      </w:r>
    </w:p>
    <w:p w14:paraId="6F25EF55">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Ⅶ 地基及岸坡处理</w:t>
      </w:r>
    </w:p>
    <w:p w14:paraId="3E3CD091">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22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土石坝地基及岸坡处理应符合下列要求：</w:t>
      </w:r>
    </w:p>
    <w:p w14:paraId="350A5FA9">
      <w:pPr>
        <w:spacing w:line="360" w:lineRule="auto"/>
        <w:ind w:firstLine="517" w:firstLineChars="245"/>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应拆除各种建筑物，清除坝断面范围内地基与岸坡上的草皮、树根、腐殖土等，清理并回填夯实水井、洞穴等。</w:t>
      </w:r>
    </w:p>
    <w:p w14:paraId="6C1FDC4D">
      <w:pPr>
        <w:spacing w:line="360" w:lineRule="auto"/>
        <w:ind w:firstLine="517" w:firstLineChars="245"/>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坝断面范围内岸坡应尽量平顺，不应成台阶状、反坡或突然变坡，岸坡上缓下陡时，凸出部位的变坡角宜小于20°。</w:t>
      </w:r>
    </w:p>
    <w:p w14:paraId="6619E80E">
      <w:pPr>
        <w:spacing w:line="360" w:lineRule="auto"/>
        <w:ind w:firstLine="517" w:firstLineChars="245"/>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cs="Times New Roman"/>
          <w:b/>
          <w:sz w:val="21"/>
          <w:szCs w:val="24"/>
        </w:rPr>
        <w:t xml:space="preserve"> </w:t>
      </w:r>
      <w:r>
        <w:rPr>
          <w:rFonts w:ascii="Times New Roman" w:hAnsi="Times New Roman" w:cs="Times New Roman"/>
          <w:sz w:val="21"/>
          <w:szCs w:val="24"/>
        </w:rPr>
        <w:t xml:space="preserve"> 与防渗体接触的岩石岸坡不宜陡于1:0.5，土质岸坡不宜陡于1:1.5，防渗体与混凝土建筑物接触面的坡度不宜陡于1:0.25。</w:t>
      </w:r>
    </w:p>
    <w:p w14:paraId="143460B4">
      <w:pPr>
        <w:spacing w:line="360" w:lineRule="auto"/>
        <w:ind w:firstLine="517" w:firstLineChars="245"/>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土石坝的坝基处理应满足渗流控制、静力和动力稳定，允许沉降量等方面要求。</w:t>
      </w:r>
    </w:p>
    <w:p w14:paraId="27E9B9F3">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 xml:space="preserve">23 </w:t>
      </w:r>
      <w:r>
        <w:rPr>
          <w:rFonts w:ascii="Times New Roman" w:hAnsi="Times New Roman" w:cs="Times New Roman"/>
          <w:sz w:val="21"/>
          <w:szCs w:val="24"/>
        </w:rPr>
        <w:t xml:space="preserve"> 浆砌石坝和混凝土坝地基及岸坡处理应满足坝体强度、稳定、刚度和防渗、耐久的要求。</w:t>
      </w:r>
    </w:p>
    <w:p w14:paraId="7B4474CA">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Ⅷ 施工组织</w:t>
      </w:r>
    </w:p>
    <w:p w14:paraId="2E711558">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24</w:t>
      </w:r>
      <w:r>
        <w:rPr>
          <w:rFonts w:ascii="Times New Roman" w:hAnsi="Times New Roman" w:cs="Times New Roman"/>
          <w:b/>
          <w:sz w:val="21"/>
          <w:szCs w:val="24"/>
        </w:rPr>
        <w:t xml:space="preserve"> </w:t>
      </w:r>
      <w:r>
        <w:rPr>
          <w:rFonts w:ascii="Times New Roman" w:hAnsi="Times New Roman" w:cs="Times New Roman"/>
          <w:sz w:val="21"/>
          <w:szCs w:val="24"/>
        </w:rPr>
        <w:t xml:space="preserve"> 宜在非汛期施工，导流与度汛应符合下列要求：</w:t>
      </w:r>
    </w:p>
    <w:p w14:paraId="367CBEB3">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导流建筑物度汛洪水重现期应取1a～3a。</w:t>
      </w:r>
    </w:p>
    <w:p w14:paraId="4956B090">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cs="Times New Roman"/>
          <w:b/>
          <w:sz w:val="21"/>
          <w:szCs w:val="24"/>
        </w:rPr>
        <w:t xml:space="preserve"> </w:t>
      </w:r>
      <w:r>
        <w:rPr>
          <w:rFonts w:ascii="Times New Roman" w:hAnsi="Times New Roman" w:cs="Times New Roman"/>
          <w:sz w:val="21"/>
          <w:szCs w:val="24"/>
        </w:rPr>
        <w:t xml:space="preserve"> 应利用垭口、小冲沟、现有灌渠进行导流。</w:t>
      </w:r>
    </w:p>
    <w:p w14:paraId="6CFFF570">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w:t>
      </w:r>
      <w:r>
        <w:rPr>
          <w:rFonts w:ascii="Times New Roman" w:hAnsi="Times New Roman" w:eastAsia="黑体" w:cs="Times New Roman"/>
          <w:b/>
          <w:sz w:val="21"/>
          <w:szCs w:val="24"/>
        </w:rPr>
        <w:t xml:space="preserve">25 </w:t>
      </w:r>
      <w:r>
        <w:rPr>
          <w:rFonts w:ascii="Times New Roman" w:hAnsi="Times New Roman" w:cs="Times New Roman"/>
          <w:sz w:val="21"/>
          <w:szCs w:val="24"/>
        </w:rPr>
        <w:t xml:space="preserve"> 施工组织应符合下列要求：</w:t>
      </w:r>
    </w:p>
    <w:p w14:paraId="14DC8880">
      <w:pPr>
        <w:spacing w:line="360" w:lineRule="auto"/>
        <w:ind w:firstLine="413" w:firstLineChars="196"/>
        <w:rPr>
          <w:rFonts w:ascii="Times New Roman" w:hAnsi="Times New Roman" w:cs="Times New Roman"/>
          <w:b/>
          <w:sz w:val="24"/>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施工道路宜利用现有乡村路和田间道路。</w:t>
      </w:r>
    </w:p>
    <w:p w14:paraId="64B26F59">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施工场地宜选择非耕地布置。</w:t>
      </w:r>
    </w:p>
    <w:p w14:paraId="32B49842">
      <w:pPr>
        <w:widowControl/>
        <w:spacing w:line="360" w:lineRule="auto"/>
        <w:ind w:firstLine="420" w:firstLineChars="200"/>
        <w:rPr>
          <w:rFonts w:ascii="Times New Roman" w:hAnsi="Times New Roman" w:cs="Times New Roman"/>
          <w:sz w:val="21"/>
        </w:rPr>
      </w:pPr>
    </w:p>
    <w:p w14:paraId="273E2A46">
      <w:pPr>
        <w:rPr>
          <w:rFonts w:ascii="Times New Roman" w:hAnsi="Times New Roman" w:eastAsia="仿宋_GB2312" w:cs="Times New Roman"/>
          <w:sz w:val="32"/>
          <w:szCs w:val="32"/>
        </w:rPr>
        <w:sectPr>
          <w:footerReference r:id="rId10" w:type="default"/>
          <w:pgSz w:w="11906" w:h="16838"/>
          <w:pgMar w:top="1440" w:right="1800" w:bottom="1440" w:left="1800" w:header="851" w:footer="992" w:gutter="0"/>
          <w:cols w:space="720" w:num="1"/>
          <w:docGrid w:type="lines" w:linePitch="312" w:charSpace="0"/>
        </w:sectPr>
      </w:pPr>
    </w:p>
    <w:p w14:paraId="06882507">
      <w:pPr>
        <w:keepNext/>
        <w:keepLines/>
        <w:spacing w:before="260" w:after="260" w:line="415" w:lineRule="auto"/>
        <w:jc w:val="center"/>
        <w:outlineLvl w:val="1"/>
        <w:rPr>
          <w:rFonts w:ascii="Times New Roman" w:hAnsi="Times New Roman" w:eastAsia="黑体" w:cs="Times New Roman"/>
          <w:bCs/>
          <w:sz w:val="30"/>
          <w:szCs w:val="32"/>
        </w:rPr>
      </w:pPr>
      <w:bookmarkStart w:id="77" w:name="_Toc3489"/>
      <w:bookmarkStart w:id="78" w:name="_Toc13951"/>
      <w:r>
        <w:rPr>
          <w:rFonts w:ascii="Times New Roman" w:hAnsi="Times New Roman" w:eastAsia="黑体" w:cs="Times New Roman"/>
          <w:bCs/>
          <w:sz w:val="30"/>
          <w:szCs w:val="32"/>
        </w:rPr>
        <w:t>4.7 沟道滩岸防护工程</w:t>
      </w:r>
      <w:bookmarkEnd w:id="77"/>
      <w:bookmarkEnd w:id="78"/>
    </w:p>
    <w:p w14:paraId="10B93A80">
      <w:pPr>
        <w:keepNext/>
        <w:keepLines/>
        <w:spacing w:before="260" w:after="260"/>
        <w:jc w:val="center"/>
        <w:outlineLvl w:val="2"/>
        <w:rPr>
          <w:rFonts w:ascii="Times New Roman" w:hAnsi="Times New Roman" w:eastAsia="黑体" w:cs="Times New Roman"/>
          <w:bCs/>
          <w:sz w:val="24"/>
          <w:szCs w:val="24"/>
        </w:rPr>
      </w:pPr>
      <w:bookmarkStart w:id="79" w:name="_Toc324282272"/>
      <w:bookmarkStart w:id="80" w:name="_Toc323828649"/>
      <w:bookmarkStart w:id="81" w:name="_Toc360519973"/>
      <w:bookmarkStart w:id="82" w:name="_Toc324287564"/>
      <w:bookmarkStart w:id="83" w:name="_Toc360526253"/>
      <w:bookmarkStart w:id="84" w:name="_Toc324280237"/>
      <w:bookmarkStart w:id="85" w:name="_Toc360528847"/>
      <w:bookmarkStart w:id="86" w:name="_Toc323805613"/>
      <w:r>
        <w:rPr>
          <w:rFonts w:ascii="Times New Roman" w:hAnsi="Times New Roman" w:eastAsia="黑体" w:cs="Times New Roman"/>
          <w:bCs/>
          <w:sz w:val="24"/>
          <w:szCs w:val="24"/>
        </w:rPr>
        <w:t>Ⅰ 护地堤布置</w:t>
      </w:r>
      <w:bookmarkEnd w:id="79"/>
      <w:bookmarkEnd w:id="80"/>
      <w:bookmarkEnd w:id="81"/>
      <w:bookmarkEnd w:id="82"/>
      <w:bookmarkEnd w:id="83"/>
      <w:bookmarkEnd w:id="84"/>
      <w:bookmarkEnd w:id="85"/>
      <w:bookmarkEnd w:id="86"/>
    </w:p>
    <w:p w14:paraId="50654D81">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4.7.1</w:t>
      </w:r>
      <w:r>
        <w:rPr>
          <w:rFonts w:ascii="Times New Roman" w:hAnsi="Times New Roman" w:cs="Times New Roman"/>
          <w:sz w:val="21"/>
          <w:szCs w:val="21"/>
        </w:rPr>
        <w:t xml:space="preserve">  护地堤布置应以少占农田、少拆迁为原则，应利于防汛抢险和工程管理，并应与道路交通、灌溉排水等工程结合。</w:t>
      </w:r>
    </w:p>
    <w:p w14:paraId="325C706F">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4.7.2</w:t>
      </w:r>
      <w:r>
        <w:rPr>
          <w:rFonts w:ascii="Times New Roman" w:hAnsi="Times New Roman" w:eastAsia="黑体" w:cs="Times New Roman"/>
          <w:sz w:val="21"/>
        </w:rPr>
        <w:t xml:space="preserve"> </w:t>
      </w:r>
      <w:r>
        <w:rPr>
          <w:rFonts w:ascii="Times New Roman" w:hAnsi="Times New Roman" w:cs="Times New Roman"/>
          <w:sz w:val="21"/>
          <w:szCs w:val="21"/>
        </w:rPr>
        <w:t xml:space="preserve"> 护地堤堤线应与河势流向相适应，并应与洪水主流线大致平行。堤线应力求平顺，各堤段平缓连接，不得采用折线或急弯，并应利用现有护地堤和有利地形，宜修筑在土质较好、比较稳定的滩岸上，宜避开软弱地基、深水地带、古河道、强透水地基。</w:t>
      </w:r>
    </w:p>
    <w:p w14:paraId="27558483">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 xml:space="preserve">4.7.3 </w:t>
      </w:r>
      <w:r>
        <w:rPr>
          <w:rFonts w:ascii="Times New Roman" w:hAnsi="Times New Roman" w:cs="Times New Roman"/>
          <w:sz w:val="21"/>
          <w:szCs w:val="21"/>
        </w:rPr>
        <w:t xml:space="preserve"> 一个河段的护地堤堤距应大致相等，不宜突然扩大或缩小。护地堤堤距应根据地形、地质条件、水文泥沙特性、不同堤距的技术经济指标，经综合分析确定，并应分析滩区长期的滞洪、淤积作用及生态环境保护等因素，留有余地。</w:t>
      </w:r>
    </w:p>
    <w:p w14:paraId="2064F07F">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4.7.4</w:t>
      </w:r>
      <w:r>
        <w:rPr>
          <w:rFonts w:ascii="Times New Roman" w:hAnsi="Times New Roman" w:eastAsia="黑体" w:cs="Times New Roman"/>
          <w:sz w:val="21"/>
        </w:rPr>
        <w:t xml:space="preserve"> </w:t>
      </w:r>
      <w:r>
        <w:rPr>
          <w:rFonts w:ascii="Times New Roman" w:hAnsi="Times New Roman" w:cs="Times New Roman"/>
          <w:sz w:val="21"/>
          <w:szCs w:val="21"/>
        </w:rPr>
        <w:t xml:space="preserve"> 护地堤堤型应根据地质、筑堤材料、水流和风浪特性、施工条件、运用和管理要求、生产生活需求</w:t>
      </w:r>
      <w:r>
        <w:rPr>
          <w:rFonts w:hint="eastAsia" w:ascii="Times New Roman" w:hAnsi="Times New Roman" w:cs="Times New Roman"/>
          <w:sz w:val="21"/>
          <w:szCs w:val="21"/>
        </w:rPr>
        <w:t>、</w:t>
      </w:r>
      <w:r>
        <w:rPr>
          <w:rFonts w:ascii="Times New Roman" w:hAnsi="Times New Roman" w:cs="Times New Roman"/>
          <w:sz w:val="21"/>
          <w:szCs w:val="21"/>
        </w:rPr>
        <w:t>工程造价因素，并应经综合分析确定。</w:t>
      </w:r>
    </w:p>
    <w:p w14:paraId="687AB654">
      <w:pPr>
        <w:keepNext/>
        <w:keepLines/>
        <w:spacing w:before="260" w:after="260"/>
        <w:jc w:val="center"/>
        <w:outlineLvl w:val="2"/>
        <w:rPr>
          <w:rFonts w:ascii="Times New Roman" w:hAnsi="Times New Roman" w:eastAsia="黑体" w:cs="Times New Roman"/>
          <w:bCs/>
          <w:sz w:val="24"/>
          <w:szCs w:val="24"/>
        </w:rPr>
      </w:pPr>
      <w:bookmarkStart w:id="87" w:name="_Toc324280238"/>
      <w:bookmarkStart w:id="88" w:name="_Toc323805614"/>
      <w:bookmarkStart w:id="89" w:name="_Toc324287565"/>
      <w:bookmarkStart w:id="90" w:name="_Toc360519974"/>
      <w:bookmarkStart w:id="91" w:name="_Toc360526254"/>
      <w:bookmarkStart w:id="92" w:name="_Toc323828650"/>
      <w:bookmarkStart w:id="93" w:name="_Toc324282273"/>
      <w:bookmarkStart w:id="94" w:name="_Toc360528848"/>
      <w:r>
        <w:rPr>
          <w:rFonts w:ascii="Times New Roman" w:hAnsi="Times New Roman" w:eastAsia="黑体" w:cs="Times New Roman"/>
          <w:bCs/>
          <w:sz w:val="24"/>
          <w:szCs w:val="24"/>
        </w:rPr>
        <w:t>Ⅱ 丁坝、顺坝布置</w:t>
      </w:r>
      <w:bookmarkEnd w:id="87"/>
      <w:bookmarkEnd w:id="88"/>
      <w:bookmarkEnd w:id="89"/>
      <w:bookmarkEnd w:id="90"/>
      <w:bookmarkEnd w:id="91"/>
      <w:bookmarkEnd w:id="92"/>
      <w:bookmarkEnd w:id="93"/>
      <w:bookmarkEnd w:id="94"/>
    </w:p>
    <w:p w14:paraId="5C93B19B">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4.7.5</w:t>
      </w:r>
      <w:r>
        <w:rPr>
          <w:rFonts w:ascii="Times New Roman" w:hAnsi="Times New Roman" w:cs="Times New Roman"/>
          <w:sz w:val="21"/>
          <w:szCs w:val="21"/>
        </w:rPr>
        <w:t xml:space="preserve"> </w:t>
      </w:r>
      <w:r>
        <w:rPr>
          <w:rFonts w:hint="eastAsia" w:ascii="Times New Roman" w:hAnsi="Times New Roman" w:cs="Times New Roman"/>
          <w:sz w:val="21"/>
          <w:szCs w:val="21"/>
        </w:rPr>
        <w:t xml:space="preserve"> </w:t>
      </w:r>
      <w:r>
        <w:rPr>
          <w:rFonts w:ascii="Times New Roman" w:hAnsi="Times New Roman" w:cs="Times New Roman"/>
          <w:kern w:val="0"/>
          <w:sz w:val="21"/>
          <w:szCs w:val="21"/>
        </w:rPr>
        <w:t>丁坝、顺坝防护长度应根据水流、风浪特性及堤岸崩塌趋势分析确定。</w:t>
      </w:r>
    </w:p>
    <w:p w14:paraId="1B2B37D5">
      <w:pPr>
        <w:autoSpaceDE w:val="0"/>
        <w:autoSpaceDN w:val="0"/>
        <w:adjustRightInd w:val="0"/>
        <w:snapToGrid w:val="0"/>
        <w:spacing w:line="360" w:lineRule="auto"/>
        <w:jc w:val="left"/>
        <w:rPr>
          <w:rFonts w:ascii="Times New Roman" w:hAnsi="Times New Roman" w:cs="Times New Roman"/>
          <w:kern w:val="0"/>
          <w:sz w:val="21"/>
          <w:szCs w:val="21"/>
        </w:rPr>
      </w:pPr>
      <w:r>
        <w:rPr>
          <w:rFonts w:ascii="Times New Roman" w:hAnsi="Times New Roman" w:eastAsia="黑体" w:cs="Times New Roman"/>
          <w:b/>
          <w:bCs/>
          <w:sz w:val="21"/>
        </w:rPr>
        <w:t>4.7.6</w:t>
      </w:r>
      <w:r>
        <w:rPr>
          <w:rFonts w:ascii="Times New Roman" w:hAnsi="Times New Roman" w:cs="Times New Roman"/>
          <w:kern w:val="0"/>
          <w:sz w:val="21"/>
          <w:szCs w:val="21"/>
        </w:rPr>
        <w:t xml:space="preserve"> </w:t>
      </w:r>
      <w:r>
        <w:rPr>
          <w:rFonts w:hint="eastAsia" w:ascii="Times New Roman" w:hAnsi="Times New Roman" w:cs="Times New Roman"/>
          <w:kern w:val="0"/>
          <w:sz w:val="21"/>
          <w:szCs w:val="21"/>
        </w:rPr>
        <w:t xml:space="preserve"> </w:t>
      </w:r>
      <w:r>
        <w:rPr>
          <w:rFonts w:ascii="Times New Roman" w:hAnsi="Times New Roman" w:cs="Times New Roman"/>
          <w:sz w:val="21"/>
          <w:szCs w:val="21"/>
        </w:rPr>
        <w:t>丁坝、顺坝布置应根据水流、风浪、地质、地形情况、施工条件、运用要求等因素选用合适的型式，应因势利导、符合水流演变规律，并应统筹兼顾上下游、左右岸。</w:t>
      </w:r>
    </w:p>
    <w:p w14:paraId="5C508623">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4.7.7</w:t>
      </w:r>
      <w:r>
        <w:rPr>
          <w:rFonts w:ascii="Times New Roman" w:hAnsi="Times New Roman" w:eastAsia="黑体" w:cs="Times New Roman"/>
          <w:sz w:val="21"/>
        </w:rPr>
        <w:t xml:space="preserve"> </w:t>
      </w:r>
      <w:r>
        <w:rPr>
          <w:rFonts w:ascii="Times New Roman" w:hAnsi="Times New Roman" w:cs="Times New Roman"/>
          <w:sz w:val="21"/>
          <w:szCs w:val="21"/>
        </w:rPr>
        <w:t xml:space="preserve"> 丁坝、顺坝应依堤岸修建。平面布置应根据整治规划、水流流势、堤岸冲刷情况及已建类似工程经验确定。丁坝坝头位置应在整治线上，并宜成组布置，顺坝应沿治导线布置。</w:t>
      </w:r>
    </w:p>
    <w:p w14:paraId="5E3FFD08">
      <w:pPr>
        <w:autoSpaceDE w:val="0"/>
        <w:autoSpaceDN w:val="0"/>
        <w:adjustRightInd w:val="0"/>
        <w:snapToGrid w:val="0"/>
        <w:spacing w:line="360" w:lineRule="auto"/>
        <w:jc w:val="left"/>
        <w:rPr>
          <w:rFonts w:ascii="Times New Roman" w:hAnsi="Times New Roman" w:cs="Times New Roman"/>
          <w:kern w:val="0"/>
          <w:sz w:val="21"/>
          <w:szCs w:val="21"/>
        </w:rPr>
      </w:pPr>
      <w:r>
        <w:rPr>
          <w:rFonts w:ascii="Times New Roman" w:hAnsi="Times New Roman" w:eastAsia="黑体" w:cs="Times New Roman"/>
          <w:b/>
          <w:bCs/>
          <w:sz w:val="21"/>
        </w:rPr>
        <w:t>4.7.8</w:t>
      </w:r>
      <w:r>
        <w:rPr>
          <w:rFonts w:ascii="Times New Roman" w:hAnsi="Times New Roman" w:cs="Times New Roman"/>
          <w:b/>
          <w:bCs/>
          <w:sz w:val="21"/>
          <w:szCs w:val="21"/>
        </w:rPr>
        <w:t xml:space="preserve"> </w:t>
      </w:r>
      <w:r>
        <w:rPr>
          <w:rFonts w:hint="eastAsia" w:ascii="Times New Roman" w:hAnsi="Times New Roman" w:cs="Times New Roman"/>
          <w:sz w:val="21"/>
          <w:szCs w:val="21"/>
        </w:rPr>
        <w:t xml:space="preserve"> </w:t>
      </w:r>
      <w:r>
        <w:rPr>
          <w:rFonts w:ascii="Times New Roman" w:hAnsi="Times New Roman" w:cs="Times New Roman"/>
          <w:sz w:val="21"/>
          <w:szCs w:val="21"/>
        </w:rPr>
        <w:t>丁坝长度应根据堤岸与整治线距离确定，间距可为坝长的1倍～3倍。</w:t>
      </w:r>
      <w:r>
        <w:rPr>
          <w:rFonts w:ascii="Times New Roman" w:hAnsi="Times New Roman" w:cs="Times New Roman"/>
          <w:kern w:val="0"/>
          <w:sz w:val="21"/>
          <w:szCs w:val="21"/>
        </w:rPr>
        <w:t>丁坝按结构材料、坝高及与水流流向关系，可分为透水、不透水，淹没、非淹没，上挑、正挑、下挑等型式。非淹没丁坝宜采用下挑型式布置，坝轴线与水流流向的夹角可采用30°～60°。</w:t>
      </w:r>
    </w:p>
    <w:p w14:paraId="1F16B38E">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4.7.9</w:t>
      </w:r>
      <w:r>
        <w:rPr>
          <w:rFonts w:ascii="Times New Roman" w:hAnsi="Times New Roman" w:cs="Times New Roman"/>
          <w:b/>
          <w:bCs/>
          <w:kern w:val="0"/>
          <w:sz w:val="21"/>
          <w:szCs w:val="21"/>
        </w:rPr>
        <w:t xml:space="preserve"> </w:t>
      </w:r>
      <w:r>
        <w:rPr>
          <w:rFonts w:hint="eastAsia" w:ascii="Times New Roman" w:hAnsi="Times New Roman" w:cs="Times New Roman"/>
          <w:kern w:val="0"/>
          <w:sz w:val="21"/>
          <w:szCs w:val="21"/>
        </w:rPr>
        <w:t xml:space="preserve"> </w:t>
      </w:r>
      <w:r>
        <w:rPr>
          <w:rFonts w:ascii="Times New Roman" w:hAnsi="Times New Roman" w:cs="Times New Roman"/>
          <w:sz w:val="21"/>
          <w:szCs w:val="21"/>
        </w:rPr>
        <w:t>顺坝用于束窄河槽、导引水流、调整河岸时，宜布置在过渡段、分汊河段、急弯及凹岸末端、河口及洲尾等水流不顺和水流分散的河段。顺坝与水流方向应接近或略有微小交角，直接布置在整治线上。长度应根据风浪、水流及崩岸趋势等分析确定。</w:t>
      </w:r>
    </w:p>
    <w:p w14:paraId="7C884B5A">
      <w:pPr>
        <w:keepNext/>
        <w:keepLines/>
        <w:spacing w:before="260" w:after="260"/>
        <w:jc w:val="center"/>
        <w:outlineLvl w:val="2"/>
        <w:rPr>
          <w:rFonts w:ascii="Times New Roman" w:hAnsi="Times New Roman" w:eastAsia="黑体" w:cs="Times New Roman"/>
          <w:bCs/>
          <w:sz w:val="24"/>
          <w:szCs w:val="24"/>
        </w:rPr>
      </w:pPr>
      <w:bookmarkStart w:id="95" w:name="_Toc360519975"/>
      <w:bookmarkStart w:id="96" w:name="_Toc323805615"/>
      <w:bookmarkStart w:id="97" w:name="_Toc324282274"/>
      <w:bookmarkStart w:id="98" w:name="_Toc324287566"/>
      <w:bookmarkStart w:id="99" w:name="_Toc360528849"/>
      <w:bookmarkStart w:id="100" w:name="_Toc324280239"/>
      <w:bookmarkStart w:id="101" w:name="_Toc360526255"/>
      <w:bookmarkStart w:id="102" w:name="_Toc323828651"/>
      <w:r>
        <w:rPr>
          <w:rFonts w:ascii="Times New Roman" w:hAnsi="Times New Roman" w:eastAsia="黑体" w:cs="Times New Roman"/>
          <w:bCs/>
          <w:sz w:val="24"/>
          <w:szCs w:val="24"/>
        </w:rPr>
        <w:t>Ⅲ 生态护岸布置</w:t>
      </w:r>
      <w:bookmarkEnd w:id="95"/>
      <w:bookmarkEnd w:id="96"/>
      <w:bookmarkEnd w:id="97"/>
      <w:bookmarkEnd w:id="98"/>
      <w:bookmarkEnd w:id="99"/>
      <w:bookmarkEnd w:id="100"/>
      <w:bookmarkEnd w:id="101"/>
      <w:bookmarkEnd w:id="102"/>
    </w:p>
    <w:p w14:paraId="71F055BA">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4.7.10</w:t>
      </w:r>
      <w:r>
        <w:rPr>
          <w:rFonts w:ascii="Times New Roman" w:hAnsi="Times New Roman" w:eastAsia="黑体" w:cs="Times New Roman"/>
          <w:sz w:val="21"/>
        </w:rPr>
        <w:t xml:space="preserve"> </w:t>
      </w:r>
      <w:r>
        <w:rPr>
          <w:rFonts w:ascii="Times New Roman" w:hAnsi="Times New Roman" w:cs="Times New Roman"/>
          <w:sz w:val="21"/>
          <w:szCs w:val="21"/>
        </w:rPr>
        <w:t xml:space="preserve"> 生态护岸应遵循岸坡稳定、行洪安全、材质自然、成本经济及与生产生活需求相结合的原则进行布置，宜与沟道天然形态、与排水防涝设施布置相协调。</w:t>
      </w:r>
    </w:p>
    <w:p w14:paraId="581F96A2">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4.7.11</w:t>
      </w:r>
      <w:r>
        <w:rPr>
          <w:rFonts w:ascii="Times New Roman" w:hAnsi="Times New Roman" w:eastAsia="黑体" w:cs="Times New Roman"/>
          <w:sz w:val="21"/>
        </w:rPr>
        <w:t xml:space="preserve"> </w:t>
      </w:r>
      <w:r>
        <w:rPr>
          <w:rFonts w:ascii="Times New Roman" w:hAnsi="Times New Roman" w:cs="Times New Roman"/>
          <w:sz w:val="21"/>
          <w:szCs w:val="21"/>
        </w:rPr>
        <w:t xml:space="preserve"> 生态护岸布置应依据沟道水流形态、气候条件、滩岸类型及建设需求，因地制宜采用植物或植物与工程措施相结合的布置方式。可根据生产生活需要配置枯水平台、亲（取）水设施。</w:t>
      </w:r>
    </w:p>
    <w:p w14:paraId="55F62712">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4.7.12</w:t>
      </w:r>
      <w:r>
        <w:rPr>
          <w:rFonts w:ascii="Times New Roman" w:hAnsi="Times New Roman" w:eastAsia="黑体" w:cs="Times New Roman"/>
          <w:sz w:val="21"/>
        </w:rPr>
        <w:t xml:space="preserve"> </w:t>
      </w:r>
      <w:r>
        <w:rPr>
          <w:rFonts w:ascii="Times New Roman" w:hAnsi="Times New Roman" w:cs="Times New Roman"/>
          <w:sz w:val="21"/>
          <w:szCs w:val="21"/>
        </w:rPr>
        <w:t xml:space="preserve"> 生态护岸的岸线布置可按护地堤、顺坝的有关规定执行。</w:t>
      </w:r>
    </w:p>
    <w:p w14:paraId="05FC9F53">
      <w:pPr>
        <w:keepNext/>
        <w:keepLines/>
        <w:spacing w:before="260" w:after="260"/>
        <w:jc w:val="center"/>
        <w:outlineLvl w:val="2"/>
        <w:rPr>
          <w:rFonts w:ascii="Times New Roman" w:hAnsi="Times New Roman" w:eastAsia="黑体" w:cs="Times New Roman"/>
          <w:bCs/>
          <w:sz w:val="24"/>
          <w:szCs w:val="24"/>
        </w:rPr>
      </w:pPr>
      <w:bookmarkStart w:id="103" w:name="_Toc310600430"/>
      <w:bookmarkStart w:id="104" w:name="_Toc310842204"/>
      <w:bookmarkStart w:id="105" w:name="_Toc310525414"/>
      <w:bookmarkStart w:id="106" w:name="_Toc324287567"/>
      <w:bookmarkStart w:id="107" w:name="_Toc360519976"/>
      <w:bookmarkStart w:id="108" w:name="_Toc323805616"/>
      <w:bookmarkStart w:id="109" w:name="_Toc323828652"/>
      <w:bookmarkStart w:id="110" w:name="_Toc324280240"/>
      <w:bookmarkStart w:id="111" w:name="_Toc360526256"/>
      <w:bookmarkStart w:id="112" w:name="_Toc324282275"/>
      <w:bookmarkStart w:id="113" w:name="_Toc360528850"/>
      <w:r>
        <w:rPr>
          <w:rFonts w:ascii="Times New Roman" w:hAnsi="Times New Roman" w:eastAsia="黑体" w:cs="Times New Roman"/>
          <w:bCs/>
          <w:sz w:val="24"/>
          <w:szCs w:val="24"/>
        </w:rPr>
        <w:t>Ⅳ 护地堤</w:t>
      </w:r>
      <w:bookmarkEnd w:id="103"/>
      <w:bookmarkEnd w:id="104"/>
      <w:bookmarkEnd w:id="105"/>
      <w:r>
        <w:rPr>
          <w:rFonts w:ascii="Times New Roman" w:hAnsi="Times New Roman" w:eastAsia="黑体" w:cs="Times New Roman"/>
          <w:bCs/>
          <w:sz w:val="24"/>
          <w:szCs w:val="24"/>
        </w:rPr>
        <w:t>堤身结构型式</w:t>
      </w:r>
      <w:bookmarkEnd w:id="106"/>
      <w:bookmarkEnd w:id="107"/>
      <w:bookmarkEnd w:id="108"/>
      <w:bookmarkEnd w:id="109"/>
      <w:bookmarkEnd w:id="110"/>
      <w:bookmarkEnd w:id="111"/>
      <w:bookmarkEnd w:id="112"/>
      <w:bookmarkEnd w:id="113"/>
    </w:p>
    <w:p w14:paraId="1FB632F9">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4.7.13</w:t>
      </w:r>
      <w:r>
        <w:rPr>
          <w:rFonts w:ascii="Times New Roman" w:hAnsi="Times New Roman" w:eastAsia="黑体" w:cs="Times New Roman"/>
          <w:sz w:val="21"/>
        </w:rPr>
        <w:t xml:space="preserve"> </w:t>
      </w:r>
      <w:r>
        <w:rPr>
          <w:rFonts w:ascii="Times New Roman" w:hAnsi="Times New Roman" w:cs="Times New Roman"/>
          <w:sz w:val="21"/>
          <w:szCs w:val="21"/>
        </w:rPr>
        <w:t xml:space="preserve"> 护地堤堤身结构应经济实用、就地取材、便于施工、易于维护，宜采用土堤或防洪墙结构。</w:t>
      </w:r>
    </w:p>
    <w:p w14:paraId="7369A184">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4.7.14</w:t>
      </w:r>
      <w:r>
        <w:rPr>
          <w:rFonts w:ascii="Times New Roman" w:hAnsi="Times New Roman" w:cs="Times New Roman"/>
          <w:b/>
          <w:bCs/>
          <w:sz w:val="21"/>
          <w:szCs w:val="21"/>
        </w:rPr>
        <w:t xml:space="preserve"> </w:t>
      </w:r>
      <w:r>
        <w:rPr>
          <w:rFonts w:ascii="Times New Roman" w:hAnsi="Times New Roman" w:cs="Times New Roman"/>
          <w:sz w:val="21"/>
          <w:szCs w:val="21"/>
        </w:rPr>
        <w:t xml:space="preserve"> 土堤堤身设计应包括确定堤身断面、堤顶高程、顶宽和边坡、护坡及填筑标准，以及防渗、排水设施。</w:t>
      </w:r>
    </w:p>
    <w:p w14:paraId="1DED670E">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4.7.15</w:t>
      </w:r>
      <w:r>
        <w:rPr>
          <w:rFonts w:ascii="Times New Roman" w:hAnsi="Times New Roman" w:cs="Times New Roman"/>
          <w:sz w:val="21"/>
          <w:szCs w:val="21"/>
        </w:rPr>
        <w:t xml:space="preserve">  土堤填筑密度应根据堤身结构、土料特性、自然条件等因素，综合分析确定。黏性土土堤的填筑标准应按压实度确定，其压实度不应小于0.9；无黏性土土堤的填筑标准应按相对密度确定，其相对密度不应小于0.60。</w:t>
      </w:r>
      <w:r>
        <w:rPr>
          <w:rFonts w:ascii="Times New Roman" w:hAnsi="Times New Roman" w:cs="Times New Roman"/>
          <w:sz w:val="21"/>
        </w:rPr>
        <w:t>均质土堤的筑堤土料宜选用亚黏土</w:t>
      </w:r>
      <w:r>
        <w:rPr>
          <w:rFonts w:ascii="Times New Roman" w:hAnsi="Times New Roman" w:cs="Times New Roman"/>
          <w:spacing w:val="-1"/>
          <w:sz w:val="21"/>
        </w:rPr>
        <w:t>，</w:t>
      </w:r>
      <w:r>
        <w:rPr>
          <w:rFonts w:ascii="Times New Roman" w:hAnsi="Times New Roman" w:cs="Times New Roman"/>
          <w:sz w:val="21"/>
        </w:rPr>
        <w:t>土料渗透系数不宜大于1×10</w:t>
      </w:r>
      <w:r>
        <w:rPr>
          <w:rFonts w:ascii="Times New Roman" w:hAnsi="Times New Roman" w:cs="Times New Roman"/>
          <w:sz w:val="21"/>
          <w:vertAlign w:val="superscript"/>
        </w:rPr>
        <w:t>-4</w:t>
      </w:r>
      <w:r>
        <w:rPr>
          <w:rFonts w:ascii="Times New Roman" w:hAnsi="Times New Roman" w:cs="Times New Roman"/>
          <w:sz w:val="21"/>
        </w:rPr>
        <w:t>cm/s。</w:t>
      </w:r>
    </w:p>
    <w:p w14:paraId="5A2C6A8A">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4.7.16</w:t>
      </w:r>
      <w:r>
        <w:rPr>
          <w:rFonts w:ascii="Times New Roman" w:hAnsi="Times New Roman" w:cs="Times New Roman"/>
          <w:sz w:val="21"/>
          <w:szCs w:val="21"/>
        </w:rPr>
        <w:t xml:space="preserve">  堤顶高程应按设计洪水位加堤顶超高确定。堤顶超高不宜小于0.5m。</w:t>
      </w:r>
    </w:p>
    <w:p w14:paraId="2F9E6BBC">
      <w:pPr>
        <w:snapToGrid w:val="0"/>
        <w:spacing w:line="360" w:lineRule="auto"/>
        <w:rPr>
          <w:rFonts w:ascii="Times New Roman" w:hAnsi="Times New Roman" w:cs="Times New Roman"/>
          <w:kern w:val="0"/>
          <w:sz w:val="21"/>
          <w:szCs w:val="21"/>
        </w:rPr>
      </w:pPr>
      <w:r>
        <w:rPr>
          <w:rFonts w:ascii="Times New Roman" w:hAnsi="Times New Roman" w:eastAsia="黑体" w:cs="Times New Roman"/>
          <w:b/>
          <w:bCs/>
          <w:sz w:val="21"/>
        </w:rPr>
        <w:t xml:space="preserve">4.7.17 </w:t>
      </w:r>
      <w:r>
        <w:rPr>
          <w:rFonts w:ascii="Times New Roman" w:hAnsi="Times New Roman" w:cs="Times New Roman"/>
          <w:sz w:val="21"/>
          <w:szCs w:val="21"/>
        </w:rPr>
        <w:t xml:space="preserve"> 土堤的堤顶宽度及边坡坡度可类比已建类似工程初选，并应根据稳定计算确定，顶宽宜取1m</w:t>
      </w:r>
      <w:r>
        <w:rPr>
          <w:rFonts w:ascii="Times New Roman" w:hAnsi="Times New Roman" w:cs="Times New Roman"/>
          <w:sz w:val="21"/>
        </w:rPr>
        <w:t>～</w:t>
      </w:r>
      <w:r>
        <w:rPr>
          <w:rFonts w:ascii="Times New Roman" w:hAnsi="Times New Roman" w:cs="Times New Roman"/>
          <w:sz w:val="21"/>
          <w:szCs w:val="21"/>
        </w:rPr>
        <w:t>3m，</w:t>
      </w:r>
      <w:r>
        <w:rPr>
          <w:rFonts w:ascii="Times New Roman" w:hAnsi="Times New Roman" w:cs="Times New Roman"/>
          <w:sz w:val="21"/>
        </w:rPr>
        <w:t>堤顶应向一侧或两侧倾斜</w:t>
      </w:r>
      <w:r>
        <w:rPr>
          <w:rFonts w:ascii="Times New Roman" w:hAnsi="Times New Roman" w:cs="Times New Roman"/>
          <w:spacing w:val="-21"/>
          <w:sz w:val="21"/>
        </w:rPr>
        <w:t>，</w:t>
      </w:r>
      <w:r>
        <w:rPr>
          <w:rFonts w:ascii="Times New Roman" w:hAnsi="Times New Roman" w:cs="Times New Roman"/>
          <w:sz w:val="21"/>
        </w:rPr>
        <w:t>坡度宜取2%～3%</w:t>
      </w:r>
      <w:r>
        <w:rPr>
          <w:rFonts w:ascii="Times New Roman" w:hAnsi="Times New Roman" w:cs="Times New Roman"/>
          <w:sz w:val="21"/>
          <w:szCs w:val="21"/>
        </w:rPr>
        <w:t>。堤路结合时，堤顶宽度及边坡的确定宜结合道路的要求，并应根据需要设置上堤坡道。上堤坡道的位置、坡度、顶宽、结构等可根据需要确定。临水侧坡道，宜顺水流方向布置。稳定计算应符合国家标准《堤防工程设计规范》GB 50286有关规定。</w:t>
      </w:r>
      <w:r>
        <w:rPr>
          <w:rFonts w:ascii="Times New Roman" w:hAnsi="Times New Roman" w:cs="Times New Roman"/>
          <w:kern w:val="0"/>
          <w:sz w:val="21"/>
          <w:szCs w:val="21"/>
        </w:rPr>
        <w:t>抗滑稳定安全系数不应小于本规范表4.2.18规定的数值。</w:t>
      </w:r>
    </w:p>
    <w:p w14:paraId="1711A7C9">
      <w:pPr>
        <w:snapToGrid w:val="0"/>
        <w:spacing w:line="360" w:lineRule="auto"/>
        <w:rPr>
          <w:rFonts w:ascii="Times New Roman" w:hAnsi="Times New Roman" w:cs="Times New Roman"/>
          <w:sz w:val="21"/>
        </w:rPr>
      </w:pPr>
      <w:r>
        <w:rPr>
          <w:rFonts w:ascii="Times New Roman" w:hAnsi="Times New Roman" w:eastAsia="黑体" w:cs="Times New Roman"/>
          <w:b/>
          <w:bCs/>
          <w:sz w:val="21"/>
        </w:rPr>
        <w:t>4.7.18</w:t>
      </w:r>
      <w:r>
        <w:rPr>
          <w:rFonts w:ascii="Times New Roman" w:hAnsi="Times New Roman" w:cs="Times New Roman"/>
          <w:sz w:val="21"/>
        </w:rPr>
        <w:t xml:space="preserve"> </w:t>
      </w:r>
      <w:r>
        <w:rPr>
          <w:rFonts w:hint="eastAsia" w:ascii="Times New Roman" w:hAnsi="Times New Roman" w:cs="Times New Roman"/>
          <w:sz w:val="21"/>
        </w:rPr>
        <w:t xml:space="preserve"> </w:t>
      </w:r>
      <w:r>
        <w:rPr>
          <w:rFonts w:ascii="Times New Roman" w:hAnsi="Times New Roman" w:cs="Times New Roman"/>
          <w:sz w:val="21"/>
        </w:rPr>
        <w:t>无黏性土防止渗透变形的允许坡降应以土的临界坡降除以安全系数确定，安全系数宜取1.5～2.0。无试验资料时，无黏性土的允许坡降可按表4.7.18选用。表4.7.18适用于无黏性土渗流出口无滤层的情况。黏性土的允许坡降应通过试验确定。</w:t>
      </w:r>
    </w:p>
    <w:p w14:paraId="775405EF">
      <w:pPr>
        <w:snapToGrid w:val="0"/>
        <w:jc w:val="center"/>
        <w:rPr>
          <w:rFonts w:ascii="Times New Roman" w:hAnsi="Times New Roman" w:eastAsia="黑体" w:cs="Times New Roman"/>
          <w:sz w:val="18"/>
          <w:szCs w:val="18"/>
        </w:rPr>
      </w:pPr>
      <w:r>
        <w:rPr>
          <w:rFonts w:ascii="Times New Roman" w:hAnsi="Times New Roman" w:eastAsia="黑体" w:cs="Times New Roman"/>
          <w:sz w:val="18"/>
          <w:szCs w:val="18"/>
        </w:rPr>
        <w:t>表4.7.18  无黏性土的允许坡降</w:t>
      </w:r>
    </w:p>
    <w:tbl>
      <w:tblPr>
        <w:tblStyle w:val="10"/>
        <w:tblW w:w="856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192"/>
        <w:gridCol w:w="1192"/>
        <w:gridCol w:w="1192"/>
        <w:gridCol w:w="1192"/>
        <w:gridCol w:w="1192"/>
        <w:gridCol w:w="1413"/>
      </w:tblGrid>
      <w:tr w14:paraId="004134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1192" w:type="dxa"/>
            <w:vMerge w:val="restart"/>
            <w:vAlign w:val="center"/>
          </w:tcPr>
          <w:p w14:paraId="00E6EC29">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渗透变形</w:t>
            </w:r>
          </w:p>
          <w:p w14:paraId="4F280057">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型式</w:t>
            </w:r>
          </w:p>
        </w:tc>
        <w:tc>
          <w:tcPr>
            <w:tcW w:w="3576" w:type="dxa"/>
            <w:gridSpan w:val="3"/>
            <w:vAlign w:val="center"/>
          </w:tcPr>
          <w:p w14:paraId="5D864508">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流土型</w:t>
            </w:r>
          </w:p>
        </w:tc>
        <w:tc>
          <w:tcPr>
            <w:tcW w:w="1192" w:type="dxa"/>
            <w:vMerge w:val="restart"/>
            <w:vAlign w:val="center"/>
          </w:tcPr>
          <w:p w14:paraId="2E383210">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过渡型</w:t>
            </w:r>
          </w:p>
        </w:tc>
        <w:tc>
          <w:tcPr>
            <w:tcW w:w="2605" w:type="dxa"/>
            <w:gridSpan w:val="2"/>
            <w:vAlign w:val="center"/>
          </w:tcPr>
          <w:p w14:paraId="1AA15A7C">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管涌型</w:t>
            </w:r>
          </w:p>
        </w:tc>
      </w:tr>
      <w:tr w14:paraId="3F80FC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1192" w:type="dxa"/>
            <w:vMerge w:val="continue"/>
            <w:vAlign w:val="center"/>
          </w:tcPr>
          <w:p w14:paraId="7B6EB4D3">
            <w:pPr>
              <w:snapToGrid w:val="0"/>
              <w:ind w:firstLine="147" w:firstLineChars="98"/>
              <w:jc w:val="center"/>
              <w:rPr>
                <w:rFonts w:ascii="Times New Roman" w:hAnsi="Times New Roman" w:cs="Times New Roman"/>
                <w:bCs/>
                <w:kern w:val="0"/>
                <w:sz w:val="15"/>
                <w:szCs w:val="15"/>
              </w:rPr>
            </w:pPr>
          </w:p>
        </w:tc>
        <w:tc>
          <w:tcPr>
            <w:tcW w:w="1192" w:type="dxa"/>
            <w:vAlign w:val="center"/>
          </w:tcPr>
          <w:p w14:paraId="1CA4FEFE">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C</w:t>
            </w:r>
            <w:r>
              <w:rPr>
                <w:rFonts w:ascii="Times New Roman" w:hAnsi="Times New Roman" w:cs="Times New Roman"/>
                <w:bCs/>
                <w:kern w:val="0"/>
                <w:sz w:val="15"/>
                <w:szCs w:val="15"/>
                <w:vertAlign w:val="subscript"/>
              </w:rPr>
              <w:t>u</w:t>
            </w:r>
            <w:r>
              <w:rPr>
                <w:rFonts w:ascii="Times New Roman" w:hAnsi="Times New Roman" w:cs="Times New Roman"/>
                <w:bCs/>
                <w:kern w:val="0"/>
                <w:sz w:val="15"/>
                <w:szCs w:val="15"/>
              </w:rPr>
              <w:t>＜3</w:t>
            </w:r>
          </w:p>
        </w:tc>
        <w:tc>
          <w:tcPr>
            <w:tcW w:w="1192" w:type="dxa"/>
            <w:vAlign w:val="center"/>
          </w:tcPr>
          <w:p w14:paraId="65FD6E01">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3</w:t>
            </w:r>
            <w:r>
              <w:rPr>
                <w:rFonts w:ascii="Times New Roman" w:hAnsi="Times New Roman" w:cs="Times New Roman"/>
                <w:kern w:val="0"/>
                <w:sz w:val="15"/>
                <w:szCs w:val="15"/>
              </w:rPr>
              <w:t>≤</w:t>
            </w:r>
            <w:r>
              <w:rPr>
                <w:rFonts w:ascii="Times New Roman" w:hAnsi="Times New Roman" w:cs="Times New Roman"/>
                <w:bCs/>
                <w:kern w:val="0"/>
                <w:sz w:val="15"/>
                <w:szCs w:val="15"/>
              </w:rPr>
              <w:t>C</w:t>
            </w:r>
            <w:r>
              <w:rPr>
                <w:rFonts w:ascii="Times New Roman" w:hAnsi="Times New Roman" w:cs="Times New Roman"/>
                <w:bCs/>
                <w:kern w:val="0"/>
                <w:sz w:val="15"/>
                <w:szCs w:val="15"/>
                <w:vertAlign w:val="subscript"/>
              </w:rPr>
              <w:t>u</w:t>
            </w:r>
            <w:r>
              <w:rPr>
                <w:rFonts w:ascii="Times New Roman" w:hAnsi="Times New Roman" w:cs="Times New Roman"/>
                <w:kern w:val="0"/>
                <w:sz w:val="15"/>
                <w:szCs w:val="15"/>
              </w:rPr>
              <w:t>≤</w:t>
            </w:r>
            <w:r>
              <w:rPr>
                <w:rFonts w:ascii="Times New Roman" w:hAnsi="Times New Roman" w:cs="Times New Roman"/>
                <w:bCs/>
                <w:kern w:val="0"/>
                <w:sz w:val="15"/>
                <w:szCs w:val="15"/>
              </w:rPr>
              <w:t>5</w:t>
            </w:r>
          </w:p>
        </w:tc>
        <w:tc>
          <w:tcPr>
            <w:tcW w:w="1192" w:type="dxa"/>
            <w:vAlign w:val="center"/>
          </w:tcPr>
          <w:p w14:paraId="5B5E92E0">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C</w:t>
            </w:r>
            <w:r>
              <w:rPr>
                <w:rFonts w:ascii="Times New Roman" w:hAnsi="Times New Roman" w:cs="Times New Roman"/>
                <w:bCs/>
                <w:kern w:val="0"/>
                <w:sz w:val="15"/>
                <w:szCs w:val="15"/>
                <w:vertAlign w:val="subscript"/>
              </w:rPr>
              <w:t>u</w:t>
            </w:r>
            <w:r>
              <w:rPr>
                <w:rFonts w:ascii="Times New Roman" w:hAnsi="Times New Roman" w:cs="Times New Roman"/>
                <w:bCs/>
                <w:kern w:val="0"/>
                <w:sz w:val="15"/>
                <w:szCs w:val="15"/>
              </w:rPr>
              <w:t>＞5</w:t>
            </w:r>
          </w:p>
        </w:tc>
        <w:tc>
          <w:tcPr>
            <w:tcW w:w="1192" w:type="dxa"/>
            <w:vMerge w:val="continue"/>
            <w:vAlign w:val="center"/>
          </w:tcPr>
          <w:p w14:paraId="4BED69C4">
            <w:pPr>
              <w:snapToGrid w:val="0"/>
              <w:ind w:firstLine="147" w:firstLineChars="98"/>
              <w:jc w:val="center"/>
              <w:rPr>
                <w:rFonts w:ascii="Times New Roman" w:hAnsi="Times New Roman" w:cs="Times New Roman"/>
                <w:bCs/>
                <w:kern w:val="0"/>
                <w:sz w:val="15"/>
                <w:szCs w:val="15"/>
              </w:rPr>
            </w:pPr>
          </w:p>
        </w:tc>
        <w:tc>
          <w:tcPr>
            <w:tcW w:w="1192" w:type="dxa"/>
            <w:vAlign w:val="center"/>
          </w:tcPr>
          <w:p w14:paraId="10F00A27">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级配连续</w:t>
            </w:r>
          </w:p>
        </w:tc>
        <w:tc>
          <w:tcPr>
            <w:tcW w:w="1413" w:type="dxa"/>
            <w:vAlign w:val="center"/>
          </w:tcPr>
          <w:p w14:paraId="2642AB1E">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级配不连续</w:t>
            </w:r>
          </w:p>
        </w:tc>
      </w:tr>
      <w:tr w14:paraId="616EAA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192" w:type="dxa"/>
            <w:vAlign w:val="center"/>
          </w:tcPr>
          <w:p w14:paraId="12CCD5F5">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允许坡降</w:t>
            </w:r>
          </w:p>
        </w:tc>
        <w:tc>
          <w:tcPr>
            <w:tcW w:w="1192" w:type="dxa"/>
            <w:vAlign w:val="center"/>
          </w:tcPr>
          <w:p w14:paraId="350BFF66">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0.25～0.35</w:t>
            </w:r>
          </w:p>
        </w:tc>
        <w:tc>
          <w:tcPr>
            <w:tcW w:w="1192" w:type="dxa"/>
            <w:vAlign w:val="center"/>
          </w:tcPr>
          <w:p w14:paraId="6CA71124">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0.35～0.50</w:t>
            </w:r>
          </w:p>
        </w:tc>
        <w:tc>
          <w:tcPr>
            <w:tcW w:w="1192" w:type="dxa"/>
            <w:vAlign w:val="center"/>
          </w:tcPr>
          <w:p w14:paraId="0C2F828D">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0.50～0.80</w:t>
            </w:r>
          </w:p>
        </w:tc>
        <w:tc>
          <w:tcPr>
            <w:tcW w:w="1192" w:type="dxa"/>
            <w:vAlign w:val="center"/>
          </w:tcPr>
          <w:p w14:paraId="2FDE6E43">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0.25～0.40</w:t>
            </w:r>
          </w:p>
        </w:tc>
        <w:tc>
          <w:tcPr>
            <w:tcW w:w="1192" w:type="dxa"/>
            <w:vAlign w:val="center"/>
          </w:tcPr>
          <w:p w14:paraId="62332071">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0.15～0.25</w:t>
            </w:r>
          </w:p>
        </w:tc>
        <w:tc>
          <w:tcPr>
            <w:tcW w:w="1413" w:type="dxa"/>
            <w:vAlign w:val="center"/>
          </w:tcPr>
          <w:p w14:paraId="2ABE9589">
            <w:pPr>
              <w:snapToGrid w:val="0"/>
              <w:ind w:firstLine="147" w:firstLineChars="98"/>
              <w:jc w:val="center"/>
              <w:rPr>
                <w:rFonts w:ascii="Times New Roman" w:hAnsi="Times New Roman" w:cs="Times New Roman"/>
                <w:bCs/>
                <w:kern w:val="0"/>
                <w:sz w:val="15"/>
                <w:szCs w:val="15"/>
              </w:rPr>
            </w:pPr>
            <w:r>
              <w:rPr>
                <w:rFonts w:ascii="Times New Roman" w:hAnsi="Times New Roman" w:cs="Times New Roman"/>
                <w:bCs/>
                <w:kern w:val="0"/>
                <w:sz w:val="15"/>
                <w:szCs w:val="15"/>
              </w:rPr>
              <w:t>0.10～0.15</w:t>
            </w:r>
          </w:p>
        </w:tc>
      </w:tr>
    </w:tbl>
    <w:p w14:paraId="0FB1E6AC">
      <w:pPr>
        <w:snapToGrid w:val="0"/>
        <w:spacing w:before="156" w:beforeLines="50" w:line="360" w:lineRule="auto"/>
        <w:rPr>
          <w:rFonts w:ascii="Times New Roman" w:hAnsi="Times New Roman" w:cs="Times New Roman"/>
          <w:sz w:val="21"/>
          <w:szCs w:val="21"/>
        </w:rPr>
      </w:pPr>
      <w:r>
        <w:rPr>
          <w:rFonts w:ascii="Times New Roman" w:hAnsi="Times New Roman" w:eastAsia="黑体" w:cs="Times New Roman"/>
          <w:b/>
          <w:bCs/>
          <w:sz w:val="21"/>
        </w:rPr>
        <w:t>4.7.19</w:t>
      </w:r>
      <w:r>
        <w:rPr>
          <w:rFonts w:ascii="Times New Roman" w:hAnsi="Times New Roman" w:cs="Times New Roman"/>
          <w:b/>
          <w:bCs/>
          <w:sz w:val="21"/>
          <w:szCs w:val="21"/>
        </w:rPr>
        <w:t xml:space="preserve"> </w:t>
      </w:r>
      <w:r>
        <w:rPr>
          <w:rFonts w:ascii="Times New Roman" w:hAnsi="Times New Roman" w:cs="Times New Roman"/>
          <w:sz w:val="21"/>
          <w:szCs w:val="21"/>
        </w:rPr>
        <w:t xml:space="preserve"> 土堤应采取护坡措施。护坡的型式应根据风浪大小、近堤流速，结合堤高、堤身与堤基土质等因素确定。土堤宜采用草皮护坡，在近堤流速较大易造成护地堤冲刷破坏时，可采用砌石、混凝土、石笼等型式，并应与护脚工程统筹设计。护坡、护脚工程的结构尺寸可按已建</w:t>
      </w:r>
      <w:r>
        <w:rPr>
          <w:rFonts w:ascii="Times New Roman" w:hAnsi="Times New Roman" w:cs="Times New Roman"/>
          <w:kern w:val="0"/>
          <w:sz w:val="21"/>
          <w:szCs w:val="21"/>
        </w:rPr>
        <w:t>类似</w:t>
      </w:r>
      <w:r>
        <w:rPr>
          <w:rFonts w:ascii="Times New Roman" w:hAnsi="Times New Roman" w:cs="Times New Roman"/>
          <w:sz w:val="21"/>
          <w:szCs w:val="21"/>
        </w:rPr>
        <w:t>工程经验确定，或按国家标准《堤防工程设计规范》GB 50286规定执行。</w:t>
      </w:r>
    </w:p>
    <w:p w14:paraId="5154035B">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4.7.20</w:t>
      </w:r>
      <w:r>
        <w:rPr>
          <w:rFonts w:ascii="Times New Roman" w:hAnsi="Times New Roman" w:cs="Times New Roman"/>
          <w:b/>
          <w:bCs/>
          <w:sz w:val="21"/>
          <w:szCs w:val="21"/>
        </w:rPr>
        <w:t xml:space="preserve"> </w:t>
      </w:r>
      <w:r>
        <w:rPr>
          <w:rFonts w:ascii="Times New Roman" w:hAnsi="Times New Roman" w:cs="Times New Roman"/>
          <w:sz w:val="21"/>
          <w:szCs w:val="21"/>
        </w:rPr>
        <w:t xml:space="preserve"> 防洪墙设计应包括确定堤身结构型式、墙顶高程、基础轮廓尺寸以及防渗、排水设施。</w:t>
      </w:r>
    </w:p>
    <w:p w14:paraId="4BF91C51">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4.7.21</w:t>
      </w:r>
      <w:r>
        <w:rPr>
          <w:rFonts w:ascii="Times New Roman" w:hAnsi="Times New Roman" w:cs="Times New Roman"/>
          <w:b/>
          <w:bCs/>
          <w:sz w:val="21"/>
          <w:szCs w:val="21"/>
        </w:rPr>
        <w:t xml:space="preserve"> </w:t>
      </w:r>
      <w:r>
        <w:rPr>
          <w:rFonts w:hint="eastAsia" w:ascii="Times New Roman" w:hAnsi="Times New Roman" w:cs="Times New Roman"/>
          <w:b/>
          <w:bCs/>
          <w:sz w:val="21"/>
          <w:szCs w:val="21"/>
        </w:rPr>
        <w:t xml:space="preserve"> </w:t>
      </w:r>
      <w:r>
        <w:rPr>
          <w:rFonts w:ascii="Times New Roman" w:hAnsi="Times New Roman" w:cs="Times New Roman"/>
          <w:sz w:val="21"/>
          <w:szCs w:val="21"/>
        </w:rPr>
        <w:t>防洪墙可采用浆砌石、石笼、混凝土或钢筋混凝土结构。其墙顶高程确定方法应与土堤堤顶高程确定方法相同。基础埋置深度应满足抗冲刷和冻结深度要求。</w:t>
      </w:r>
    </w:p>
    <w:p w14:paraId="3115CFD7">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4.7.22</w:t>
      </w:r>
      <w:r>
        <w:rPr>
          <w:rFonts w:ascii="Times New Roman" w:hAnsi="Times New Roman" w:cs="Times New Roman"/>
          <w:b/>
          <w:bCs/>
          <w:sz w:val="21"/>
          <w:szCs w:val="21"/>
        </w:rPr>
        <w:t xml:space="preserve"> </w:t>
      </w:r>
      <w:r>
        <w:rPr>
          <w:rFonts w:ascii="Times New Roman" w:hAnsi="Times New Roman" w:cs="Times New Roman"/>
          <w:sz w:val="21"/>
          <w:szCs w:val="21"/>
        </w:rPr>
        <w:t xml:space="preserve"> 防洪墙应设置变形缝。浆砌石及混凝土墙缝距宜为10m～15m，钢筋混凝土墙宜为15m～20m。地基土质、墙高、外部荷载、墙体断面结构变化处，应增设变形缝，变形缝应设止水。</w:t>
      </w:r>
    </w:p>
    <w:p w14:paraId="2AAC78F1">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4.7.23</w:t>
      </w:r>
      <w:r>
        <w:rPr>
          <w:rFonts w:ascii="Times New Roman" w:hAnsi="Times New Roman" w:cs="Times New Roman"/>
          <w:sz w:val="21"/>
          <w:szCs w:val="21"/>
        </w:rPr>
        <w:t xml:space="preserve"> </w:t>
      </w:r>
      <w:r>
        <w:rPr>
          <w:rFonts w:hint="eastAsia" w:ascii="Times New Roman" w:hAnsi="Times New Roman" w:cs="Times New Roman"/>
          <w:sz w:val="21"/>
          <w:szCs w:val="21"/>
        </w:rPr>
        <w:t xml:space="preserve"> </w:t>
      </w:r>
      <w:r>
        <w:rPr>
          <w:rFonts w:ascii="Times New Roman" w:hAnsi="Times New Roman" w:cs="Times New Roman"/>
          <w:sz w:val="21"/>
          <w:szCs w:val="21"/>
        </w:rPr>
        <w:t>防洪墙应进行抗倾、抗滑和地基整体稳定计算。计算方法应按国家标准《堤防工程设计规范》GB 50286规定执行。</w:t>
      </w:r>
      <w:r>
        <w:rPr>
          <w:rFonts w:ascii="Times New Roman" w:hAnsi="Times New Roman" w:cs="Times New Roman"/>
          <w:kern w:val="0"/>
          <w:sz w:val="21"/>
          <w:szCs w:val="21"/>
        </w:rPr>
        <w:t>其安全系数不应小于本规范表4.2.19和表4.2.20规定的数值</w:t>
      </w:r>
      <w:r>
        <w:rPr>
          <w:rFonts w:ascii="Times New Roman" w:hAnsi="Times New Roman" w:cs="Times New Roman"/>
          <w:sz w:val="21"/>
          <w:szCs w:val="21"/>
        </w:rPr>
        <w:t>。</w:t>
      </w:r>
    </w:p>
    <w:p w14:paraId="55ADDA45">
      <w:pPr>
        <w:keepNext/>
        <w:keepLines/>
        <w:spacing w:before="260" w:after="260"/>
        <w:jc w:val="center"/>
        <w:outlineLvl w:val="2"/>
        <w:rPr>
          <w:rFonts w:ascii="Times New Roman" w:hAnsi="Times New Roman" w:eastAsia="黑体" w:cs="Times New Roman"/>
          <w:bCs/>
          <w:sz w:val="24"/>
          <w:szCs w:val="24"/>
        </w:rPr>
      </w:pPr>
      <w:bookmarkStart w:id="114" w:name="_Toc324287568"/>
      <w:bookmarkStart w:id="115" w:name="_Toc324282276"/>
      <w:bookmarkStart w:id="116" w:name="_Toc324280241"/>
      <w:bookmarkStart w:id="117" w:name="_Toc360519977"/>
      <w:bookmarkStart w:id="118" w:name="_Toc360528851"/>
      <w:bookmarkStart w:id="119" w:name="_Toc360526257"/>
      <w:bookmarkStart w:id="120" w:name="_Toc323828653"/>
      <w:bookmarkStart w:id="121" w:name="_Toc323805617"/>
      <w:r>
        <w:rPr>
          <w:rFonts w:ascii="Times New Roman" w:hAnsi="Times New Roman" w:eastAsia="黑体" w:cs="Times New Roman"/>
          <w:bCs/>
          <w:sz w:val="24"/>
          <w:szCs w:val="24"/>
        </w:rPr>
        <w:t>Ⅴ 丁坝、顺坝结构型式</w:t>
      </w:r>
      <w:bookmarkEnd w:id="114"/>
      <w:bookmarkEnd w:id="115"/>
      <w:bookmarkEnd w:id="116"/>
      <w:bookmarkEnd w:id="117"/>
      <w:bookmarkEnd w:id="118"/>
      <w:bookmarkEnd w:id="119"/>
      <w:bookmarkEnd w:id="120"/>
      <w:bookmarkEnd w:id="121"/>
    </w:p>
    <w:p w14:paraId="7329D22C">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4.7.24</w:t>
      </w:r>
      <w:r>
        <w:rPr>
          <w:rFonts w:ascii="Times New Roman" w:hAnsi="Times New Roman" w:eastAsia="黑体" w:cs="Times New Roman"/>
          <w:sz w:val="21"/>
        </w:rPr>
        <w:t xml:space="preserve"> </w:t>
      </w:r>
      <w:r>
        <w:rPr>
          <w:rFonts w:ascii="Times New Roman" w:hAnsi="Times New Roman" w:cs="Times New Roman"/>
          <w:sz w:val="21"/>
          <w:szCs w:val="21"/>
        </w:rPr>
        <w:t xml:space="preserve"> 丁坝应坚固耐久，抗冲刷、抗磨损性能强，能较好适应河床变形，便于施工、修复、加固，且就地取材、经济合理，宜选用抛石丁坝、土心丁坝、沉排丁坝等结构型式。</w:t>
      </w:r>
    </w:p>
    <w:p w14:paraId="7FA78E36">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4.7.25</w:t>
      </w:r>
      <w:r>
        <w:rPr>
          <w:rFonts w:ascii="Times New Roman" w:hAnsi="Times New Roman" w:eastAsia="黑体" w:cs="Times New Roman"/>
          <w:sz w:val="21"/>
        </w:rPr>
        <w:t xml:space="preserve"> </w:t>
      </w:r>
      <w:r>
        <w:rPr>
          <w:rFonts w:ascii="Times New Roman" w:hAnsi="Times New Roman" w:cs="Times New Roman"/>
          <w:sz w:val="21"/>
          <w:szCs w:val="21"/>
        </w:rPr>
        <w:t xml:space="preserve"> 丁坝设计应包括确定丁坝长度、坝顶高程、坝顶宽度、坝的上下游坡度等。结构尺寸应根据水流条件、稳定、施工及运用要求分析确定，或根据已建类似工程的经验选定。</w:t>
      </w:r>
    </w:p>
    <w:p w14:paraId="646C9110">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4.7.26</w:t>
      </w:r>
      <w:r>
        <w:rPr>
          <w:rFonts w:ascii="Times New Roman" w:hAnsi="Times New Roman" w:cs="Times New Roman"/>
          <w:sz w:val="21"/>
          <w:szCs w:val="21"/>
        </w:rPr>
        <w:t xml:space="preserve"> </w:t>
      </w:r>
      <w:r>
        <w:rPr>
          <w:rFonts w:hint="eastAsia" w:ascii="Times New Roman" w:hAnsi="Times New Roman" w:cs="Times New Roman"/>
          <w:sz w:val="21"/>
          <w:szCs w:val="21"/>
        </w:rPr>
        <w:t xml:space="preserve"> </w:t>
      </w:r>
      <w:r>
        <w:rPr>
          <w:rFonts w:ascii="Times New Roman" w:hAnsi="Times New Roman" w:cs="Times New Roman"/>
          <w:sz w:val="21"/>
          <w:szCs w:val="21"/>
        </w:rPr>
        <w:t>丁坝长度应根据滩岸与整治线距离确定。坝顶高程应超过设计洪水位0.5m及以上。</w:t>
      </w:r>
    </w:p>
    <w:p w14:paraId="134276DA">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4.7.27</w:t>
      </w:r>
      <w:r>
        <w:rPr>
          <w:rFonts w:ascii="Times New Roman" w:hAnsi="Times New Roman" w:cs="Times New Roman"/>
          <w:sz w:val="21"/>
          <w:szCs w:val="21"/>
        </w:rPr>
        <w:t xml:space="preserve">  抛石丁坝坝顶的宽度宜采用1m～3m；坝的上下游坡度不宜陡于1:1.5，坝头坡度宜采用1:2.5～1:3。土心丁坝坝顶的宽度宜采用5m～10m，坝的上下游护砌坡度宜缓于1:1，护砌厚度可采用0.5m～1.0m；坝头部分采用抛石，上下游坡度不宜陡于1:1.5，坝头坡度宜采用1:2.5～1:3。沉排叠砌丁坝的顶宽宜采用2m～4m，坝的上下游坡度宜采用1:1～1:1.5。护底层的沉排铺设范围应保证河床产生最大冲刷深度情况下坝体不受破坏。</w:t>
      </w:r>
    </w:p>
    <w:p w14:paraId="27A6568D">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4.7.28</w:t>
      </w:r>
      <w:r>
        <w:rPr>
          <w:rFonts w:ascii="Times New Roman" w:hAnsi="Times New Roman" w:eastAsia="黑体" w:cs="Times New Roman"/>
          <w:sz w:val="21"/>
        </w:rPr>
        <w:t xml:space="preserve"> </w:t>
      </w:r>
      <w:r>
        <w:rPr>
          <w:rFonts w:ascii="Times New Roman" w:hAnsi="Times New Roman" w:cs="Times New Roman"/>
          <w:sz w:val="21"/>
          <w:szCs w:val="21"/>
        </w:rPr>
        <w:t xml:space="preserve"> 土心丁坝在土与护坡之间应设置垫层。根据反滤要求，可采用砂砾石垫层或土工织物垫层，砂砾石垫层厚度不应小于0.15m。土工织物垫层的上面宜铺薄层砂砾石保护，保护层厚度不小于0.1m。</w:t>
      </w:r>
    </w:p>
    <w:p w14:paraId="0585390E">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4.7.29</w:t>
      </w:r>
      <w:r>
        <w:rPr>
          <w:rFonts w:hint="eastAsia" w:ascii="Times New Roman" w:hAnsi="Times New Roman" w:eastAsia="黑体" w:cs="Times New Roman"/>
          <w:sz w:val="21"/>
        </w:rPr>
        <w:t xml:space="preserve"> </w:t>
      </w:r>
      <w:r>
        <w:rPr>
          <w:rFonts w:ascii="Times New Roman" w:hAnsi="Times New Roman" w:cs="Times New Roman"/>
          <w:sz w:val="21"/>
          <w:szCs w:val="21"/>
        </w:rPr>
        <w:t xml:space="preserve"> 丁坝坝根与护地堤或滩岸衔接处应加强防护。</w:t>
      </w:r>
    </w:p>
    <w:p w14:paraId="7EB6B12F">
      <w:pPr>
        <w:snapToGrid w:val="0"/>
        <w:spacing w:line="360" w:lineRule="auto"/>
        <w:rPr>
          <w:rFonts w:ascii="Times New Roman" w:hAnsi="Times New Roman" w:cs="Times New Roman"/>
          <w:kern w:val="0"/>
          <w:sz w:val="21"/>
          <w:szCs w:val="21"/>
        </w:rPr>
      </w:pPr>
      <w:r>
        <w:rPr>
          <w:rFonts w:ascii="Times New Roman" w:hAnsi="Times New Roman" w:eastAsia="黑体" w:cs="Times New Roman"/>
          <w:b/>
          <w:bCs/>
          <w:sz w:val="21"/>
        </w:rPr>
        <w:t>4.7.30</w:t>
      </w:r>
      <w:r>
        <w:rPr>
          <w:rFonts w:ascii="Times New Roman" w:hAnsi="Times New Roman" w:cs="Times New Roman"/>
          <w:sz w:val="21"/>
          <w:szCs w:val="21"/>
        </w:rPr>
        <w:t xml:space="preserve">  中细砂组成的河床或水深流急处修建丁坝宜采用沉排护底，坝头部分应加大护底范围，铺设的沉排宽度应在河床产生最大冲刷深度情况下坝体不受破坏。</w:t>
      </w:r>
      <w:r>
        <w:rPr>
          <w:rFonts w:ascii="Times New Roman" w:hAnsi="Times New Roman" w:cs="Times New Roman"/>
          <w:kern w:val="0"/>
          <w:sz w:val="21"/>
          <w:szCs w:val="21"/>
        </w:rPr>
        <w:t>冲刷深度可根据水深、流速、土质因素，或类似工程经验确定。</w:t>
      </w:r>
    </w:p>
    <w:p w14:paraId="390EEE5A">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4.7.31</w:t>
      </w:r>
      <w:r>
        <w:rPr>
          <w:rFonts w:ascii="Times New Roman" w:hAnsi="Times New Roman" w:eastAsia="黑体" w:cs="Times New Roman"/>
          <w:sz w:val="21"/>
        </w:rPr>
        <w:t xml:space="preserve"> </w:t>
      </w:r>
      <w:r>
        <w:rPr>
          <w:rFonts w:ascii="Times New Roman" w:hAnsi="Times New Roman" w:cs="Times New Roman"/>
          <w:sz w:val="21"/>
          <w:szCs w:val="21"/>
        </w:rPr>
        <w:t xml:space="preserve"> 不透水淹没式丁坝顶面宜作成坝根斜向河心的纵坡，其坡度可取1%～3%。</w:t>
      </w:r>
    </w:p>
    <w:p w14:paraId="3C8D05DE">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4.7.32</w:t>
      </w:r>
      <w:r>
        <w:rPr>
          <w:rFonts w:ascii="Times New Roman" w:hAnsi="Times New Roman" w:eastAsia="黑体" w:cs="Times New Roman"/>
          <w:sz w:val="21"/>
        </w:rPr>
        <w:t xml:space="preserve"> </w:t>
      </w:r>
      <w:r>
        <w:rPr>
          <w:rFonts w:ascii="Times New Roman" w:hAnsi="Times New Roman" w:cs="Times New Roman"/>
          <w:sz w:val="21"/>
          <w:szCs w:val="21"/>
        </w:rPr>
        <w:t xml:space="preserve"> 顺坝的结构、材料应坚固耐久，抗冲刷、抗磨损性能强，并应能较好适应河床变形。</w:t>
      </w:r>
    </w:p>
    <w:p w14:paraId="771213DA">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4.7.33</w:t>
      </w:r>
      <w:r>
        <w:rPr>
          <w:rFonts w:ascii="Times New Roman" w:hAnsi="Times New Roman" w:cs="Times New Roman"/>
          <w:sz w:val="21"/>
          <w:szCs w:val="21"/>
        </w:rPr>
        <w:t xml:space="preserve">  顺坝设计应包括确定顺坝长度、坝顶高程、坝顶宽度、坝的上下游坡度。结构尺寸应根据水流条件、稳定、施工及运用要求分析确定，或根据已建类似工程的经验选定。</w:t>
      </w:r>
    </w:p>
    <w:p w14:paraId="4C109283">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4.7.34</w:t>
      </w:r>
      <w:r>
        <w:rPr>
          <w:rFonts w:ascii="Times New Roman" w:hAnsi="Times New Roman" w:cs="Times New Roman"/>
          <w:sz w:val="21"/>
          <w:szCs w:val="21"/>
        </w:rPr>
        <w:t xml:space="preserve">  顺坝长度应根据风浪、水流及崩岸趋势等因素确定。坝顶高程应高于河道整治流量相应水位0.5m及以上，也可自坝根至坝头，顺水流方向略有倾斜。</w:t>
      </w:r>
    </w:p>
    <w:p w14:paraId="10A613B6">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4.7.35</w:t>
      </w:r>
      <w:r>
        <w:rPr>
          <w:rFonts w:ascii="Times New Roman" w:hAnsi="Times New Roman" w:cs="Times New Roman"/>
          <w:sz w:val="21"/>
          <w:szCs w:val="21"/>
        </w:rPr>
        <w:t xml:space="preserve">  顺坝坝顶宽度应根据坝体结构、施工、抢险要求确定。土质顺坝坝顶宽度可取3m～10m，抛石顺坝坝顶宽度可取2m～5m。</w:t>
      </w:r>
    </w:p>
    <w:p w14:paraId="0D54A110">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4.7.36</w:t>
      </w:r>
      <w:r>
        <w:rPr>
          <w:rFonts w:ascii="Times New Roman" w:hAnsi="Times New Roman" w:eastAsia="黑体" w:cs="Times New Roman"/>
          <w:sz w:val="21"/>
        </w:rPr>
        <w:t xml:space="preserve"> </w:t>
      </w:r>
      <w:r>
        <w:rPr>
          <w:rFonts w:ascii="Times New Roman" w:hAnsi="Times New Roman" w:cs="Times New Roman"/>
          <w:sz w:val="21"/>
          <w:szCs w:val="21"/>
        </w:rPr>
        <w:t xml:space="preserve"> 坝外坡坡度应较平顺，边坡可取1:1.5～1:3，并沿边抛石或抛枕加以保护，坝头处边坡应适当放缓，不宜小于1:3；坝内坡边坡可取1:1～1:2。</w:t>
      </w:r>
    </w:p>
    <w:p w14:paraId="7EC93FDA">
      <w:pPr>
        <w:keepNext/>
        <w:keepLines/>
        <w:spacing w:before="260" w:after="260"/>
        <w:jc w:val="center"/>
        <w:outlineLvl w:val="2"/>
        <w:rPr>
          <w:rFonts w:ascii="Times New Roman" w:hAnsi="Times New Roman" w:eastAsia="黑体" w:cs="Times New Roman"/>
          <w:bCs/>
          <w:sz w:val="24"/>
          <w:szCs w:val="24"/>
        </w:rPr>
      </w:pPr>
      <w:bookmarkStart w:id="122" w:name="_Toc323828654"/>
      <w:bookmarkStart w:id="123" w:name="_Toc324282277"/>
      <w:bookmarkStart w:id="124" w:name="_Toc360519978"/>
      <w:bookmarkStart w:id="125" w:name="_Toc324287569"/>
      <w:bookmarkStart w:id="126" w:name="_Toc324280242"/>
      <w:bookmarkStart w:id="127" w:name="_Toc360526258"/>
      <w:bookmarkStart w:id="128" w:name="_Toc323805618"/>
      <w:bookmarkStart w:id="129" w:name="_Toc360528852"/>
      <w:r>
        <w:rPr>
          <w:rFonts w:ascii="Times New Roman" w:hAnsi="Times New Roman" w:eastAsia="黑体" w:cs="Times New Roman"/>
          <w:bCs/>
          <w:sz w:val="24"/>
          <w:szCs w:val="24"/>
        </w:rPr>
        <w:t>Ⅵ 生态护岸型式</w:t>
      </w:r>
      <w:bookmarkEnd w:id="122"/>
      <w:bookmarkEnd w:id="123"/>
      <w:bookmarkEnd w:id="124"/>
      <w:bookmarkEnd w:id="125"/>
      <w:bookmarkEnd w:id="126"/>
      <w:bookmarkEnd w:id="127"/>
      <w:bookmarkEnd w:id="128"/>
      <w:bookmarkEnd w:id="129"/>
    </w:p>
    <w:p w14:paraId="2E3284CD">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4.7.37</w:t>
      </w:r>
      <w:r>
        <w:rPr>
          <w:rFonts w:ascii="Times New Roman" w:hAnsi="Times New Roman" w:cs="Times New Roman"/>
          <w:sz w:val="21"/>
          <w:szCs w:val="21"/>
        </w:rPr>
        <w:t xml:space="preserve"> </w:t>
      </w:r>
      <w:r>
        <w:rPr>
          <w:rFonts w:hint="eastAsia" w:ascii="Times New Roman" w:hAnsi="Times New Roman" w:cs="Times New Roman"/>
          <w:sz w:val="21"/>
          <w:szCs w:val="21"/>
        </w:rPr>
        <w:t xml:space="preserve"> </w:t>
      </w:r>
      <w:r>
        <w:rPr>
          <w:rFonts w:ascii="Times New Roman" w:hAnsi="Times New Roman" w:cs="Times New Roman"/>
          <w:sz w:val="21"/>
          <w:szCs w:val="21"/>
        </w:rPr>
        <w:t>流量、流速不大和冲刷能力较弱的沟道可采取乔灌草相结合或单一种植植被保护河岸的护岸型式。常水位下的浅水区和水位波动频繁的区域可种植具有喜水特性植物，滩岸上可撒播草籽或种植乔灌木。</w:t>
      </w:r>
    </w:p>
    <w:p w14:paraId="58BA9B96">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4.7.38</w:t>
      </w:r>
      <w:r>
        <w:rPr>
          <w:rFonts w:ascii="Times New Roman" w:hAnsi="Times New Roman" w:cs="Times New Roman"/>
          <w:sz w:val="21"/>
          <w:szCs w:val="21"/>
        </w:rPr>
        <w:t xml:space="preserve">  流量、流速较大和冲刷能力较强的沟道可采用石材、木材等天然材料与种植植被相结合的护岸型式。常水位线以下可采用石笼、木桩、干砌块石等防护措施，岸坡种植乔灌草。</w:t>
      </w:r>
    </w:p>
    <w:p w14:paraId="65D8695B">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4.7.39</w:t>
      </w:r>
      <w:r>
        <w:rPr>
          <w:rFonts w:hint="eastAsia" w:ascii="Times New Roman" w:hAnsi="Times New Roman" w:eastAsia="黑体" w:cs="Times New Roman"/>
          <w:b/>
          <w:bCs/>
          <w:sz w:val="21"/>
        </w:rPr>
        <w:t xml:space="preserve">  </w:t>
      </w:r>
      <w:r>
        <w:rPr>
          <w:rFonts w:ascii="Times New Roman" w:hAnsi="Times New Roman" w:cs="Times New Roman"/>
          <w:sz w:val="21"/>
          <w:szCs w:val="21"/>
        </w:rPr>
        <w:t>大流量和高冲刷能力的沟道可采用土工网垫固土种植、土工格栅固土种植等土工材料复合种植基、石笼，以及生态混凝土、生态预制块、生态预制框等新型商品化生态护岸构件。</w:t>
      </w:r>
    </w:p>
    <w:p w14:paraId="5B6ECD58">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4.7.40</w:t>
      </w:r>
      <w:r>
        <w:rPr>
          <w:rFonts w:ascii="Times New Roman" w:hAnsi="Times New Roman" w:cs="Times New Roman"/>
          <w:sz w:val="21"/>
          <w:szCs w:val="21"/>
        </w:rPr>
        <w:t xml:space="preserve">  生态护岸设计应依据岸坡形态、水流及土质等情况进行岸坡稳定性分析。</w:t>
      </w:r>
    </w:p>
    <w:p w14:paraId="05E6C14B">
      <w:pPr>
        <w:snapToGrid w:val="0"/>
        <w:spacing w:line="360" w:lineRule="auto"/>
        <w:rPr>
          <w:rFonts w:ascii="Times New Roman" w:hAnsi="Times New Roman" w:cs="Times New Roman"/>
        </w:rPr>
      </w:pPr>
      <w:r>
        <w:rPr>
          <w:rFonts w:ascii="Times New Roman" w:hAnsi="Times New Roman" w:eastAsia="黑体" w:cs="Times New Roman"/>
          <w:b/>
          <w:bCs/>
          <w:sz w:val="21"/>
        </w:rPr>
        <w:t>4.7.41</w:t>
      </w:r>
      <w:r>
        <w:rPr>
          <w:rFonts w:ascii="Times New Roman" w:hAnsi="Times New Roman" w:cs="Times New Roman"/>
          <w:sz w:val="21"/>
          <w:szCs w:val="21"/>
        </w:rPr>
        <w:t xml:space="preserve">  植物种类选择应满足抗冲、喜湿及固土等性能要求，宜优先选择多年生当地树（草）种。</w:t>
      </w:r>
    </w:p>
    <w:p w14:paraId="212063F4">
      <w:pPr>
        <w:keepNext/>
        <w:keepLines/>
        <w:spacing w:before="260" w:after="260"/>
        <w:jc w:val="center"/>
        <w:outlineLvl w:val="2"/>
        <w:rPr>
          <w:rFonts w:ascii="Times New Roman" w:hAnsi="Times New Roman" w:eastAsia="黑体" w:cs="Times New Roman"/>
          <w:bCs/>
          <w:sz w:val="24"/>
          <w:szCs w:val="24"/>
        </w:rPr>
      </w:pPr>
      <w:bookmarkStart w:id="130" w:name="_Toc310525415"/>
      <w:bookmarkStart w:id="131" w:name="_Toc310842205"/>
      <w:bookmarkStart w:id="132" w:name="_Toc310600431"/>
      <w:bookmarkStart w:id="133" w:name="_Toc323828655"/>
      <w:bookmarkStart w:id="134" w:name="_Toc360519979"/>
      <w:bookmarkStart w:id="135" w:name="_Toc360526259"/>
      <w:bookmarkStart w:id="136" w:name="_Toc323805619"/>
      <w:bookmarkStart w:id="137" w:name="_Toc324282278"/>
      <w:bookmarkStart w:id="138" w:name="_Toc360528853"/>
      <w:bookmarkStart w:id="139" w:name="_Toc324287570"/>
      <w:bookmarkStart w:id="140" w:name="_Toc324280243"/>
      <w:r>
        <w:rPr>
          <w:rFonts w:ascii="Times New Roman" w:hAnsi="Times New Roman" w:eastAsia="黑体" w:cs="Times New Roman"/>
          <w:bCs/>
          <w:sz w:val="24"/>
          <w:szCs w:val="24"/>
        </w:rPr>
        <w:t xml:space="preserve">Ⅶ </w:t>
      </w:r>
      <w:bookmarkEnd w:id="130"/>
      <w:bookmarkEnd w:id="131"/>
      <w:bookmarkEnd w:id="132"/>
      <w:r>
        <w:rPr>
          <w:rFonts w:ascii="Times New Roman" w:hAnsi="Times New Roman" w:eastAsia="黑体" w:cs="Times New Roman"/>
          <w:bCs/>
          <w:sz w:val="24"/>
          <w:szCs w:val="24"/>
        </w:rPr>
        <w:t>施工组织</w:t>
      </w:r>
      <w:bookmarkEnd w:id="133"/>
      <w:bookmarkEnd w:id="134"/>
      <w:bookmarkEnd w:id="135"/>
      <w:bookmarkEnd w:id="136"/>
      <w:bookmarkEnd w:id="137"/>
      <w:bookmarkEnd w:id="138"/>
      <w:bookmarkEnd w:id="139"/>
      <w:bookmarkEnd w:id="140"/>
    </w:p>
    <w:p w14:paraId="11BD430D">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rPr>
        <w:t>4.7.42</w:t>
      </w:r>
      <w:r>
        <w:rPr>
          <w:rFonts w:ascii="Times New Roman" w:hAnsi="Times New Roman" w:cs="Times New Roman"/>
          <w:sz w:val="21"/>
        </w:rPr>
        <w:t xml:space="preserve"> </w:t>
      </w:r>
      <w:r>
        <w:rPr>
          <w:rFonts w:hint="eastAsia" w:ascii="Times New Roman" w:hAnsi="Times New Roman" w:cs="Times New Roman"/>
          <w:sz w:val="21"/>
        </w:rPr>
        <w:t xml:space="preserve"> </w:t>
      </w:r>
      <w:r>
        <w:rPr>
          <w:rFonts w:ascii="Times New Roman" w:hAnsi="Times New Roman" w:cs="Times New Roman"/>
          <w:sz w:val="21"/>
        </w:rPr>
        <w:t>施工场地布置应根据施工方法</w:t>
      </w:r>
      <w:r>
        <w:rPr>
          <w:rFonts w:ascii="Times New Roman" w:hAnsi="Times New Roman" w:cs="Times New Roman"/>
          <w:sz w:val="21"/>
          <w:szCs w:val="21"/>
        </w:rPr>
        <w:t>、材料供应及施工用水、电、路等条件综合确定。</w:t>
      </w:r>
    </w:p>
    <w:p w14:paraId="1C4B0C30">
      <w:pPr>
        <w:snapToGrid w:val="0"/>
        <w:spacing w:line="360" w:lineRule="auto"/>
        <w:rPr>
          <w:rFonts w:ascii="Times New Roman" w:hAnsi="Times New Roman" w:cs="Times New Roman"/>
          <w:sz w:val="21"/>
        </w:rPr>
      </w:pPr>
      <w:r>
        <w:rPr>
          <w:rFonts w:ascii="Times New Roman" w:hAnsi="Times New Roman" w:eastAsia="黑体" w:cs="Times New Roman"/>
          <w:b/>
          <w:bCs/>
          <w:sz w:val="21"/>
        </w:rPr>
        <w:t>4.7.43</w:t>
      </w:r>
      <w:r>
        <w:rPr>
          <w:rFonts w:ascii="Times New Roman" w:hAnsi="Times New Roman" w:cs="Times New Roman"/>
          <w:sz w:val="21"/>
        </w:rPr>
        <w:t xml:space="preserve">  施工道路布设应优先利用现有道路，需要新建道路时宜利用荒地，不占或少占耕地。</w:t>
      </w:r>
    </w:p>
    <w:p w14:paraId="6EC6067C">
      <w:pPr>
        <w:snapToGrid w:val="0"/>
        <w:spacing w:line="360" w:lineRule="auto"/>
        <w:rPr>
          <w:rFonts w:ascii="Times New Roman" w:hAnsi="Times New Roman" w:cs="Times New Roman"/>
          <w:sz w:val="21"/>
        </w:rPr>
      </w:pPr>
      <w:r>
        <w:rPr>
          <w:rFonts w:ascii="Times New Roman" w:hAnsi="Times New Roman" w:eastAsia="黑体" w:cs="Times New Roman"/>
          <w:b/>
          <w:bCs/>
          <w:sz w:val="21"/>
        </w:rPr>
        <w:t>4.7.44</w:t>
      </w:r>
      <w:r>
        <w:rPr>
          <w:rFonts w:ascii="Times New Roman" w:hAnsi="Times New Roman" w:cs="Times New Roman"/>
          <w:sz w:val="21"/>
        </w:rPr>
        <w:t xml:space="preserve">  施工应安排在非汛期进行。</w:t>
      </w:r>
    </w:p>
    <w:p w14:paraId="3DD2421D">
      <w:pPr>
        <w:snapToGrid w:val="0"/>
        <w:spacing w:line="360" w:lineRule="auto"/>
        <w:rPr>
          <w:rFonts w:ascii="Times New Roman" w:hAnsi="Times New Roman" w:cs="Times New Roman"/>
          <w:sz w:val="21"/>
        </w:rPr>
      </w:pPr>
      <w:r>
        <w:rPr>
          <w:rFonts w:ascii="Times New Roman" w:hAnsi="Times New Roman" w:eastAsia="黑体" w:cs="Times New Roman"/>
          <w:b/>
          <w:bCs/>
          <w:sz w:val="21"/>
        </w:rPr>
        <w:t>4.7.45</w:t>
      </w:r>
      <w:r>
        <w:rPr>
          <w:rFonts w:ascii="Times New Roman" w:hAnsi="Times New Roman" w:cs="Times New Roman"/>
          <w:sz w:val="21"/>
        </w:rPr>
        <w:t xml:space="preserve">  浆砌石防洪墙宜采用块石砌筑，有卵石的地区，也可采用卵石砌筑。</w:t>
      </w:r>
    </w:p>
    <w:p w14:paraId="115BFB46">
      <w:pPr>
        <w:snapToGrid w:val="0"/>
        <w:spacing w:line="360" w:lineRule="auto"/>
        <w:rPr>
          <w:rFonts w:ascii="Times New Roman" w:hAnsi="Times New Roman" w:cs="Times New Roman"/>
          <w:sz w:val="21"/>
        </w:rPr>
      </w:pPr>
      <w:r>
        <w:rPr>
          <w:rFonts w:ascii="Times New Roman" w:hAnsi="Times New Roman" w:eastAsia="黑体" w:cs="Times New Roman"/>
          <w:b/>
          <w:bCs/>
          <w:sz w:val="21"/>
        </w:rPr>
        <w:t>4.7.46</w:t>
      </w:r>
      <w:r>
        <w:rPr>
          <w:rFonts w:ascii="Times New Roman" w:hAnsi="Times New Roman" w:eastAsia="黑体" w:cs="Times New Roman"/>
          <w:sz w:val="21"/>
        </w:rPr>
        <w:t xml:space="preserve"> </w:t>
      </w:r>
      <w:r>
        <w:rPr>
          <w:rFonts w:ascii="Times New Roman" w:hAnsi="Times New Roman" w:cs="Times New Roman"/>
          <w:sz w:val="21"/>
        </w:rPr>
        <w:t xml:space="preserve"> 生态护岸应选择适宜植物成活的季节施工，应保证植物生长所需的土层厚度，并满足灌溉要求。</w:t>
      </w:r>
    </w:p>
    <w:p w14:paraId="4F2B6110">
      <w:pPr>
        <w:keepNext/>
        <w:keepLines/>
        <w:spacing w:before="260" w:after="260" w:line="415" w:lineRule="auto"/>
        <w:jc w:val="center"/>
        <w:outlineLvl w:val="1"/>
        <w:rPr>
          <w:rFonts w:ascii="Times New Roman" w:hAnsi="Times New Roman" w:eastAsia="黑体" w:cs="Times New Roman"/>
          <w:bCs/>
          <w:sz w:val="30"/>
          <w:szCs w:val="32"/>
        </w:rPr>
      </w:pPr>
      <w:bookmarkStart w:id="141" w:name="_Toc26213"/>
      <w:bookmarkStart w:id="142" w:name="_Toc6001"/>
      <w:bookmarkStart w:id="143" w:name="_Toc32582"/>
      <w:r>
        <w:rPr>
          <w:rFonts w:ascii="Times New Roman" w:hAnsi="Times New Roman" w:eastAsia="黑体" w:cs="Times New Roman"/>
          <w:bCs/>
          <w:sz w:val="30"/>
          <w:szCs w:val="32"/>
        </w:rPr>
        <w:t>4.8 坡面截排水工程</w:t>
      </w:r>
      <w:bookmarkEnd w:id="141"/>
      <w:bookmarkEnd w:id="142"/>
      <w:bookmarkEnd w:id="143"/>
    </w:p>
    <w:p w14:paraId="4DDBD4AA">
      <w:pPr>
        <w:keepNext/>
        <w:keepLines/>
        <w:spacing w:before="260" w:after="260"/>
        <w:jc w:val="center"/>
        <w:outlineLvl w:val="2"/>
        <w:rPr>
          <w:rFonts w:ascii="Times New Roman" w:hAnsi="Times New Roman" w:eastAsia="黑体" w:cs="Times New Roman"/>
          <w:bCs/>
          <w:sz w:val="24"/>
          <w:szCs w:val="24"/>
        </w:rPr>
      </w:pPr>
      <w:bookmarkStart w:id="144" w:name="_Toc304365782"/>
      <w:bookmarkStart w:id="145" w:name="_Toc360528855"/>
      <w:bookmarkStart w:id="146" w:name="_Toc324280245"/>
      <w:bookmarkStart w:id="147" w:name="_Toc307578923"/>
      <w:bookmarkStart w:id="148" w:name="_Toc323805621"/>
      <w:bookmarkStart w:id="149" w:name="_Toc319513084"/>
      <w:bookmarkStart w:id="150" w:name="_Toc360526261"/>
      <w:bookmarkStart w:id="151" w:name="_Toc310842207"/>
      <w:bookmarkStart w:id="152" w:name="_Toc324287572"/>
      <w:bookmarkStart w:id="153" w:name="_Toc360519981"/>
      <w:bookmarkStart w:id="154" w:name="_Toc324282280"/>
      <w:bookmarkStart w:id="155" w:name="_Toc319512922"/>
      <w:bookmarkStart w:id="156" w:name="_Toc304365267"/>
      <w:bookmarkStart w:id="157" w:name="_Toc323828657"/>
      <w:bookmarkStart w:id="158" w:name="_Toc319591663"/>
      <w:bookmarkStart w:id="159" w:name="_Toc304387174"/>
      <w:r>
        <w:rPr>
          <w:rFonts w:ascii="Times New Roman" w:hAnsi="Times New Roman" w:eastAsia="黑体" w:cs="Times New Roman"/>
          <w:bCs/>
          <w:sz w:val="24"/>
          <w:szCs w:val="24"/>
        </w:rPr>
        <w:t>Ⅰ 一般规定</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0036B46D">
      <w:pPr>
        <w:snapToGrid w:val="0"/>
        <w:spacing w:line="360" w:lineRule="auto"/>
        <w:rPr>
          <w:rFonts w:ascii="Times New Roman" w:hAnsi="Times New Roman" w:cs="Times New Roman"/>
          <w:sz w:val="21"/>
          <w:szCs w:val="24"/>
        </w:rPr>
      </w:pPr>
      <w:r>
        <w:rPr>
          <w:rFonts w:ascii="Times New Roman" w:hAnsi="Times New Roman" w:eastAsia="黑体" w:cs="Times New Roman"/>
          <w:b/>
          <w:bCs/>
          <w:sz w:val="21"/>
          <w:szCs w:val="24"/>
        </w:rPr>
        <w:t>4.8.1</w:t>
      </w:r>
      <w:r>
        <w:rPr>
          <w:rFonts w:ascii="Times New Roman" w:hAnsi="Times New Roman" w:cs="Times New Roman"/>
          <w:b/>
          <w:bCs/>
          <w:sz w:val="21"/>
          <w:szCs w:val="24"/>
        </w:rPr>
        <w:t xml:space="preserve">  </w:t>
      </w:r>
      <w:r>
        <w:rPr>
          <w:rFonts w:ascii="Times New Roman" w:hAnsi="Times New Roman" w:cs="Times New Roman"/>
          <w:sz w:val="21"/>
          <w:szCs w:val="24"/>
        </w:rPr>
        <w:t>坡面截排水工程分类应符合下列规定：</w:t>
      </w:r>
    </w:p>
    <w:p w14:paraId="6743B01E">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按所处空间，可分为地面排水工程和地下排水工程。</w:t>
      </w:r>
    </w:p>
    <w:p w14:paraId="061A2B82">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2</w:t>
      </w:r>
      <w:r>
        <w:rPr>
          <w:rFonts w:ascii="Times New Roman" w:hAnsi="Times New Roman" w:cs="Times New Roman"/>
          <w:sz w:val="21"/>
          <w:szCs w:val="24"/>
        </w:rPr>
        <w:t xml:space="preserve">  地面排水工程按蓄水排水要求，可分为多蓄少排型、少蓄多排型和全排型。</w:t>
      </w:r>
    </w:p>
    <w:p w14:paraId="041508EF">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3</w:t>
      </w:r>
      <w:r>
        <w:rPr>
          <w:rFonts w:ascii="Times New Roman" w:hAnsi="Times New Roman" w:cs="Times New Roman"/>
          <w:sz w:val="21"/>
          <w:szCs w:val="24"/>
        </w:rPr>
        <w:t xml:space="preserve">  地面排水工程中的截水沟按其功能，可分为蓄水型和排水型。</w:t>
      </w:r>
    </w:p>
    <w:p w14:paraId="3C4F19DA">
      <w:pPr>
        <w:snapToGrid w:val="0"/>
        <w:spacing w:line="360" w:lineRule="auto"/>
        <w:rPr>
          <w:rFonts w:ascii="Times New Roman" w:hAnsi="Times New Roman" w:cs="Times New Roman"/>
          <w:sz w:val="21"/>
          <w:szCs w:val="24"/>
        </w:rPr>
      </w:pPr>
      <w:r>
        <w:rPr>
          <w:rFonts w:ascii="Times New Roman" w:hAnsi="Times New Roman" w:eastAsia="黑体" w:cs="Times New Roman"/>
          <w:b/>
          <w:bCs/>
          <w:sz w:val="21"/>
          <w:szCs w:val="24"/>
        </w:rPr>
        <w:t xml:space="preserve">4.8.2 </w:t>
      </w:r>
      <w:r>
        <w:rPr>
          <w:rFonts w:ascii="Times New Roman" w:hAnsi="Times New Roman" w:cs="Times New Roman"/>
          <w:b/>
          <w:bCs/>
          <w:sz w:val="21"/>
          <w:szCs w:val="24"/>
        </w:rPr>
        <w:t xml:space="preserve"> </w:t>
      </w:r>
      <w:r>
        <w:rPr>
          <w:rFonts w:ascii="Times New Roman" w:hAnsi="Times New Roman" w:cs="Times New Roman"/>
          <w:sz w:val="21"/>
          <w:szCs w:val="24"/>
        </w:rPr>
        <w:t>坡面截排水工程布置应符合下列规定：</w:t>
      </w:r>
    </w:p>
    <w:p w14:paraId="7A75DE53">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1</w:t>
      </w:r>
      <w:r>
        <w:rPr>
          <w:rFonts w:ascii="Times New Roman" w:hAnsi="Times New Roman" w:cs="Times New Roman"/>
          <w:sz w:val="21"/>
          <w:szCs w:val="24"/>
        </w:rPr>
        <w:t xml:space="preserve">  坡面排水工程可用于流域治理中山坡坡面的保护，也可用于保护梯田。</w:t>
      </w:r>
    </w:p>
    <w:p w14:paraId="0BCCB5BC">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坡面截排水工程中，北方少雨地区，应采用多蓄少排型；南方多雨地区，应采用少蓄多排型；东北黑土区如无蓄水要求，应采用全排型。</w:t>
      </w:r>
    </w:p>
    <w:p w14:paraId="095CE427">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地下排水工程可用于东北黑土区涝渍灾害、侵蚀沟和坡耕地水土流失治理，南方地区坡耕地实施横向垄作需进行地下排水的可按东北黑土区执行。</w:t>
      </w:r>
    </w:p>
    <w:p w14:paraId="680481A1">
      <w:pPr>
        <w:snapToGrid w:val="0"/>
        <w:spacing w:line="360" w:lineRule="auto"/>
        <w:rPr>
          <w:rFonts w:ascii="Times New Roman" w:hAnsi="Times New Roman" w:cs="Times New Roman"/>
          <w:sz w:val="21"/>
          <w:szCs w:val="24"/>
        </w:rPr>
      </w:pPr>
      <w:r>
        <w:rPr>
          <w:rFonts w:ascii="Times New Roman" w:hAnsi="Times New Roman" w:eastAsia="黑体" w:cs="Times New Roman"/>
          <w:b/>
          <w:bCs/>
          <w:sz w:val="21"/>
          <w:szCs w:val="24"/>
        </w:rPr>
        <w:t>4.8.3</w:t>
      </w:r>
      <w:r>
        <w:rPr>
          <w:rFonts w:ascii="Times New Roman" w:hAnsi="Times New Roman" w:cs="Times New Roman"/>
          <w:b/>
          <w:bCs/>
          <w:sz w:val="21"/>
          <w:szCs w:val="24"/>
        </w:rPr>
        <w:t xml:space="preserve"> </w:t>
      </w:r>
      <w:r>
        <w:rPr>
          <w:rFonts w:ascii="Times New Roman" w:hAnsi="Times New Roman" w:cs="Times New Roman"/>
          <w:sz w:val="21"/>
          <w:szCs w:val="24"/>
        </w:rPr>
        <w:t xml:space="preserve"> 坡面截排水工程设计应遵循下列原则：</w:t>
      </w:r>
    </w:p>
    <w:p w14:paraId="4EE5092D">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坡面截排水工程应与梯田、耕作道路、沉沙蓄水工程同时规划，并以沟渠、道路为骨架，合理布设截流沟、排水沟、蓄水沟、沉沙池、蓄水池等设施，形成完整的防御、利用体系。</w:t>
      </w:r>
    </w:p>
    <w:p w14:paraId="420E3978">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应根据治理区的地形条件，按高水高排、低水低排、就近排泄、自流原则选择线路。</w:t>
      </w:r>
    </w:p>
    <w:p w14:paraId="71F1252D">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梯田排水沟布设应兼顾拦蓄和利用当地雨水的原则。在干旱缺水区的山坡或山洪汇流的槽冲地带，应合理布设蓄水灌溉和排洪防冲工程。</w:t>
      </w:r>
    </w:p>
    <w:p w14:paraId="74BA12B3">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坡面截排水工程布置应避开滑坡体、危岩等不利地质条件。</w:t>
      </w:r>
    </w:p>
    <w:p w14:paraId="4D26F690">
      <w:pPr>
        <w:snapToGrid w:val="0"/>
        <w:spacing w:line="360" w:lineRule="auto"/>
        <w:rPr>
          <w:rFonts w:ascii="Times New Roman" w:hAnsi="Times New Roman" w:cs="Times New Roman"/>
          <w:sz w:val="21"/>
          <w:szCs w:val="24"/>
        </w:rPr>
      </w:pPr>
      <w:r>
        <w:rPr>
          <w:rFonts w:ascii="Times New Roman" w:hAnsi="Times New Roman" w:eastAsia="黑体" w:cs="Times New Roman"/>
          <w:b/>
          <w:bCs/>
          <w:sz w:val="21"/>
          <w:szCs w:val="24"/>
        </w:rPr>
        <w:t>4.8.4</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设计所需资料应满足下列要求：</w:t>
      </w:r>
    </w:p>
    <w:p w14:paraId="298CDC16">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1</w:t>
      </w:r>
      <w:r>
        <w:rPr>
          <w:rFonts w:ascii="Times New Roman" w:hAnsi="Times New Roman" w:cs="Times New Roman"/>
          <w:sz w:val="21"/>
          <w:szCs w:val="24"/>
        </w:rPr>
        <w:t xml:space="preserve">  汇水区应采用1:10000～1:5000的地形图，并应收集治理区汇水面的下垫面情况。</w:t>
      </w:r>
    </w:p>
    <w:p w14:paraId="53109E65">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宜收集工程附近雨量站或水文站长系列实测资料，当无实测资料时可用当地水文手册中等值线图推求。</w:t>
      </w:r>
    </w:p>
    <w:p w14:paraId="1EC6217D">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渠线布置宜采用不小于1:2000地形图，工程布置和设计宜采用1</w:t>
      </w:r>
      <w:r>
        <w:rPr>
          <w:rFonts w:hint="eastAsia" w:ascii="Times New Roman" w:hAnsi="Times New Roman" w:cs="Times New Roman"/>
          <w:sz w:val="21"/>
          <w:szCs w:val="24"/>
        </w:rPr>
        <w:t>:</w:t>
      </w:r>
      <w:r>
        <w:rPr>
          <w:rFonts w:ascii="Times New Roman" w:hAnsi="Times New Roman" w:cs="Times New Roman"/>
          <w:sz w:val="21"/>
          <w:szCs w:val="24"/>
        </w:rPr>
        <w:t>500～1:200地形图。</w:t>
      </w:r>
    </w:p>
    <w:p w14:paraId="038F7692">
      <w:pPr>
        <w:snapToGrid w:val="0"/>
        <w:spacing w:line="360" w:lineRule="auto"/>
        <w:rPr>
          <w:rFonts w:ascii="Times New Roman" w:hAnsi="Times New Roman" w:cs="Times New Roman"/>
          <w:sz w:val="21"/>
          <w:szCs w:val="24"/>
        </w:rPr>
      </w:pPr>
      <w:r>
        <w:rPr>
          <w:rFonts w:ascii="Times New Roman" w:hAnsi="Times New Roman" w:eastAsia="黑体" w:cs="Times New Roman"/>
          <w:b/>
          <w:bCs/>
          <w:sz w:val="21"/>
          <w:szCs w:val="24"/>
        </w:rPr>
        <w:t>4.8.5</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坡面截排水工程与相关工程在布置上应符合下列规定：</w:t>
      </w:r>
    </w:p>
    <w:p w14:paraId="53125808">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1</w:t>
      </w:r>
      <w:r>
        <w:rPr>
          <w:rFonts w:ascii="Times New Roman" w:hAnsi="Times New Roman" w:cs="Times New Roman"/>
          <w:sz w:val="21"/>
          <w:szCs w:val="24"/>
        </w:rPr>
        <w:t xml:space="preserve">  用于保护梯田时，梯田傍山一侧应布设截水沟，梯田内部应沿等高线布置横向截水沟，排水沟宜垂直于等高线沿纵向布置。</w:t>
      </w:r>
    </w:p>
    <w:p w14:paraId="456E716A">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2</w:t>
      </w:r>
      <w:r>
        <w:rPr>
          <w:rFonts w:ascii="Times New Roman" w:hAnsi="Times New Roman" w:cs="Times New Roman"/>
          <w:sz w:val="21"/>
          <w:szCs w:val="24"/>
        </w:rPr>
        <w:t xml:space="preserve">  宜与蓄水工程联合布置：由坡面截排水工程截取地表径流、引入沉沙池，经沉沙后进入蓄水设施，蓄满后多余径流由排水沟排出，并与周边天然沟道顺接。</w:t>
      </w:r>
    </w:p>
    <w:p w14:paraId="01EB57EE">
      <w:pPr>
        <w:keepNext/>
        <w:keepLines/>
        <w:spacing w:before="260" w:after="260"/>
        <w:jc w:val="center"/>
        <w:outlineLvl w:val="2"/>
        <w:rPr>
          <w:rFonts w:ascii="Times New Roman" w:hAnsi="Times New Roman" w:eastAsia="黑体" w:cs="Times New Roman"/>
          <w:bCs/>
          <w:sz w:val="24"/>
          <w:szCs w:val="24"/>
        </w:rPr>
      </w:pPr>
      <w:bookmarkStart w:id="160" w:name="_Toc304365268"/>
      <w:bookmarkStart w:id="161" w:name="_Toc323828658"/>
      <w:bookmarkStart w:id="162" w:name="_Toc307578924"/>
      <w:bookmarkStart w:id="163" w:name="_Toc310842208"/>
      <w:bookmarkStart w:id="164" w:name="_Toc319513085"/>
      <w:bookmarkStart w:id="165" w:name="_Toc323805622"/>
      <w:bookmarkStart w:id="166" w:name="_Toc360526262"/>
      <w:bookmarkStart w:id="167" w:name="_Toc360528856"/>
      <w:bookmarkStart w:id="168" w:name="_Toc324287573"/>
      <w:bookmarkStart w:id="169" w:name="_Toc324280246"/>
      <w:bookmarkStart w:id="170" w:name="_Toc324282281"/>
      <w:bookmarkStart w:id="171" w:name="_Toc304387175"/>
      <w:bookmarkStart w:id="172" w:name="_Toc319591664"/>
      <w:bookmarkStart w:id="173" w:name="_Toc304365783"/>
      <w:bookmarkStart w:id="174" w:name="_Toc319512923"/>
      <w:bookmarkStart w:id="175" w:name="_Toc360519982"/>
      <w:r>
        <w:rPr>
          <w:rFonts w:ascii="Times New Roman" w:hAnsi="Times New Roman" w:eastAsia="黑体" w:cs="Times New Roman"/>
          <w:bCs/>
          <w:sz w:val="24"/>
          <w:szCs w:val="24"/>
        </w:rPr>
        <w:t>Ⅱ 工程布置</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2F440753">
      <w:pPr>
        <w:snapToGrid w:val="0"/>
        <w:spacing w:line="360" w:lineRule="auto"/>
        <w:rPr>
          <w:rFonts w:ascii="Times New Roman" w:hAnsi="Times New Roman" w:cs="Times New Roman"/>
          <w:sz w:val="21"/>
          <w:szCs w:val="24"/>
        </w:rPr>
      </w:pPr>
      <w:r>
        <w:rPr>
          <w:rFonts w:ascii="Times New Roman" w:hAnsi="Times New Roman" w:eastAsia="黑体" w:cs="Times New Roman"/>
          <w:b/>
          <w:bCs/>
          <w:sz w:val="21"/>
          <w:szCs w:val="24"/>
        </w:rPr>
        <w:t xml:space="preserve">4.8.6  </w:t>
      </w:r>
      <w:r>
        <w:rPr>
          <w:rFonts w:ascii="Times New Roman" w:hAnsi="Times New Roman" w:cs="Times New Roman"/>
          <w:sz w:val="21"/>
          <w:szCs w:val="24"/>
        </w:rPr>
        <w:t>多蓄少排型坡面截排水工程布置应符合下列规定：</w:t>
      </w:r>
    </w:p>
    <w:p w14:paraId="422297CF">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1</w:t>
      </w:r>
      <w:r>
        <w:rPr>
          <w:rFonts w:ascii="Times New Roman" w:hAnsi="Times New Roman" w:cs="Times New Roman"/>
          <w:sz w:val="21"/>
          <w:szCs w:val="24"/>
        </w:rPr>
        <w:t xml:space="preserve">  应采用蓄水型截水沟，沿治理坡面等高线或沿梯田傍山一侧边界水平布置。</w:t>
      </w:r>
    </w:p>
    <w:p w14:paraId="228DE9EF">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2</w:t>
      </w:r>
      <w:r>
        <w:rPr>
          <w:rFonts w:ascii="Times New Roman" w:hAnsi="Times New Roman" w:cs="Times New Roman"/>
          <w:sz w:val="21"/>
          <w:szCs w:val="24"/>
        </w:rPr>
        <w:t xml:space="preserve">  当治理区坡面的坡长较长时，应增设多级截水沟，间距应根据其控制面积、坡面产流量、蓄水能力，通过计算结合地形确定。</w:t>
      </w:r>
    </w:p>
    <w:p w14:paraId="50FEF686">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蓄水型截水沟的两端应就近接入排水沟或承泄区。</w:t>
      </w:r>
    </w:p>
    <w:p w14:paraId="4466238D">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梯田两端的排水沟应大致与梯田两端的道路同向。</w:t>
      </w:r>
    </w:p>
    <w:p w14:paraId="6FB4C73D">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5</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排水沟连接蓄水池或天然排水通道，宜布置在低洼地带，并尽量利用天然沟道。</w:t>
      </w:r>
    </w:p>
    <w:p w14:paraId="428A3024">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6</w:t>
      </w:r>
      <w:r>
        <w:rPr>
          <w:rFonts w:ascii="Times New Roman" w:hAnsi="Times New Roman" w:cs="Times New Roman"/>
          <w:sz w:val="21"/>
          <w:szCs w:val="24"/>
        </w:rPr>
        <w:t xml:space="preserve">  排水沟间距应根据排水流量、地形条件等因素综合分析确定。</w:t>
      </w:r>
    </w:p>
    <w:p w14:paraId="657D9360">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7</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排水沟之间及其与承泄河道之间的交角宜为30°～60°，出口宜采用自排方式。</w:t>
      </w:r>
    </w:p>
    <w:p w14:paraId="4F40CBA1">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8</w:t>
      </w:r>
      <w:r>
        <w:rPr>
          <w:rFonts w:ascii="Times New Roman" w:hAnsi="Times New Roman" w:cs="Times New Roman"/>
          <w:sz w:val="21"/>
          <w:szCs w:val="24"/>
        </w:rPr>
        <w:t xml:space="preserve">  承泄区应保证排水系统的出流条件具有稳定的河槽或湖床、安全的堤防和足够的承泄能力，且不产生环境危害。</w:t>
      </w:r>
    </w:p>
    <w:p w14:paraId="34AA9C63">
      <w:pPr>
        <w:snapToGrid w:val="0"/>
        <w:spacing w:line="360" w:lineRule="auto"/>
        <w:rPr>
          <w:rFonts w:ascii="Times New Roman" w:hAnsi="Times New Roman" w:cs="Times New Roman"/>
          <w:sz w:val="21"/>
          <w:szCs w:val="24"/>
        </w:rPr>
      </w:pPr>
      <w:r>
        <w:rPr>
          <w:rFonts w:ascii="Times New Roman" w:hAnsi="Times New Roman" w:eastAsia="黑体" w:cs="Times New Roman"/>
          <w:b/>
          <w:bCs/>
          <w:sz w:val="21"/>
          <w:szCs w:val="24"/>
        </w:rPr>
        <w:t xml:space="preserve">4.8.7 </w:t>
      </w:r>
      <w:r>
        <w:rPr>
          <w:rFonts w:ascii="Times New Roman" w:hAnsi="Times New Roman" w:cs="Times New Roman"/>
          <w:sz w:val="21"/>
          <w:szCs w:val="24"/>
        </w:rPr>
        <w:t xml:space="preserve"> 少蓄多排型坡面截排水工程布置应符合下列规定：</w:t>
      </w:r>
    </w:p>
    <w:p w14:paraId="44A6B324">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应采用排水型截水沟，并应沿治理坡面等高线方向或沿梯田傍山一侧边界布置，纵向比降宜为1%～2%。</w:t>
      </w:r>
    </w:p>
    <w:p w14:paraId="2CB6793D">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当治理区坡面的坡长较长时，应增设多级截水沟，间距应根据其控制面积、坡面径流量、排水能力，结合地形确定。</w:t>
      </w:r>
    </w:p>
    <w:p w14:paraId="3B522116">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排水型截水沟较低的一端应就近接入排水沟或承泄区。</w:t>
      </w:r>
    </w:p>
    <w:p w14:paraId="47A20651">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4"/>
        </w:rPr>
        <w:t>少蓄多排型坡面截排水工程应与多蓄少排型坡面截排水工程中的排水沟布置一致。</w:t>
      </w:r>
    </w:p>
    <w:p w14:paraId="6198E9AD">
      <w:pPr>
        <w:snapToGrid w:val="0"/>
        <w:spacing w:line="360" w:lineRule="auto"/>
        <w:rPr>
          <w:rFonts w:ascii="Times New Roman" w:hAnsi="Times New Roman" w:cs="Times New Roman"/>
          <w:sz w:val="21"/>
          <w:szCs w:val="24"/>
        </w:rPr>
      </w:pPr>
      <w:r>
        <w:rPr>
          <w:rFonts w:ascii="Times New Roman" w:hAnsi="Times New Roman" w:eastAsia="黑体" w:cs="Times New Roman"/>
          <w:b/>
          <w:bCs/>
          <w:sz w:val="21"/>
          <w:szCs w:val="24"/>
        </w:rPr>
        <w:t>4.8.8</w:t>
      </w:r>
      <w:r>
        <w:rPr>
          <w:rFonts w:ascii="Times New Roman" w:hAnsi="Times New Roman" w:cs="Times New Roman"/>
          <w:b/>
          <w:bCs/>
          <w:sz w:val="21"/>
          <w:szCs w:val="24"/>
        </w:rPr>
        <w:t xml:space="preserve">  </w:t>
      </w:r>
      <w:r>
        <w:rPr>
          <w:rFonts w:ascii="Times New Roman" w:hAnsi="Times New Roman" w:cs="Times New Roman"/>
          <w:sz w:val="21"/>
          <w:szCs w:val="24"/>
        </w:rPr>
        <w:t>全排型坡面截排水工程布置应符合下列规定：</w:t>
      </w:r>
    </w:p>
    <w:p w14:paraId="750E30B7">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应采用截流沟，布设在坡耕地上方与林地或荒地交接的边界处，或应布设在较长的坡面及坡度变化大的地点。</w:t>
      </w:r>
    </w:p>
    <w:p w14:paraId="287C0714">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2</w:t>
      </w:r>
      <w:r>
        <w:rPr>
          <w:rFonts w:ascii="Times New Roman" w:hAnsi="Times New Roman" w:cs="Times New Roman"/>
          <w:sz w:val="21"/>
          <w:szCs w:val="24"/>
        </w:rPr>
        <w:t xml:space="preserve">  截流沟为排水型，应沿等高线方向布设，纵向比降取1%～2%，沟线应顺直。</w:t>
      </w:r>
    </w:p>
    <w:p w14:paraId="2AEB9387">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3</w:t>
      </w:r>
      <w:r>
        <w:rPr>
          <w:rFonts w:ascii="Times New Roman" w:hAnsi="Times New Roman" w:cs="Times New Roman"/>
          <w:sz w:val="21"/>
          <w:szCs w:val="24"/>
        </w:rPr>
        <w:t xml:space="preserve">  应分级截流泄洪，分割水势、分散排泄。</w:t>
      </w:r>
    </w:p>
    <w:p w14:paraId="294F82AB">
      <w:pPr>
        <w:snapToGrid w:val="0"/>
        <w:spacing w:line="360" w:lineRule="auto"/>
        <w:rPr>
          <w:rFonts w:ascii="Times New Roman" w:hAnsi="Times New Roman" w:cs="Times New Roman"/>
          <w:sz w:val="21"/>
          <w:szCs w:val="24"/>
        </w:rPr>
      </w:pPr>
      <w:r>
        <w:rPr>
          <w:rFonts w:ascii="Times New Roman" w:hAnsi="Times New Roman" w:eastAsia="黑体" w:cs="Times New Roman"/>
          <w:b/>
          <w:bCs/>
          <w:sz w:val="21"/>
          <w:szCs w:val="24"/>
        </w:rPr>
        <w:t>4.8.9</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地下排水工程布置应符合下列规定：</w:t>
      </w:r>
    </w:p>
    <w:p w14:paraId="05C1FDA1">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1</w:t>
      </w:r>
      <w:r>
        <w:rPr>
          <w:rFonts w:ascii="Times New Roman" w:hAnsi="Times New Roman" w:cs="Times New Roman"/>
          <w:sz w:val="21"/>
          <w:szCs w:val="24"/>
        </w:rPr>
        <w:t xml:space="preserve">  地下排水工程应由暗管、鼠洞和排水沟组成。鼠洞应为一级暗排，暗管应为二级暗排。应根据不同的地貌类型，采取不同的组合方式。</w:t>
      </w:r>
    </w:p>
    <w:p w14:paraId="1C3B02AA">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2</w:t>
      </w:r>
      <w:r>
        <w:rPr>
          <w:rFonts w:ascii="Times New Roman" w:hAnsi="Times New Roman" w:cs="Times New Roman"/>
          <w:sz w:val="21"/>
          <w:szCs w:val="24"/>
        </w:rPr>
        <w:t xml:space="preserve">  鼠洞应布设在有一定塑性的粘性土壤中，坡度随地面坡降，鼠洞末端连接固定排水沟道；线</w:t>
      </w:r>
      <w:r>
        <w:rPr>
          <w:rStyle w:val="13"/>
          <w:rFonts w:ascii="Times New Roman" w:hAnsi="Times New Roman" w:cs="Times New Roman"/>
        </w:rPr>
        <w:t>型</w:t>
      </w:r>
      <w:r>
        <w:rPr>
          <w:rFonts w:ascii="Times New Roman" w:hAnsi="Times New Roman" w:cs="Times New Roman"/>
          <w:sz w:val="21"/>
          <w:szCs w:val="24"/>
        </w:rPr>
        <w:t>洼地内的鼠洞应与布置在洼地中轴线的集水暗管相通，再与周边固定排水沟网或承泄区连接。</w:t>
      </w:r>
    </w:p>
    <w:p w14:paraId="67051E0B">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暗管布局应分为棋盘型、鱼刺型和不规则型等形式。根据地形条件，暗管应布设在线型洼地的中轴线上，坡降应根据地形条件选定。</w:t>
      </w:r>
    </w:p>
    <w:p w14:paraId="77D67DF0">
      <w:pPr>
        <w:keepNext/>
        <w:keepLines/>
        <w:spacing w:before="260" w:after="260"/>
        <w:jc w:val="center"/>
        <w:outlineLvl w:val="2"/>
        <w:rPr>
          <w:rFonts w:ascii="Times New Roman" w:hAnsi="Times New Roman" w:eastAsia="黑体" w:cs="Times New Roman"/>
          <w:bCs/>
          <w:sz w:val="24"/>
          <w:szCs w:val="24"/>
        </w:rPr>
      </w:pPr>
      <w:bookmarkStart w:id="176" w:name="_Toc324280247"/>
      <w:bookmarkStart w:id="177" w:name="_Toc360519983"/>
      <w:bookmarkStart w:id="178" w:name="_Toc307578925"/>
      <w:bookmarkStart w:id="179" w:name="_Toc304387176"/>
      <w:bookmarkStart w:id="180" w:name="_Toc360528857"/>
      <w:bookmarkStart w:id="181" w:name="_Toc323828659"/>
      <w:bookmarkStart w:id="182" w:name="_Toc304365784"/>
      <w:bookmarkStart w:id="183" w:name="_Toc360526263"/>
      <w:bookmarkStart w:id="184" w:name="_Toc319591665"/>
      <w:bookmarkStart w:id="185" w:name="_Toc323805623"/>
      <w:bookmarkStart w:id="186" w:name="_Toc319513086"/>
      <w:bookmarkStart w:id="187" w:name="_Toc319512924"/>
      <w:bookmarkStart w:id="188" w:name="_Toc324282282"/>
      <w:bookmarkStart w:id="189" w:name="_Toc304365269"/>
      <w:bookmarkStart w:id="190" w:name="_Toc310842209"/>
      <w:bookmarkStart w:id="191" w:name="_Toc324287574"/>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3 \* ROMAN \* MERGEFORMAT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III</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截水沟设计</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2C7F8A4A">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4.8.10</w:t>
      </w:r>
      <w:r>
        <w:rPr>
          <w:rFonts w:ascii="Times New Roman" w:hAnsi="Times New Roman" w:cs="Times New Roman"/>
          <w:sz w:val="21"/>
          <w:szCs w:val="21"/>
        </w:rPr>
        <w:t xml:space="preserve">  蓄水型截水沟宜水平布设。排水型截水沟高差较大时，应设置急流槽或跌水。</w:t>
      </w:r>
    </w:p>
    <w:p w14:paraId="0C6A7116">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4.8.11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截水沟不水平时，应每隔5m～10m在沟底修筑高0.2m～0.3m的小土垱。</w:t>
      </w:r>
    </w:p>
    <w:p w14:paraId="3E58960C">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4.8.12</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蓄水型截水沟两端应设拦水坎。</w:t>
      </w:r>
    </w:p>
    <w:p w14:paraId="6DA14E16">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4.8.13</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截水沟与排水沟的连接处应采取防冲措施。</w:t>
      </w:r>
    </w:p>
    <w:p w14:paraId="6D58DBE8">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4.8.14</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截水沟宜采用梯形断面，山坡坡度较大时截水沟可采用矩形断面。</w:t>
      </w:r>
    </w:p>
    <w:p w14:paraId="6863B236">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4.8.15</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蓄水型截水沟断面设计应符合下列规定：</w:t>
      </w:r>
    </w:p>
    <w:p w14:paraId="739F690B">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1"/>
        </w:rPr>
        <w:t>1</w:t>
      </w:r>
      <w:r>
        <w:rPr>
          <w:rFonts w:ascii="Times New Roman" w:hAnsi="Times New Roman" w:cs="Times New Roman"/>
          <w:sz w:val="21"/>
          <w:szCs w:val="21"/>
        </w:rPr>
        <w:t xml:space="preserve">  蓄水型截水沟容量按下式计算:</w:t>
      </w:r>
    </w:p>
    <w:p w14:paraId="6D4A912F">
      <w:pPr>
        <w:wordWrap w:val="0"/>
        <w:snapToGrid w:val="0"/>
        <w:spacing w:line="360" w:lineRule="auto"/>
        <w:ind w:right="19" w:firstLine="630" w:firstLineChars="300"/>
        <w:jc w:val="right"/>
        <w:rPr>
          <w:rFonts w:ascii="Times New Roman" w:hAnsi="Times New Roman" w:cs="Times New Roman"/>
          <w:sz w:val="21"/>
          <w:szCs w:val="21"/>
        </w:rPr>
      </w:pPr>
      <w:r>
        <w:rPr>
          <w:rFonts w:ascii="Times New Roman" w:hAnsi="Times New Roman" w:cs="Times New Roman"/>
          <w:i/>
          <w:sz w:val="21"/>
          <w:szCs w:val="21"/>
        </w:rPr>
        <w:t>V</w:t>
      </w:r>
      <w:r>
        <w:rPr>
          <w:rFonts w:ascii="Times New Roman" w:hAnsi="Times New Roman" w:cs="Times New Roman"/>
          <w:sz w:val="21"/>
          <w:szCs w:val="21"/>
        </w:rPr>
        <w:t>=</w:t>
      </w:r>
      <w:r>
        <w:rPr>
          <w:rFonts w:ascii="Times New Roman" w:hAnsi="Times New Roman" w:cs="Times New Roman"/>
          <w:i/>
          <w:sz w:val="21"/>
          <w:szCs w:val="21"/>
        </w:rPr>
        <w:t>V</w:t>
      </w:r>
      <w:r>
        <w:rPr>
          <w:rFonts w:ascii="Times New Roman" w:hAnsi="Times New Roman" w:cs="Times New Roman"/>
          <w:sz w:val="21"/>
          <w:szCs w:val="21"/>
          <w:vertAlign w:val="subscript"/>
        </w:rPr>
        <w:t>w</w:t>
      </w:r>
      <w:r>
        <w:rPr>
          <w:rFonts w:ascii="Times New Roman" w:hAnsi="Times New Roman" w:cs="Times New Roman"/>
          <w:sz w:val="21"/>
          <w:szCs w:val="21"/>
        </w:rPr>
        <w:t>+</w:t>
      </w:r>
      <w:r>
        <w:rPr>
          <w:rFonts w:ascii="Times New Roman" w:hAnsi="Times New Roman" w:cs="Times New Roman"/>
          <w:i/>
          <w:sz w:val="21"/>
          <w:szCs w:val="21"/>
        </w:rPr>
        <w:t>V</w:t>
      </w:r>
      <w:r>
        <w:rPr>
          <w:rFonts w:ascii="Times New Roman" w:hAnsi="Times New Roman" w:cs="Times New Roman"/>
          <w:sz w:val="21"/>
          <w:szCs w:val="21"/>
          <w:vertAlign w:val="subscript"/>
        </w:rPr>
        <w:t>s</w:t>
      </w:r>
      <w:r>
        <w:rPr>
          <w:rFonts w:ascii="Times New Roman" w:hAnsi="Times New Roman" w:cs="Times New Roman"/>
          <w:sz w:val="21"/>
          <w:szCs w:val="21"/>
        </w:rPr>
        <w:t xml:space="preserve">                           （4.8.15-1）</w:t>
      </w:r>
    </w:p>
    <w:p w14:paraId="711A8E88">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V</w:t>
      </w:r>
      <w:r>
        <w:rPr>
          <w:rFonts w:ascii="Times New Roman" w:hAnsi="Times New Roman" w:cs="Times New Roman"/>
          <w:sz w:val="21"/>
          <w:szCs w:val="21"/>
        </w:rPr>
        <w:t>——截水沟容量；</w:t>
      </w:r>
    </w:p>
    <w:p w14:paraId="1BC82869">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V</w:t>
      </w:r>
      <w:r>
        <w:rPr>
          <w:rFonts w:ascii="Times New Roman" w:hAnsi="Times New Roman" w:cs="Times New Roman"/>
          <w:sz w:val="21"/>
          <w:szCs w:val="21"/>
          <w:vertAlign w:val="subscript"/>
        </w:rPr>
        <w:t>w</w:t>
      </w:r>
      <w:r>
        <w:rPr>
          <w:rFonts w:ascii="Times New Roman" w:hAnsi="Times New Roman" w:cs="Times New Roman"/>
          <w:sz w:val="21"/>
          <w:szCs w:val="21"/>
        </w:rPr>
        <w:t>——一次暴雨径流量，m³；</w:t>
      </w:r>
    </w:p>
    <w:p w14:paraId="1D0EEFC7">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V</w:t>
      </w:r>
      <w:r>
        <w:rPr>
          <w:rFonts w:ascii="Times New Roman" w:hAnsi="Times New Roman" w:cs="Times New Roman"/>
          <w:sz w:val="21"/>
          <w:szCs w:val="21"/>
          <w:vertAlign w:val="subscript"/>
        </w:rPr>
        <w:t>s</w:t>
      </w:r>
      <w:r>
        <w:rPr>
          <w:rFonts w:ascii="Times New Roman" w:hAnsi="Times New Roman" w:cs="Times New Roman"/>
          <w:sz w:val="21"/>
          <w:szCs w:val="21"/>
        </w:rPr>
        <w:t>——1a～3a土壤侵蚀量，m³。</w:t>
      </w:r>
    </w:p>
    <w:p w14:paraId="5AF1AEF5">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1"/>
        </w:rPr>
        <w:t>2</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V</w:t>
      </w:r>
      <w:r>
        <w:rPr>
          <w:rFonts w:ascii="Times New Roman" w:hAnsi="Times New Roman" w:cs="Times New Roman"/>
          <w:sz w:val="21"/>
          <w:szCs w:val="21"/>
          <w:vertAlign w:val="subscript"/>
        </w:rPr>
        <w:t>w</w:t>
      </w:r>
      <w:r>
        <w:rPr>
          <w:rFonts w:ascii="Times New Roman" w:hAnsi="Times New Roman" w:cs="Times New Roman"/>
          <w:sz w:val="21"/>
          <w:szCs w:val="21"/>
        </w:rPr>
        <w:t>和V</w:t>
      </w:r>
      <w:r>
        <w:rPr>
          <w:rFonts w:ascii="Times New Roman" w:hAnsi="Times New Roman" w:cs="Times New Roman"/>
          <w:sz w:val="21"/>
          <w:szCs w:val="21"/>
          <w:vertAlign w:val="subscript"/>
        </w:rPr>
        <w:t>s</w:t>
      </w:r>
      <w:r>
        <w:rPr>
          <w:rFonts w:ascii="Times New Roman" w:hAnsi="Times New Roman" w:cs="Times New Roman"/>
          <w:sz w:val="21"/>
          <w:szCs w:val="21"/>
        </w:rPr>
        <w:t>按下式计算：</w:t>
      </w:r>
    </w:p>
    <w:p w14:paraId="438BFB70">
      <w:pPr>
        <w:tabs>
          <w:tab w:val="left" w:pos="8222"/>
          <w:tab w:val="left" w:pos="8287"/>
          <w:tab w:val="left" w:pos="8364"/>
        </w:tabs>
        <w:snapToGrid w:val="0"/>
        <w:spacing w:line="360" w:lineRule="auto"/>
        <w:ind w:right="19" w:firstLine="573" w:firstLineChars="273"/>
        <w:jc w:val="right"/>
        <w:rPr>
          <w:rFonts w:ascii="Times New Roman" w:hAnsi="Times New Roman" w:cs="Times New Roman"/>
          <w:i/>
          <w:sz w:val="21"/>
          <w:szCs w:val="21"/>
        </w:rPr>
      </w:pPr>
      <w:r>
        <w:rPr>
          <w:rFonts w:ascii="Times New Roman" w:hAnsi="Times New Roman" w:cs="Times New Roman"/>
          <w:i/>
          <w:sz w:val="21"/>
          <w:szCs w:val="21"/>
        </w:rPr>
        <w:t>V</w:t>
      </w:r>
      <w:r>
        <w:rPr>
          <w:rFonts w:ascii="Times New Roman" w:hAnsi="Times New Roman" w:cs="Times New Roman"/>
          <w:sz w:val="21"/>
          <w:szCs w:val="21"/>
          <w:vertAlign w:val="subscript"/>
        </w:rPr>
        <w:t>w</w:t>
      </w:r>
      <w:r>
        <w:rPr>
          <w:rFonts w:ascii="Times New Roman" w:hAnsi="Times New Roman" w:cs="Times New Roman"/>
          <w:sz w:val="21"/>
          <w:szCs w:val="21"/>
        </w:rPr>
        <w:t>=</w:t>
      </w:r>
      <w:r>
        <w:rPr>
          <w:rFonts w:ascii="Times New Roman" w:hAnsi="Times New Roman" w:cs="Times New Roman"/>
          <w:i/>
          <w:sz w:val="21"/>
          <w:szCs w:val="21"/>
        </w:rPr>
        <w:t>M</w:t>
      </w:r>
      <w:r>
        <w:rPr>
          <w:rFonts w:ascii="Times New Roman" w:hAnsi="Times New Roman" w:cs="Times New Roman"/>
          <w:sz w:val="21"/>
          <w:szCs w:val="21"/>
          <w:vertAlign w:val="subscript"/>
        </w:rPr>
        <w:t>w</w:t>
      </w:r>
      <w:r>
        <w:rPr>
          <w:rFonts w:ascii="Times New Roman" w:hAnsi="Times New Roman" w:cs="Times New Roman"/>
          <w:i/>
          <w:sz w:val="21"/>
          <w:szCs w:val="21"/>
        </w:rPr>
        <w:t>F</w:t>
      </w:r>
      <w:r>
        <w:rPr>
          <w:rFonts w:ascii="Times New Roman" w:hAnsi="Times New Roman" w:cs="Times New Roman"/>
          <w:sz w:val="21"/>
          <w:szCs w:val="21"/>
        </w:rPr>
        <w:t xml:space="preserve">                           （4.8.15-2）</w:t>
      </w:r>
    </w:p>
    <w:p w14:paraId="27D5CAA7">
      <w:pPr>
        <w:tabs>
          <w:tab w:val="left" w:pos="8222"/>
          <w:tab w:val="left" w:pos="8287"/>
          <w:tab w:val="left" w:pos="8364"/>
        </w:tabs>
        <w:snapToGrid w:val="0"/>
        <w:spacing w:line="360" w:lineRule="auto"/>
        <w:ind w:right="19" w:firstLine="573" w:firstLineChars="273"/>
        <w:jc w:val="right"/>
        <w:rPr>
          <w:rFonts w:ascii="Times New Roman" w:hAnsi="Times New Roman" w:cs="Times New Roman"/>
          <w:sz w:val="21"/>
          <w:szCs w:val="21"/>
        </w:rPr>
      </w:pPr>
      <w:r>
        <w:rPr>
          <w:rFonts w:ascii="Times New Roman" w:hAnsi="Times New Roman" w:cs="Times New Roman"/>
          <w:i/>
          <w:sz w:val="21"/>
          <w:szCs w:val="21"/>
        </w:rPr>
        <w:t>V</w:t>
      </w:r>
      <w:r>
        <w:rPr>
          <w:rFonts w:ascii="Times New Roman" w:hAnsi="Times New Roman" w:cs="Times New Roman"/>
          <w:sz w:val="21"/>
          <w:szCs w:val="21"/>
          <w:vertAlign w:val="subscript"/>
        </w:rPr>
        <w:t>s</w:t>
      </w:r>
      <w:r>
        <w:rPr>
          <w:rFonts w:ascii="Times New Roman" w:hAnsi="Times New Roman" w:cs="Times New Roman"/>
          <w:sz w:val="21"/>
          <w:szCs w:val="21"/>
        </w:rPr>
        <w:t>=（1～3）</w:t>
      </w:r>
      <w:r>
        <w:rPr>
          <w:rFonts w:ascii="Times New Roman" w:hAnsi="Times New Roman" w:cs="Times New Roman"/>
          <w:i/>
          <w:sz w:val="21"/>
          <w:szCs w:val="21"/>
        </w:rPr>
        <w:t>M</w:t>
      </w:r>
      <w:r>
        <w:rPr>
          <w:rFonts w:ascii="Times New Roman" w:hAnsi="Times New Roman" w:cs="Times New Roman"/>
          <w:i/>
          <w:sz w:val="21"/>
          <w:szCs w:val="21"/>
          <w:vertAlign w:val="subscript"/>
        </w:rPr>
        <w:t>s</w:t>
      </w:r>
      <w:r>
        <w:rPr>
          <w:rFonts w:ascii="Times New Roman" w:hAnsi="Times New Roman" w:cs="Times New Roman"/>
          <w:i/>
          <w:sz w:val="21"/>
          <w:szCs w:val="21"/>
        </w:rPr>
        <w:t>F</w:t>
      </w:r>
      <w:r>
        <w:rPr>
          <w:rFonts w:ascii="Times New Roman" w:hAnsi="Times New Roman" w:cs="Times New Roman"/>
          <w:sz w:val="21"/>
          <w:szCs w:val="21"/>
        </w:rPr>
        <w:t xml:space="preserve">                      （4.8.15-3）</w:t>
      </w:r>
    </w:p>
    <w:p w14:paraId="7C61D28C">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F</w:t>
      </w:r>
      <w:r>
        <w:rPr>
          <w:rFonts w:ascii="Times New Roman" w:hAnsi="Times New Roman" w:cs="Times New Roman"/>
          <w:sz w:val="21"/>
          <w:szCs w:val="21"/>
        </w:rPr>
        <w:t>——截水沟集水面积，hm²；</w:t>
      </w:r>
    </w:p>
    <w:p w14:paraId="7C571E74">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M</w:t>
      </w:r>
      <w:r>
        <w:rPr>
          <w:rFonts w:ascii="Times New Roman" w:hAnsi="Times New Roman" w:cs="Times New Roman"/>
          <w:sz w:val="21"/>
          <w:szCs w:val="21"/>
          <w:vertAlign w:val="subscript"/>
        </w:rPr>
        <w:t>w</w:t>
      </w:r>
      <w:r>
        <w:rPr>
          <w:rFonts w:ascii="Times New Roman" w:hAnsi="Times New Roman" w:cs="Times New Roman"/>
          <w:sz w:val="21"/>
          <w:szCs w:val="21"/>
        </w:rPr>
        <w:t>——一次暴雨径流模数，m³/hm²；</w:t>
      </w:r>
    </w:p>
    <w:p w14:paraId="4B638E28">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M</w:t>
      </w:r>
      <w:r>
        <w:rPr>
          <w:rFonts w:ascii="Times New Roman" w:hAnsi="Times New Roman" w:cs="Times New Roman"/>
          <w:sz w:val="21"/>
          <w:szCs w:val="21"/>
          <w:vertAlign w:val="subscript"/>
        </w:rPr>
        <w:t>s</w:t>
      </w:r>
      <w:r>
        <w:rPr>
          <w:rFonts w:ascii="Times New Roman" w:hAnsi="Times New Roman" w:cs="Times New Roman"/>
          <w:sz w:val="21"/>
          <w:szCs w:val="21"/>
        </w:rPr>
        <w:t>——1年的土壤侵蚀模数，m³/hm²。</w:t>
      </w:r>
    </w:p>
    <w:p w14:paraId="7E980CF1">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1"/>
        </w:rPr>
        <w:t>3</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截水沟断面面积按下式计算：</w:t>
      </w:r>
    </w:p>
    <w:p w14:paraId="2B1E7797">
      <w:pPr>
        <w:wordWrap w:val="0"/>
        <w:snapToGrid w:val="0"/>
        <w:spacing w:line="360" w:lineRule="auto"/>
        <w:ind w:right="5" w:firstLine="567" w:firstLineChars="270"/>
        <w:jc w:val="right"/>
        <w:rPr>
          <w:rFonts w:ascii="Times New Roman" w:hAnsi="Times New Roman" w:cs="Times New Roman"/>
          <w:sz w:val="21"/>
          <w:szCs w:val="21"/>
        </w:rPr>
      </w:pPr>
      <w:r>
        <w:rPr>
          <w:rFonts w:ascii="Times New Roman" w:hAnsi="Times New Roman" w:cs="Times New Roman"/>
          <w:i/>
          <w:sz w:val="21"/>
          <w:szCs w:val="21"/>
        </w:rPr>
        <w:t>A</w:t>
      </w:r>
      <w:r>
        <w:rPr>
          <w:rFonts w:ascii="Times New Roman" w:hAnsi="Times New Roman" w:cs="Times New Roman"/>
          <w:sz w:val="21"/>
          <w:szCs w:val="21"/>
          <w:vertAlign w:val="subscript"/>
        </w:rPr>
        <w:t>1</w:t>
      </w:r>
      <w:r>
        <w:rPr>
          <w:rFonts w:ascii="Times New Roman" w:hAnsi="Times New Roman" w:cs="Times New Roman"/>
          <w:sz w:val="21"/>
          <w:szCs w:val="21"/>
        </w:rPr>
        <w:t>=</w:t>
      </w:r>
      <w:r>
        <w:rPr>
          <w:rFonts w:ascii="Times New Roman" w:hAnsi="Times New Roman" w:cs="Times New Roman"/>
          <w:i/>
          <w:sz w:val="21"/>
          <w:szCs w:val="21"/>
        </w:rPr>
        <w:t>V</w:t>
      </w:r>
      <w:r>
        <w:rPr>
          <w:rFonts w:ascii="Times New Roman" w:hAnsi="Times New Roman" w:cs="Times New Roman"/>
          <w:sz w:val="21"/>
          <w:szCs w:val="21"/>
        </w:rPr>
        <w:t>/</w:t>
      </w:r>
      <w:r>
        <w:rPr>
          <w:rFonts w:ascii="Times New Roman" w:hAnsi="Times New Roman" w:cs="Times New Roman"/>
          <w:i/>
          <w:sz w:val="21"/>
          <w:szCs w:val="21"/>
        </w:rPr>
        <w:t>L</w:t>
      </w:r>
      <w:r>
        <w:rPr>
          <w:rFonts w:ascii="Times New Roman" w:hAnsi="Times New Roman" w:cs="Times New Roman"/>
          <w:sz w:val="21"/>
          <w:szCs w:val="21"/>
        </w:rPr>
        <w:t xml:space="preserve">                            （4.8.15-4）</w:t>
      </w:r>
    </w:p>
    <w:p w14:paraId="16C3CD93">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A</w:t>
      </w:r>
      <w:r>
        <w:rPr>
          <w:rFonts w:ascii="Times New Roman" w:hAnsi="Times New Roman" w:cs="Times New Roman"/>
          <w:sz w:val="21"/>
          <w:szCs w:val="21"/>
          <w:vertAlign w:val="subscript"/>
        </w:rPr>
        <w:t>1</w:t>
      </w:r>
      <w:r>
        <w:rPr>
          <w:rFonts w:ascii="Times New Roman" w:hAnsi="Times New Roman" w:cs="Times New Roman"/>
          <w:sz w:val="21"/>
          <w:szCs w:val="21"/>
        </w:rPr>
        <w:t>——截水沟断面面积，m²；</w:t>
      </w:r>
    </w:p>
    <w:p w14:paraId="24B47AB9">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L</w:t>
      </w:r>
      <w:r>
        <w:rPr>
          <w:rFonts w:ascii="Times New Roman" w:hAnsi="Times New Roman" w:cs="Times New Roman"/>
          <w:sz w:val="21"/>
          <w:szCs w:val="21"/>
        </w:rPr>
        <w:t>——截水沟长度，m。</w:t>
      </w:r>
    </w:p>
    <w:p w14:paraId="157E4F0A">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4.8.16</w:t>
      </w:r>
      <w:r>
        <w:rPr>
          <w:rFonts w:ascii="Times New Roman" w:hAnsi="Times New Roman" w:cs="Times New Roman"/>
          <w:b/>
          <w:bCs/>
          <w:sz w:val="21"/>
          <w:szCs w:val="21"/>
        </w:rPr>
        <w:t xml:space="preserve"> </w:t>
      </w:r>
      <w:r>
        <w:rPr>
          <w:rFonts w:ascii="Times New Roman" w:hAnsi="Times New Roman" w:cs="Times New Roman"/>
          <w:sz w:val="21"/>
          <w:szCs w:val="21"/>
        </w:rPr>
        <w:t xml:space="preserve"> 多蓄少排型</w:t>
      </w:r>
      <w:r>
        <w:rPr>
          <w:rFonts w:ascii="Times New Roman" w:hAnsi="Times New Roman" w:cs="Times New Roman"/>
          <w:sz w:val="21"/>
          <w:szCs w:val="24"/>
        </w:rPr>
        <w:t>坡面截</w:t>
      </w:r>
      <w:r>
        <w:rPr>
          <w:rFonts w:ascii="Times New Roman" w:hAnsi="Times New Roman" w:cs="Times New Roman"/>
          <w:sz w:val="21"/>
          <w:szCs w:val="21"/>
        </w:rPr>
        <w:t>排水工程中的截水沟宜按蓄水型截水沟进行断面设计，少蓄多排型</w:t>
      </w:r>
      <w:r>
        <w:rPr>
          <w:rFonts w:ascii="Times New Roman" w:hAnsi="Times New Roman" w:cs="Times New Roman"/>
          <w:sz w:val="21"/>
          <w:szCs w:val="24"/>
        </w:rPr>
        <w:t>坡面截</w:t>
      </w:r>
      <w:r>
        <w:rPr>
          <w:rFonts w:ascii="Times New Roman" w:hAnsi="Times New Roman" w:cs="Times New Roman"/>
          <w:sz w:val="21"/>
          <w:szCs w:val="21"/>
        </w:rPr>
        <w:t>排水工程中的截水沟宜按排水沟进行断面设计。</w:t>
      </w:r>
    </w:p>
    <w:p w14:paraId="1508E12D">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4.8.17</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截水沟应按本规范第4.2.22条的规定设置安全超高。</w:t>
      </w:r>
    </w:p>
    <w:p w14:paraId="688EB2C9">
      <w:pPr>
        <w:keepNext/>
        <w:keepLines/>
        <w:spacing w:before="260" w:after="260"/>
        <w:jc w:val="center"/>
        <w:outlineLvl w:val="2"/>
        <w:rPr>
          <w:rFonts w:ascii="Times New Roman" w:hAnsi="Times New Roman" w:eastAsia="黑体" w:cs="Times New Roman"/>
          <w:bCs/>
          <w:sz w:val="24"/>
          <w:szCs w:val="24"/>
        </w:rPr>
      </w:pPr>
      <w:bookmarkStart w:id="192" w:name="_Toc360519984"/>
      <w:bookmarkStart w:id="193" w:name="_Toc360528858"/>
      <w:bookmarkStart w:id="194" w:name="_Toc324282283"/>
      <w:bookmarkStart w:id="195" w:name="_Toc324280248"/>
      <w:bookmarkStart w:id="196" w:name="_Toc324287575"/>
      <w:bookmarkStart w:id="197" w:name="_Toc360526264"/>
      <w:bookmarkStart w:id="198" w:name="_Toc323805624"/>
      <w:bookmarkStart w:id="199" w:name="_Toc323828660"/>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4 \* ROMAN \* MERGEFORMAT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IV</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排水沟设计</w:t>
      </w:r>
      <w:bookmarkEnd w:id="192"/>
      <w:bookmarkEnd w:id="193"/>
      <w:bookmarkEnd w:id="194"/>
      <w:bookmarkEnd w:id="195"/>
      <w:bookmarkEnd w:id="196"/>
      <w:bookmarkEnd w:id="197"/>
      <w:bookmarkEnd w:id="198"/>
      <w:bookmarkEnd w:id="199"/>
    </w:p>
    <w:p w14:paraId="4CA9724B">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 xml:space="preserve">4.8.18 </w:t>
      </w:r>
      <w:r>
        <w:rPr>
          <w:rFonts w:ascii="Times New Roman" w:hAnsi="Times New Roman" w:cs="Times New Roman"/>
          <w:sz w:val="21"/>
          <w:szCs w:val="21"/>
        </w:rPr>
        <w:t xml:space="preserve"> 排水沟宜按明渠流设计。 </w:t>
      </w:r>
    </w:p>
    <w:p w14:paraId="778909C7">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4.8.19</w:t>
      </w:r>
      <w:r>
        <w:rPr>
          <w:rFonts w:ascii="Times New Roman" w:hAnsi="Times New Roman" w:cs="Times New Roman"/>
          <w:b/>
          <w:bCs/>
          <w:sz w:val="21"/>
          <w:szCs w:val="21"/>
        </w:rPr>
        <w:t xml:space="preserve"> </w:t>
      </w:r>
      <w:r>
        <w:rPr>
          <w:rFonts w:ascii="Times New Roman" w:hAnsi="Times New Roman" w:cs="Times New Roman"/>
          <w:sz w:val="21"/>
          <w:szCs w:val="21"/>
        </w:rPr>
        <w:t xml:space="preserve"> 排水沟进口宜采用喇叭口或八字形导流翼墙，翼墙长度可取设计水深的3倍～4倍。</w:t>
      </w:r>
    </w:p>
    <w:p w14:paraId="5B3F72EA">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4.8.20</w:t>
      </w:r>
      <w:r>
        <w:rPr>
          <w:rFonts w:ascii="Times New Roman" w:hAnsi="Times New Roman" w:cs="Times New Roman"/>
          <w:b/>
          <w:bCs/>
          <w:sz w:val="21"/>
          <w:szCs w:val="21"/>
        </w:rPr>
        <w:t xml:space="preserve"> </w:t>
      </w:r>
      <w:r>
        <w:rPr>
          <w:rFonts w:ascii="Times New Roman" w:hAnsi="Times New Roman" w:cs="Times New Roman"/>
          <w:sz w:val="21"/>
          <w:szCs w:val="21"/>
        </w:rPr>
        <w:t xml:space="preserve"> 排水沟断面变化时，应采用渐变段衔接，其长度可取水面宽的5倍～20倍。在弯曲段凹岸应分析水位壅高影响。</w:t>
      </w:r>
    </w:p>
    <w:p w14:paraId="419F3B5D">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 xml:space="preserve">4.8.21 </w:t>
      </w:r>
      <w:r>
        <w:rPr>
          <w:rFonts w:ascii="Times New Roman" w:hAnsi="Times New Roman" w:cs="Times New Roman"/>
          <w:sz w:val="21"/>
          <w:szCs w:val="21"/>
        </w:rPr>
        <w:t xml:space="preserve"> 排水沟应分段设置跌水。梯田排水沟纵断面可与梯田断面基本一致，以每台田面宽为一水平段，以每台田坎高为一跌水，在跌水处应采取防冲措施。</w:t>
      </w:r>
    </w:p>
    <w:p w14:paraId="72432705">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4.8.22</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排水沟末端应设消能设施。当坡度缓、流量小时，可用消力池消能；当坡度陡、流量大时，应采取多级跌水或加糙（坎）消能。</w:t>
      </w:r>
    </w:p>
    <w:p w14:paraId="23F81B5C">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4.8.23</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排水沟比降取决于沿线地形和土质条件，设计时宜与沟沿线的地面坡度相近，以减小开挖量。排水沟比降不宜小于0.5%，土质沟渠的最小比降不应小于0.25%，衬砌沟渠最小比降不应小于0.12%。</w:t>
      </w:r>
    </w:p>
    <w:p w14:paraId="5C9B0777">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4.8.24</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土质山坡排水沟宜采用梯形或复式断面，石质山坡排水沟宜采用矩形断面。陡坡式排水沟宜采用矩形断面，并宜采用浆砌石或混凝土砌筑。</w:t>
      </w:r>
    </w:p>
    <w:p w14:paraId="0940D6D3">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4.8.25</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矩形、梯形排水沟断面底宽和深度不宜小于0.4m。梯形土质排水沟，其内坡按土质类别宜采用1:1.0～1:1.5。</w:t>
      </w:r>
    </w:p>
    <w:p w14:paraId="5A611FBB">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4.8.26</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临时排水沟宜采用梯形或矩形断面，深度不宜小于0.2m，梯形排水沟底宽不宜小于0.20m，矩形排水沟沟底宽度不宜小于0.3m。</w:t>
      </w:r>
    </w:p>
    <w:p w14:paraId="290E24CE">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4.8.27</w:t>
      </w:r>
      <w:r>
        <w:rPr>
          <w:rFonts w:ascii="Times New Roman" w:hAnsi="Times New Roman" w:eastAsia="黑体" w:cs="Times New Roman"/>
          <w:sz w:val="21"/>
          <w:szCs w:val="21"/>
        </w:rPr>
        <w:t xml:space="preserve">  </w:t>
      </w:r>
      <w:r>
        <w:rPr>
          <w:rFonts w:ascii="Times New Roman" w:hAnsi="Times New Roman" w:cs="Times New Roman"/>
          <w:sz w:val="21"/>
          <w:szCs w:val="21"/>
        </w:rPr>
        <w:t>排水沟流速应同时满足不冲不淤的要求。明沟最小允许流速宜为0.4m/s，暗沟最小允许流速宜为0.75m/s。</w:t>
      </w:r>
    </w:p>
    <w:p w14:paraId="26C8C96A">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4.8.28</w:t>
      </w:r>
      <w:r>
        <w:rPr>
          <w:rFonts w:ascii="Times New Roman" w:hAnsi="Times New Roman" w:cs="Times New Roman"/>
          <w:sz w:val="21"/>
          <w:szCs w:val="21"/>
        </w:rPr>
        <w:t xml:space="preserve">  排水沟应按本规范第4.2.22条的规定设置安全超高。</w:t>
      </w:r>
    </w:p>
    <w:p w14:paraId="6EC0E9D4">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4.8.29</w:t>
      </w:r>
      <w:r>
        <w:rPr>
          <w:rFonts w:ascii="Times New Roman" w:hAnsi="Times New Roman" w:cs="Times New Roman"/>
          <w:sz w:val="21"/>
          <w:szCs w:val="21"/>
        </w:rPr>
        <w:t xml:space="preserve">  以排涝为目的排水应按现行国家标准《灌溉与排水工程设计规范》GB 50288的有关规定执行。</w:t>
      </w:r>
    </w:p>
    <w:p w14:paraId="1A06E157">
      <w:pPr>
        <w:keepNext/>
        <w:keepLines/>
        <w:spacing w:before="260" w:after="260"/>
        <w:jc w:val="center"/>
        <w:outlineLvl w:val="2"/>
        <w:rPr>
          <w:rFonts w:ascii="Times New Roman" w:hAnsi="Times New Roman" w:eastAsia="黑体" w:cs="Times New Roman"/>
          <w:bCs/>
          <w:sz w:val="24"/>
          <w:szCs w:val="24"/>
        </w:rPr>
      </w:pPr>
      <w:bookmarkStart w:id="200" w:name="_Toc324282284"/>
      <w:bookmarkStart w:id="201" w:name="_Toc323805625"/>
      <w:bookmarkStart w:id="202" w:name="_Toc360526265"/>
      <w:bookmarkStart w:id="203" w:name="_Toc360519985"/>
      <w:bookmarkStart w:id="204" w:name="_Toc323828661"/>
      <w:bookmarkStart w:id="205" w:name="_Toc360528859"/>
      <w:bookmarkStart w:id="206" w:name="_Toc324287576"/>
      <w:bookmarkStart w:id="207" w:name="_Toc324280249"/>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5 \* ROMAN \* MERGEFORMAT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V</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截流沟设计</w:t>
      </w:r>
      <w:bookmarkEnd w:id="200"/>
      <w:bookmarkEnd w:id="201"/>
      <w:bookmarkEnd w:id="202"/>
      <w:bookmarkEnd w:id="203"/>
      <w:bookmarkEnd w:id="204"/>
      <w:bookmarkEnd w:id="205"/>
      <w:bookmarkEnd w:id="206"/>
      <w:bookmarkEnd w:id="207"/>
    </w:p>
    <w:p w14:paraId="27E4D16C">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4.8.30</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截流沟宜采用梯形断面。 </w:t>
      </w:r>
    </w:p>
    <w:p w14:paraId="716ED815">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4.8.31</w:t>
      </w:r>
      <w:r>
        <w:rPr>
          <w:rFonts w:ascii="Times New Roman" w:hAnsi="Times New Roman" w:cs="Times New Roman"/>
          <w:sz w:val="21"/>
          <w:szCs w:val="21"/>
        </w:rPr>
        <w:t xml:space="preserve">  截流沟长度超过500m时，应分段设计。断面变化处应采用渐变段衔接，其长度可取水面宽的5倍～20倍。 </w:t>
      </w:r>
    </w:p>
    <w:p w14:paraId="338E8B3B">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4.8.32</w:t>
      </w:r>
      <w:r>
        <w:rPr>
          <w:rFonts w:ascii="Times New Roman" w:hAnsi="Times New Roman" w:cs="Times New Roman"/>
          <w:sz w:val="21"/>
          <w:szCs w:val="21"/>
        </w:rPr>
        <w:t xml:space="preserve">  最大径流量应按下式计算：</w:t>
      </w:r>
    </w:p>
    <w:p w14:paraId="3ADADCAF">
      <w:pPr>
        <w:wordWrap w:val="0"/>
        <w:snapToGrid w:val="0"/>
        <w:spacing w:line="360" w:lineRule="auto"/>
        <w:ind w:firstLine="567" w:firstLineChars="270"/>
        <w:jc w:val="right"/>
        <w:rPr>
          <w:rFonts w:ascii="Times New Roman" w:hAnsi="Times New Roman" w:cs="Times New Roman"/>
          <w:sz w:val="21"/>
          <w:szCs w:val="21"/>
        </w:rPr>
      </w:pPr>
      <w:bookmarkStart w:id="208" w:name="_Toc136406109"/>
      <w:bookmarkStart w:id="209" w:name="_Toc130629619"/>
      <w:bookmarkStart w:id="210" w:name="_Toc138666726"/>
      <w:bookmarkStart w:id="211" w:name="_Toc131943582"/>
      <w:bookmarkStart w:id="212" w:name="_Toc136401904"/>
      <w:bookmarkStart w:id="213" w:name="_Toc136401619"/>
      <w:r>
        <w:rPr>
          <w:rFonts w:ascii="Times New Roman" w:hAnsi="Times New Roman" w:cs="Times New Roman"/>
          <w:i/>
          <w:sz w:val="21"/>
          <w:szCs w:val="21"/>
        </w:rPr>
        <w:t>Q</w:t>
      </w:r>
      <w:r>
        <w:rPr>
          <w:rFonts w:ascii="Times New Roman" w:hAnsi="Times New Roman" w:cs="Times New Roman"/>
          <w:sz w:val="21"/>
          <w:szCs w:val="21"/>
          <w:vertAlign w:val="subscript"/>
        </w:rPr>
        <w:t>m</w:t>
      </w:r>
      <w:r>
        <w:rPr>
          <w:rFonts w:ascii="Times New Roman" w:hAnsi="Times New Roman" w:cs="Times New Roman"/>
          <w:sz w:val="21"/>
          <w:szCs w:val="21"/>
        </w:rPr>
        <w:t>=</w:t>
      </w:r>
      <w:r>
        <w:rPr>
          <w:rFonts w:ascii="Times New Roman" w:hAnsi="Times New Roman" w:cs="Times New Roman"/>
          <w:b/>
          <w:position w:val="-30"/>
          <w:sz w:val="21"/>
          <w:szCs w:val="21"/>
        </w:rPr>
        <w:drawing>
          <wp:inline distT="0" distB="0" distL="114300" distR="114300">
            <wp:extent cx="365125" cy="447040"/>
            <wp:effectExtent l="0" t="0" r="0" b="10795"/>
            <wp:docPr id="110"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92"/>
                    <pic:cNvPicPr>
                      <a:picLocks noChangeAspect="1"/>
                    </pic:cNvPicPr>
                  </pic:nvPicPr>
                  <pic:blipFill>
                    <a:blip r:embed="rId103"/>
                    <a:stretch>
                      <a:fillRect/>
                    </a:stretch>
                  </pic:blipFill>
                  <pic:spPr>
                    <a:xfrm>
                      <a:off x="0" y="0"/>
                      <a:ext cx="365125" cy="447040"/>
                    </a:xfrm>
                    <a:prstGeom prst="rect">
                      <a:avLst/>
                    </a:prstGeom>
                    <a:noFill/>
                    <a:ln>
                      <a:noFill/>
                    </a:ln>
                  </pic:spPr>
                </pic:pic>
              </a:graphicData>
            </a:graphic>
          </wp:inline>
        </w:drawing>
      </w:r>
      <w:r>
        <w:rPr>
          <w:rFonts w:ascii="Times New Roman" w:hAnsi="Times New Roman" w:cs="Times New Roman"/>
          <w:i/>
          <w:sz w:val="21"/>
          <w:szCs w:val="21"/>
        </w:rPr>
        <w:t>C</w:t>
      </w:r>
      <w:r>
        <w:rPr>
          <w:rFonts w:ascii="Times New Roman" w:hAnsi="Times New Roman" w:cs="Times New Roman"/>
          <w:i/>
          <w:sz w:val="21"/>
          <w:szCs w:val="21"/>
          <w:vertAlign w:val="subscript"/>
        </w:rPr>
        <w:t>p</w:t>
      </w:r>
      <w:r>
        <w:rPr>
          <w:rFonts w:ascii="Times New Roman" w:hAnsi="Times New Roman" w:cs="Times New Roman"/>
          <w:i/>
          <w:sz w:val="21"/>
          <w:szCs w:val="21"/>
        </w:rPr>
        <w:t xml:space="preserve">F </w:t>
      </w:r>
      <w:r>
        <w:rPr>
          <w:rFonts w:ascii="Times New Roman" w:hAnsi="Times New Roman" w:cs="Times New Roman"/>
          <w:sz w:val="21"/>
          <w:szCs w:val="21"/>
          <w:vertAlign w:val="superscript"/>
        </w:rPr>
        <w:t>0.67</w:t>
      </w:r>
      <w:bookmarkEnd w:id="208"/>
      <w:bookmarkEnd w:id="209"/>
      <w:bookmarkEnd w:id="210"/>
      <w:bookmarkEnd w:id="211"/>
      <w:bookmarkEnd w:id="212"/>
      <w:bookmarkEnd w:id="213"/>
      <w:r>
        <w:rPr>
          <w:rFonts w:ascii="Times New Roman" w:hAnsi="Times New Roman" w:cs="Times New Roman"/>
          <w:sz w:val="21"/>
          <w:szCs w:val="21"/>
        </w:rPr>
        <w:t xml:space="preserve">                        （4.8.32）</w:t>
      </w:r>
    </w:p>
    <w:p w14:paraId="1BB76160">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Q</w:t>
      </w:r>
      <w:r>
        <w:rPr>
          <w:rFonts w:ascii="Times New Roman" w:hAnsi="Times New Roman" w:cs="Times New Roman"/>
          <w:sz w:val="21"/>
          <w:szCs w:val="21"/>
          <w:vertAlign w:val="subscript"/>
        </w:rPr>
        <w:t>m</w:t>
      </w:r>
      <w:r>
        <w:rPr>
          <w:rFonts w:ascii="Times New Roman" w:hAnsi="Times New Roman" w:cs="Times New Roman"/>
          <w:sz w:val="21"/>
          <w:szCs w:val="21"/>
        </w:rPr>
        <w:t>——沟道最大流量，m³/s；</w:t>
      </w:r>
    </w:p>
    <w:p w14:paraId="6FE0C818">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F</w:t>
      </w:r>
      <w:r>
        <w:rPr>
          <w:rFonts w:ascii="Times New Roman" w:hAnsi="Times New Roman" w:cs="Times New Roman"/>
          <w:sz w:val="21"/>
          <w:szCs w:val="21"/>
        </w:rPr>
        <w:t>——分段设计时，本段截流沟控制的集水面积，km²；</w:t>
      </w:r>
    </w:p>
    <w:p w14:paraId="5BD2DB43">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C</w:t>
      </w:r>
      <w:r>
        <w:rPr>
          <w:rFonts w:ascii="Times New Roman" w:hAnsi="Times New Roman" w:cs="Times New Roman"/>
          <w:i/>
          <w:sz w:val="21"/>
          <w:szCs w:val="21"/>
          <w:vertAlign w:val="subscript"/>
        </w:rPr>
        <w:t>p</w:t>
      </w:r>
      <w:r>
        <w:rPr>
          <w:rFonts w:ascii="Times New Roman" w:hAnsi="Times New Roman" w:cs="Times New Roman"/>
          <w:sz w:val="21"/>
          <w:szCs w:val="21"/>
        </w:rPr>
        <w:t>——最大径流量参数；</w:t>
      </w:r>
    </w:p>
    <w:p w14:paraId="36BF193A">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K</w:t>
      </w:r>
      <w:r>
        <w:rPr>
          <w:rFonts w:ascii="Times New Roman" w:hAnsi="Times New Roman" w:cs="Times New Roman"/>
          <w:sz w:val="21"/>
          <w:szCs w:val="21"/>
        </w:rPr>
        <w:t>——相应频率的模比系数，可通过当地水文手册查找。</w:t>
      </w:r>
    </w:p>
    <w:p w14:paraId="4EE39D1F">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4.8.33</w:t>
      </w:r>
      <w:r>
        <w:rPr>
          <w:rFonts w:ascii="Times New Roman" w:hAnsi="Times New Roman" w:cs="Times New Roman"/>
          <w:sz w:val="21"/>
          <w:szCs w:val="21"/>
        </w:rPr>
        <w:t xml:space="preserve">  截流沟汇流历时应按本规范公式（A.4.2-2）计算。</w:t>
      </w:r>
    </w:p>
    <w:p w14:paraId="1B2E2061">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4.8.34</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截流沟断面设计可按排水沟有关规定执行，并应按本规范第4.2.22条的规定增加安全超高。</w:t>
      </w:r>
    </w:p>
    <w:p w14:paraId="62DD42B5">
      <w:pPr>
        <w:keepNext/>
        <w:keepLines/>
        <w:spacing w:before="260" w:after="260"/>
        <w:jc w:val="center"/>
        <w:outlineLvl w:val="2"/>
        <w:rPr>
          <w:rFonts w:ascii="Times New Roman" w:hAnsi="Times New Roman" w:eastAsia="黑体" w:cs="Times New Roman"/>
          <w:bCs/>
          <w:sz w:val="24"/>
          <w:szCs w:val="24"/>
        </w:rPr>
      </w:pPr>
      <w:bookmarkStart w:id="214" w:name="_Toc323805626"/>
      <w:bookmarkStart w:id="215" w:name="_Toc360519986"/>
      <w:bookmarkStart w:id="216" w:name="_Toc324280250"/>
      <w:bookmarkStart w:id="217" w:name="_Toc323828662"/>
      <w:bookmarkStart w:id="218" w:name="_Toc324287577"/>
      <w:bookmarkStart w:id="219" w:name="_Toc360526266"/>
      <w:bookmarkStart w:id="220" w:name="_Toc324282285"/>
      <w:bookmarkStart w:id="221" w:name="_Toc360528860"/>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6 \* ROMAN \* MERGEFORMAT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VI</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地下排水工程设计</w:t>
      </w:r>
      <w:bookmarkEnd w:id="214"/>
      <w:bookmarkEnd w:id="215"/>
      <w:bookmarkEnd w:id="216"/>
      <w:bookmarkEnd w:id="217"/>
      <w:bookmarkEnd w:id="218"/>
      <w:bookmarkEnd w:id="219"/>
      <w:bookmarkEnd w:id="220"/>
      <w:bookmarkEnd w:id="221"/>
    </w:p>
    <w:p w14:paraId="0EC944B1">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4.8.35</w:t>
      </w:r>
      <w:r>
        <w:rPr>
          <w:rFonts w:ascii="Times New Roman" w:hAnsi="Times New Roman" w:cs="Times New Roman"/>
          <w:sz w:val="21"/>
          <w:szCs w:val="21"/>
        </w:rPr>
        <w:t xml:space="preserve">  鼠洞排水布设应满足下列要求：</w:t>
      </w:r>
    </w:p>
    <w:p w14:paraId="56E26315">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1"/>
        </w:rPr>
        <w:t>1</w:t>
      </w:r>
      <w:r>
        <w:rPr>
          <w:rFonts w:ascii="Times New Roman" w:hAnsi="Times New Roman" w:cs="Times New Roman"/>
          <w:sz w:val="21"/>
          <w:szCs w:val="21"/>
        </w:rPr>
        <w:t xml:space="preserve">  鼠洞深度和间距应根据土壤结构而定，有关经验参数可按表4.</w:t>
      </w:r>
      <w:r>
        <w:rPr>
          <w:rFonts w:hint="eastAsia" w:ascii="Times New Roman" w:hAnsi="Times New Roman" w:cs="Times New Roman"/>
          <w:sz w:val="21"/>
          <w:szCs w:val="21"/>
        </w:rPr>
        <w:t>8</w:t>
      </w:r>
      <w:r>
        <w:rPr>
          <w:rFonts w:ascii="Times New Roman" w:hAnsi="Times New Roman" w:cs="Times New Roman"/>
          <w:sz w:val="21"/>
          <w:szCs w:val="21"/>
        </w:rPr>
        <w:t>.35-1选取。</w:t>
      </w:r>
    </w:p>
    <w:p w14:paraId="6B998922">
      <w:pPr>
        <w:jc w:val="center"/>
        <w:rPr>
          <w:rFonts w:ascii="Times New Roman" w:hAnsi="Times New Roman" w:eastAsia="黑体" w:cs="Times New Roman"/>
          <w:sz w:val="18"/>
          <w:szCs w:val="18"/>
        </w:rPr>
      </w:pPr>
      <w:r>
        <w:rPr>
          <w:rFonts w:ascii="Times New Roman" w:hAnsi="Times New Roman" w:eastAsia="黑体" w:cs="Times New Roman"/>
          <w:sz w:val="18"/>
          <w:szCs w:val="18"/>
        </w:rPr>
        <w:t>表4.8.35  不同土质的鼠洞深度与间距经验数值表</w:t>
      </w:r>
    </w:p>
    <w:tbl>
      <w:tblPr>
        <w:tblStyle w:val="10"/>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1381"/>
        <w:gridCol w:w="1377"/>
        <w:gridCol w:w="1377"/>
        <w:gridCol w:w="1377"/>
        <w:gridCol w:w="1377"/>
      </w:tblGrid>
      <w:tr w14:paraId="352E02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35" w:type="pct"/>
            <w:vAlign w:val="center"/>
          </w:tcPr>
          <w:p w14:paraId="73BCB4A8">
            <w:pPr>
              <w:spacing w:line="0" w:lineRule="atLeast"/>
              <w:jc w:val="center"/>
              <w:rPr>
                <w:rFonts w:ascii="Times New Roman" w:hAnsi="Times New Roman" w:cs="Times New Roman"/>
                <w:sz w:val="15"/>
                <w:szCs w:val="15"/>
              </w:rPr>
            </w:pPr>
            <w:r>
              <w:rPr>
                <w:rFonts w:ascii="Times New Roman" w:hAnsi="Times New Roman" w:cs="Times New Roman"/>
                <w:sz w:val="15"/>
                <w:szCs w:val="15"/>
              </w:rPr>
              <w:t>土壤质地</w:t>
            </w:r>
          </w:p>
        </w:tc>
        <w:tc>
          <w:tcPr>
            <w:tcW w:w="834" w:type="pct"/>
            <w:vAlign w:val="center"/>
          </w:tcPr>
          <w:p w14:paraId="1C4132DD">
            <w:pPr>
              <w:spacing w:line="0" w:lineRule="atLeast"/>
              <w:jc w:val="center"/>
              <w:rPr>
                <w:rFonts w:ascii="Times New Roman" w:hAnsi="Times New Roman" w:cs="Times New Roman"/>
                <w:sz w:val="15"/>
                <w:szCs w:val="15"/>
              </w:rPr>
            </w:pPr>
            <w:r>
              <w:rPr>
                <w:rFonts w:ascii="Times New Roman" w:hAnsi="Times New Roman" w:cs="Times New Roman"/>
                <w:sz w:val="15"/>
                <w:szCs w:val="15"/>
              </w:rPr>
              <w:t>洞深（m）</w:t>
            </w:r>
          </w:p>
        </w:tc>
        <w:tc>
          <w:tcPr>
            <w:tcW w:w="832" w:type="pct"/>
            <w:vAlign w:val="center"/>
          </w:tcPr>
          <w:p w14:paraId="49A5BE83">
            <w:pPr>
              <w:spacing w:line="0" w:lineRule="atLeast"/>
              <w:jc w:val="center"/>
              <w:rPr>
                <w:rFonts w:ascii="Times New Roman" w:hAnsi="Times New Roman" w:cs="Times New Roman"/>
                <w:sz w:val="15"/>
                <w:szCs w:val="15"/>
              </w:rPr>
            </w:pPr>
            <w:r>
              <w:rPr>
                <w:rFonts w:ascii="Times New Roman" w:hAnsi="Times New Roman" w:cs="Times New Roman"/>
                <w:sz w:val="15"/>
                <w:szCs w:val="15"/>
              </w:rPr>
              <w:t>洞距（m）</w:t>
            </w:r>
          </w:p>
        </w:tc>
        <w:tc>
          <w:tcPr>
            <w:tcW w:w="832" w:type="pct"/>
            <w:vAlign w:val="center"/>
          </w:tcPr>
          <w:p w14:paraId="30640625">
            <w:pPr>
              <w:spacing w:line="0" w:lineRule="atLeast"/>
              <w:jc w:val="center"/>
              <w:rPr>
                <w:rFonts w:ascii="Times New Roman" w:hAnsi="Times New Roman" w:cs="Times New Roman"/>
                <w:sz w:val="15"/>
                <w:szCs w:val="15"/>
              </w:rPr>
            </w:pPr>
            <w:r>
              <w:rPr>
                <w:rFonts w:ascii="Times New Roman" w:hAnsi="Times New Roman" w:cs="Times New Roman"/>
                <w:sz w:val="15"/>
                <w:szCs w:val="15"/>
              </w:rPr>
              <w:t>土壤质地</w:t>
            </w:r>
          </w:p>
        </w:tc>
        <w:tc>
          <w:tcPr>
            <w:tcW w:w="832" w:type="pct"/>
            <w:vAlign w:val="center"/>
          </w:tcPr>
          <w:p w14:paraId="6377DC93">
            <w:pPr>
              <w:spacing w:line="0" w:lineRule="atLeast"/>
              <w:jc w:val="center"/>
              <w:rPr>
                <w:rFonts w:ascii="Times New Roman" w:hAnsi="Times New Roman" w:cs="Times New Roman"/>
                <w:sz w:val="15"/>
                <w:szCs w:val="15"/>
              </w:rPr>
            </w:pPr>
            <w:r>
              <w:rPr>
                <w:rFonts w:ascii="Times New Roman" w:hAnsi="Times New Roman" w:cs="Times New Roman"/>
                <w:sz w:val="15"/>
                <w:szCs w:val="15"/>
              </w:rPr>
              <w:t>洞深（m）</w:t>
            </w:r>
          </w:p>
        </w:tc>
        <w:tc>
          <w:tcPr>
            <w:tcW w:w="831" w:type="pct"/>
            <w:vAlign w:val="center"/>
          </w:tcPr>
          <w:p w14:paraId="50E6C6F4">
            <w:pPr>
              <w:spacing w:line="0" w:lineRule="atLeast"/>
              <w:jc w:val="center"/>
              <w:rPr>
                <w:rFonts w:ascii="Times New Roman" w:hAnsi="Times New Roman" w:cs="Times New Roman"/>
                <w:sz w:val="15"/>
                <w:szCs w:val="15"/>
              </w:rPr>
            </w:pPr>
            <w:r>
              <w:rPr>
                <w:rFonts w:ascii="Times New Roman" w:hAnsi="Times New Roman" w:cs="Times New Roman"/>
                <w:sz w:val="15"/>
                <w:szCs w:val="15"/>
              </w:rPr>
              <w:t>洞距（m）</w:t>
            </w:r>
          </w:p>
        </w:tc>
      </w:tr>
      <w:tr w14:paraId="615771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35" w:type="pct"/>
            <w:vMerge w:val="restart"/>
            <w:vAlign w:val="center"/>
          </w:tcPr>
          <w:p w14:paraId="5B8A64F6">
            <w:pPr>
              <w:spacing w:line="0" w:lineRule="atLeast"/>
              <w:jc w:val="center"/>
              <w:rPr>
                <w:rFonts w:ascii="Times New Roman" w:hAnsi="Times New Roman" w:cs="Times New Roman"/>
                <w:sz w:val="15"/>
                <w:szCs w:val="15"/>
              </w:rPr>
            </w:pPr>
            <w:r>
              <w:rPr>
                <w:rFonts w:ascii="Times New Roman" w:hAnsi="Times New Roman" w:cs="Times New Roman"/>
                <w:sz w:val="15"/>
                <w:szCs w:val="15"/>
              </w:rPr>
              <w:t>粘土</w:t>
            </w:r>
          </w:p>
        </w:tc>
        <w:tc>
          <w:tcPr>
            <w:tcW w:w="834" w:type="pct"/>
            <w:vAlign w:val="center"/>
          </w:tcPr>
          <w:p w14:paraId="1BCDD3C3">
            <w:pPr>
              <w:spacing w:line="0" w:lineRule="atLeast"/>
              <w:jc w:val="center"/>
              <w:rPr>
                <w:rFonts w:ascii="Times New Roman" w:hAnsi="Times New Roman" w:cs="Times New Roman"/>
                <w:sz w:val="15"/>
                <w:szCs w:val="15"/>
              </w:rPr>
            </w:pPr>
            <w:r>
              <w:rPr>
                <w:rFonts w:ascii="Times New Roman" w:hAnsi="Times New Roman" w:cs="Times New Roman"/>
                <w:sz w:val="15"/>
                <w:szCs w:val="15"/>
              </w:rPr>
              <w:t>0.35～0.5</w:t>
            </w:r>
          </w:p>
        </w:tc>
        <w:tc>
          <w:tcPr>
            <w:tcW w:w="832" w:type="pct"/>
            <w:vAlign w:val="center"/>
          </w:tcPr>
          <w:p w14:paraId="0225247D">
            <w:pPr>
              <w:spacing w:line="0" w:lineRule="atLeast"/>
              <w:jc w:val="center"/>
              <w:rPr>
                <w:rFonts w:ascii="Times New Roman" w:hAnsi="Times New Roman" w:cs="Times New Roman"/>
                <w:sz w:val="15"/>
                <w:szCs w:val="15"/>
              </w:rPr>
            </w:pPr>
            <w:r>
              <w:rPr>
                <w:rFonts w:ascii="Times New Roman" w:hAnsi="Times New Roman" w:cs="Times New Roman"/>
                <w:sz w:val="15"/>
                <w:szCs w:val="15"/>
              </w:rPr>
              <w:t>1.0～2.0</w:t>
            </w:r>
          </w:p>
        </w:tc>
        <w:tc>
          <w:tcPr>
            <w:tcW w:w="832" w:type="pct"/>
            <w:vMerge w:val="restart"/>
            <w:vAlign w:val="center"/>
          </w:tcPr>
          <w:p w14:paraId="3534FD5D">
            <w:pPr>
              <w:spacing w:line="0" w:lineRule="atLeast"/>
              <w:jc w:val="center"/>
              <w:rPr>
                <w:rFonts w:ascii="Times New Roman" w:hAnsi="Times New Roman" w:cs="Times New Roman"/>
                <w:sz w:val="15"/>
                <w:szCs w:val="15"/>
              </w:rPr>
            </w:pPr>
            <w:r>
              <w:rPr>
                <w:rFonts w:ascii="Times New Roman" w:hAnsi="Times New Roman" w:cs="Times New Roman"/>
                <w:sz w:val="15"/>
                <w:szCs w:val="15"/>
              </w:rPr>
              <w:t>粘壤土</w:t>
            </w:r>
          </w:p>
        </w:tc>
        <w:tc>
          <w:tcPr>
            <w:tcW w:w="832" w:type="pct"/>
            <w:vAlign w:val="center"/>
          </w:tcPr>
          <w:p w14:paraId="7DBB99A1">
            <w:pPr>
              <w:spacing w:line="0" w:lineRule="atLeast"/>
              <w:jc w:val="center"/>
              <w:rPr>
                <w:rFonts w:ascii="Times New Roman" w:hAnsi="Times New Roman" w:cs="Times New Roman"/>
                <w:sz w:val="15"/>
                <w:szCs w:val="15"/>
              </w:rPr>
            </w:pPr>
            <w:r>
              <w:rPr>
                <w:rFonts w:ascii="Times New Roman" w:hAnsi="Times New Roman" w:cs="Times New Roman"/>
                <w:sz w:val="15"/>
                <w:szCs w:val="15"/>
              </w:rPr>
              <w:t>0.35～0.5</w:t>
            </w:r>
          </w:p>
        </w:tc>
        <w:tc>
          <w:tcPr>
            <w:tcW w:w="831" w:type="pct"/>
            <w:vAlign w:val="center"/>
          </w:tcPr>
          <w:p w14:paraId="4162501E">
            <w:pPr>
              <w:spacing w:line="0" w:lineRule="atLeast"/>
              <w:jc w:val="center"/>
              <w:rPr>
                <w:rFonts w:ascii="Times New Roman" w:hAnsi="Times New Roman" w:cs="Times New Roman"/>
                <w:sz w:val="15"/>
                <w:szCs w:val="15"/>
              </w:rPr>
            </w:pPr>
            <w:r>
              <w:rPr>
                <w:rFonts w:ascii="Times New Roman" w:hAnsi="Times New Roman" w:cs="Times New Roman"/>
                <w:sz w:val="15"/>
                <w:szCs w:val="15"/>
              </w:rPr>
              <w:t>1.0～2.2</w:t>
            </w:r>
          </w:p>
        </w:tc>
      </w:tr>
      <w:tr w14:paraId="244F66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35" w:type="pct"/>
            <w:vMerge w:val="continue"/>
            <w:vAlign w:val="center"/>
          </w:tcPr>
          <w:p w14:paraId="28BD4E0E">
            <w:pPr>
              <w:spacing w:line="0" w:lineRule="atLeast"/>
              <w:jc w:val="center"/>
              <w:rPr>
                <w:rFonts w:ascii="Times New Roman" w:hAnsi="Times New Roman" w:cs="Times New Roman"/>
                <w:sz w:val="15"/>
                <w:szCs w:val="15"/>
              </w:rPr>
            </w:pPr>
          </w:p>
        </w:tc>
        <w:tc>
          <w:tcPr>
            <w:tcW w:w="834" w:type="pct"/>
            <w:vAlign w:val="center"/>
          </w:tcPr>
          <w:p w14:paraId="377045EF">
            <w:pPr>
              <w:spacing w:line="0" w:lineRule="atLeast"/>
              <w:jc w:val="center"/>
              <w:rPr>
                <w:rFonts w:ascii="Times New Roman" w:hAnsi="Times New Roman" w:cs="Times New Roman"/>
                <w:sz w:val="15"/>
                <w:szCs w:val="15"/>
              </w:rPr>
            </w:pPr>
            <w:r>
              <w:rPr>
                <w:rFonts w:ascii="Times New Roman" w:hAnsi="Times New Roman" w:cs="Times New Roman"/>
                <w:sz w:val="15"/>
                <w:szCs w:val="15"/>
              </w:rPr>
              <w:t>0.5～0.7</w:t>
            </w:r>
          </w:p>
        </w:tc>
        <w:tc>
          <w:tcPr>
            <w:tcW w:w="832" w:type="pct"/>
            <w:vAlign w:val="center"/>
          </w:tcPr>
          <w:p w14:paraId="11FFE2F1">
            <w:pPr>
              <w:spacing w:line="0" w:lineRule="atLeast"/>
              <w:jc w:val="center"/>
              <w:rPr>
                <w:rFonts w:ascii="Times New Roman" w:hAnsi="Times New Roman" w:cs="Times New Roman"/>
                <w:sz w:val="15"/>
                <w:szCs w:val="15"/>
              </w:rPr>
            </w:pPr>
            <w:r>
              <w:rPr>
                <w:rFonts w:ascii="Times New Roman" w:hAnsi="Times New Roman" w:cs="Times New Roman"/>
                <w:sz w:val="15"/>
                <w:szCs w:val="15"/>
              </w:rPr>
              <w:t>1.5～2.8</w:t>
            </w:r>
          </w:p>
        </w:tc>
        <w:tc>
          <w:tcPr>
            <w:tcW w:w="832" w:type="pct"/>
            <w:vMerge w:val="continue"/>
            <w:vAlign w:val="center"/>
          </w:tcPr>
          <w:p w14:paraId="457E212D">
            <w:pPr>
              <w:spacing w:line="0" w:lineRule="atLeast"/>
              <w:jc w:val="center"/>
              <w:rPr>
                <w:rFonts w:ascii="Times New Roman" w:hAnsi="Times New Roman" w:cs="Times New Roman"/>
                <w:sz w:val="15"/>
                <w:szCs w:val="15"/>
              </w:rPr>
            </w:pPr>
          </w:p>
        </w:tc>
        <w:tc>
          <w:tcPr>
            <w:tcW w:w="832" w:type="pct"/>
            <w:vAlign w:val="center"/>
          </w:tcPr>
          <w:p w14:paraId="718CECA2">
            <w:pPr>
              <w:spacing w:line="0" w:lineRule="atLeast"/>
              <w:jc w:val="center"/>
              <w:rPr>
                <w:rFonts w:ascii="Times New Roman" w:hAnsi="Times New Roman" w:cs="Times New Roman"/>
                <w:sz w:val="15"/>
                <w:szCs w:val="15"/>
              </w:rPr>
            </w:pPr>
            <w:r>
              <w:rPr>
                <w:rFonts w:ascii="Times New Roman" w:hAnsi="Times New Roman" w:cs="Times New Roman"/>
                <w:sz w:val="15"/>
                <w:szCs w:val="15"/>
              </w:rPr>
              <w:t>0.5～0.7</w:t>
            </w:r>
          </w:p>
        </w:tc>
        <w:tc>
          <w:tcPr>
            <w:tcW w:w="831" w:type="pct"/>
            <w:vAlign w:val="center"/>
          </w:tcPr>
          <w:p w14:paraId="368CFC42">
            <w:pPr>
              <w:spacing w:line="0" w:lineRule="atLeast"/>
              <w:jc w:val="center"/>
              <w:rPr>
                <w:rFonts w:ascii="Times New Roman" w:hAnsi="Times New Roman" w:cs="Times New Roman"/>
                <w:sz w:val="15"/>
                <w:szCs w:val="15"/>
              </w:rPr>
            </w:pPr>
            <w:r>
              <w:rPr>
                <w:rFonts w:ascii="Times New Roman" w:hAnsi="Times New Roman" w:cs="Times New Roman"/>
                <w:sz w:val="15"/>
                <w:szCs w:val="15"/>
              </w:rPr>
              <w:t>1.5～3.0</w:t>
            </w:r>
          </w:p>
        </w:tc>
      </w:tr>
      <w:tr w14:paraId="774E38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35" w:type="pct"/>
            <w:vMerge w:val="continue"/>
            <w:vAlign w:val="center"/>
          </w:tcPr>
          <w:p w14:paraId="01EC26B1">
            <w:pPr>
              <w:spacing w:line="0" w:lineRule="atLeast"/>
              <w:jc w:val="center"/>
              <w:rPr>
                <w:rFonts w:ascii="Times New Roman" w:hAnsi="Times New Roman" w:cs="Times New Roman"/>
                <w:sz w:val="15"/>
                <w:szCs w:val="15"/>
              </w:rPr>
            </w:pPr>
          </w:p>
        </w:tc>
        <w:tc>
          <w:tcPr>
            <w:tcW w:w="834" w:type="pct"/>
            <w:vAlign w:val="center"/>
          </w:tcPr>
          <w:p w14:paraId="4EC444E4">
            <w:pPr>
              <w:spacing w:line="0" w:lineRule="atLeast"/>
              <w:jc w:val="center"/>
              <w:rPr>
                <w:rFonts w:ascii="Times New Roman" w:hAnsi="Times New Roman" w:cs="Times New Roman"/>
                <w:sz w:val="15"/>
                <w:szCs w:val="15"/>
              </w:rPr>
            </w:pPr>
            <w:r>
              <w:rPr>
                <w:rFonts w:ascii="Times New Roman" w:hAnsi="Times New Roman" w:cs="Times New Roman"/>
                <w:sz w:val="15"/>
                <w:szCs w:val="15"/>
              </w:rPr>
              <w:t>0.7～1.0</w:t>
            </w:r>
          </w:p>
        </w:tc>
        <w:tc>
          <w:tcPr>
            <w:tcW w:w="832" w:type="pct"/>
            <w:vAlign w:val="center"/>
          </w:tcPr>
          <w:p w14:paraId="108235CB">
            <w:pPr>
              <w:spacing w:line="0" w:lineRule="atLeast"/>
              <w:jc w:val="center"/>
              <w:rPr>
                <w:rFonts w:ascii="Times New Roman" w:hAnsi="Times New Roman" w:cs="Times New Roman"/>
                <w:sz w:val="15"/>
                <w:szCs w:val="15"/>
              </w:rPr>
            </w:pPr>
            <w:r>
              <w:rPr>
                <w:rFonts w:ascii="Times New Roman" w:hAnsi="Times New Roman" w:cs="Times New Roman"/>
                <w:sz w:val="15"/>
                <w:szCs w:val="15"/>
              </w:rPr>
              <w:t>2.0～4.0</w:t>
            </w:r>
          </w:p>
        </w:tc>
        <w:tc>
          <w:tcPr>
            <w:tcW w:w="832" w:type="pct"/>
            <w:vMerge w:val="continue"/>
            <w:vAlign w:val="center"/>
          </w:tcPr>
          <w:p w14:paraId="2612909D">
            <w:pPr>
              <w:spacing w:line="0" w:lineRule="atLeast"/>
              <w:jc w:val="center"/>
              <w:rPr>
                <w:rFonts w:ascii="Times New Roman" w:hAnsi="Times New Roman" w:cs="Times New Roman"/>
                <w:sz w:val="15"/>
                <w:szCs w:val="15"/>
              </w:rPr>
            </w:pPr>
          </w:p>
        </w:tc>
        <w:tc>
          <w:tcPr>
            <w:tcW w:w="832" w:type="pct"/>
            <w:vAlign w:val="center"/>
          </w:tcPr>
          <w:p w14:paraId="7E5BF56C">
            <w:pPr>
              <w:spacing w:line="0" w:lineRule="atLeast"/>
              <w:jc w:val="center"/>
              <w:rPr>
                <w:rFonts w:ascii="Times New Roman" w:hAnsi="Times New Roman" w:cs="Times New Roman"/>
                <w:sz w:val="15"/>
                <w:szCs w:val="15"/>
              </w:rPr>
            </w:pPr>
            <w:r>
              <w:rPr>
                <w:rFonts w:ascii="Times New Roman" w:hAnsi="Times New Roman" w:cs="Times New Roman"/>
                <w:sz w:val="15"/>
                <w:szCs w:val="15"/>
              </w:rPr>
              <w:t>0.7～1.0</w:t>
            </w:r>
          </w:p>
        </w:tc>
        <w:tc>
          <w:tcPr>
            <w:tcW w:w="831" w:type="pct"/>
            <w:vAlign w:val="center"/>
          </w:tcPr>
          <w:p w14:paraId="1F937501">
            <w:pPr>
              <w:spacing w:line="0" w:lineRule="atLeast"/>
              <w:jc w:val="center"/>
              <w:rPr>
                <w:rFonts w:ascii="Times New Roman" w:hAnsi="Times New Roman" w:cs="Times New Roman"/>
                <w:sz w:val="15"/>
                <w:szCs w:val="15"/>
              </w:rPr>
            </w:pPr>
            <w:r>
              <w:rPr>
                <w:rFonts w:ascii="Times New Roman" w:hAnsi="Times New Roman" w:cs="Times New Roman"/>
                <w:sz w:val="15"/>
                <w:szCs w:val="15"/>
              </w:rPr>
              <w:t>2.0～4.5</w:t>
            </w:r>
          </w:p>
        </w:tc>
      </w:tr>
    </w:tbl>
    <w:p w14:paraId="7C9E930F">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1"/>
        </w:rPr>
        <w:t>2</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鼠洞出口高程应高于末级沟道正常设计水位0.2m～0.3m，洞出口内插满树条或麦秸或草把，下缘采用块石防护。</w:t>
      </w:r>
    </w:p>
    <w:p w14:paraId="3EF31E8E">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1"/>
        </w:rPr>
        <w:t>4.8.36</w:t>
      </w:r>
      <w:r>
        <w:rPr>
          <w:rFonts w:ascii="Times New Roman" w:hAnsi="Times New Roman" w:cs="Times New Roman"/>
          <w:sz w:val="21"/>
          <w:szCs w:val="21"/>
        </w:rPr>
        <w:t xml:space="preserve">  暗管排水布设应满足下列要求：</w:t>
      </w:r>
    </w:p>
    <w:p w14:paraId="146E0C6E">
      <w:pPr>
        <w:snapToGrid w:val="0"/>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bCs/>
          <w:sz w:val="21"/>
          <w:szCs w:val="21"/>
        </w:rPr>
        <w:t>1</w:t>
      </w:r>
      <w:r>
        <w:rPr>
          <w:rFonts w:ascii="Times New Roman" w:hAnsi="Times New Roman" w:cs="Times New Roman"/>
          <w:sz w:val="21"/>
          <w:szCs w:val="21"/>
        </w:rPr>
        <w:t xml:space="preserve">  暗管应布设在局部闭流洼地和低洼水线处，消除坡耕地内涝。</w:t>
      </w:r>
    </w:p>
    <w:p w14:paraId="41429C73">
      <w:pPr>
        <w:snapToGrid w:val="0"/>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bCs/>
          <w:sz w:val="21"/>
          <w:szCs w:val="21"/>
        </w:rPr>
        <w:t>2</w:t>
      </w:r>
      <w:r>
        <w:rPr>
          <w:rFonts w:ascii="Times New Roman" w:hAnsi="Times New Roman" w:cs="Times New Roman"/>
          <w:sz w:val="21"/>
          <w:szCs w:val="21"/>
        </w:rPr>
        <w:t xml:space="preserve">  暗管间距宜为50m～100m。在局部闭流洼地和低洼水线处，暗管间距应适当加密至10m～30m。</w:t>
      </w:r>
    </w:p>
    <w:p w14:paraId="37D29133">
      <w:pPr>
        <w:snapToGrid w:val="0"/>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bCs/>
          <w:sz w:val="21"/>
          <w:szCs w:val="21"/>
        </w:rPr>
        <w:t>3</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暗管坡降应依地形和选定管径等因素确定，宜为0.2%～2%。</w:t>
      </w:r>
    </w:p>
    <w:p w14:paraId="4F819413">
      <w:pPr>
        <w:adjustRightInd w:val="0"/>
        <w:snapToGrid w:val="0"/>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bCs/>
          <w:sz w:val="21"/>
          <w:szCs w:val="21"/>
        </w:rPr>
        <w:t>4</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排水暗管设计流量可按下式计算：</w:t>
      </w:r>
    </w:p>
    <w:p w14:paraId="00052A59">
      <w:pPr>
        <w:wordWrap w:val="0"/>
        <w:snapToGrid w:val="0"/>
        <w:spacing w:line="360" w:lineRule="auto"/>
        <w:ind w:firstLine="411" w:firstLineChars="196"/>
        <w:jc w:val="right"/>
        <w:rPr>
          <w:rFonts w:ascii="Times New Roman" w:hAnsi="Times New Roman" w:cs="Times New Roman"/>
          <w:b/>
          <w:iCs/>
          <w:sz w:val="21"/>
          <w:szCs w:val="21"/>
        </w:rPr>
      </w:pPr>
      <w:r>
        <w:rPr>
          <w:rFonts w:ascii="Times New Roman" w:hAnsi="Times New Roman" w:cs="Times New Roman"/>
          <w:iCs/>
          <w:position w:val="-10"/>
          <w:sz w:val="21"/>
          <w:szCs w:val="21"/>
        </w:rPr>
        <w:object>
          <v:shape id="_x0000_i1067" o:spt="75" type="#_x0000_t75" style="height:16.2pt;width:46.2pt;" o:ole="t" filled="f" o:preferrelative="t" stroked="f" coordsize="21600,21600">
            <v:path/>
            <v:fill on="f" focussize="0,0"/>
            <v:stroke on="f" joinstyle="miter"/>
            <v:imagedata r:id="rId105" o:title=""/>
            <o:lock v:ext="edit" aspectratio="t"/>
            <w10:wrap type="none"/>
            <w10:anchorlock/>
          </v:shape>
          <o:OLEObject Type="Embed" ProgID="Equation.KSEE3" ShapeID="_x0000_i1067" DrawAspect="Content" ObjectID="_1468075763" r:id="rId104">
            <o:LockedField>false</o:LockedField>
          </o:OLEObject>
        </w:object>
      </w:r>
      <w:r>
        <w:rPr>
          <w:rFonts w:ascii="Times New Roman" w:hAnsi="Times New Roman" w:cs="Times New Roman"/>
          <w:b/>
          <w:iCs/>
          <w:sz w:val="21"/>
          <w:szCs w:val="21"/>
        </w:rPr>
        <w:t xml:space="preserve">                        </w:t>
      </w:r>
      <w:r>
        <w:rPr>
          <w:rFonts w:ascii="Times New Roman" w:hAnsi="Times New Roman" w:cs="Times New Roman"/>
          <w:sz w:val="21"/>
          <w:szCs w:val="21"/>
        </w:rPr>
        <w:t xml:space="preserve">  （4.8.36-1）</w:t>
      </w:r>
    </w:p>
    <w:p w14:paraId="59698930">
      <w:pPr>
        <w:wordWrap w:val="0"/>
        <w:snapToGrid w:val="0"/>
        <w:spacing w:line="360" w:lineRule="auto"/>
        <w:ind w:firstLine="411" w:firstLineChars="196"/>
        <w:jc w:val="right"/>
        <w:rPr>
          <w:rFonts w:ascii="Times New Roman" w:hAnsi="Times New Roman" w:cs="Times New Roman"/>
          <w:b/>
          <w:iCs/>
          <w:sz w:val="21"/>
          <w:szCs w:val="21"/>
        </w:rPr>
      </w:pPr>
      <w:r>
        <w:rPr>
          <w:rFonts w:ascii="Times New Roman" w:hAnsi="Times New Roman" w:cs="Times New Roman"/>
          <w:iCs/>
          <w:position w:val="-24"/>
          <w:sz w:val="21"/>
          <w:szCs w:val="21"/>
        </w:rPr>
        <w:object>
          <v:shape id="_x0000_i1068" o:spt="75" type="#_x0000_t75" style="height:31.8pt;width:91.25pt;" o:ole="t" filled="f" o:preferrelative="t" stroked="f" coordsize="21600,21600">
            <v:path/>
            <v:fill on="f" focussize="0,0"/>
            <v:stroke on="f" joinstyle="miter"/>
            <v:imagedata r:id="rId107" o:title=""/>
            <o:lock v:ext="edit" aspectratio="t"/>
            <w10:wrap type="none"/>
            <w10:anchorlock/>
          </v:shape>
          <o:OLEObject Type="Embed" ProgID="Equation.3" ShapeID="_x0000_i1068" DrawAspect="Content" ObjectID="_1468075764" r:id="rId106">
            <o:LockedField>false</o:LockedField>
          </o:OLEObject>
        </w:object>
      </w:r>
      <w:r>
        <w:rPr>
          <w:rFonts w:ascii="Times New Roman" w:hAnsi="Times New Roman" w:cs="Times New Roman"/>
          <w:iCs/>
          <w:sz w:val="21"/>
          <w:szCs w:val="21"/>
        </w:rPr>
        <w:t xml:space="preserve">     </w:t>
      </w:r>
      <w:r>
        <w:rPr>
          <w:rFonts w:ascii="Times New Roman" w:hAnsi="Times New Roman" w:cs="Times New Roman"/>
          <w:b/>
          <w:iCs/>
          <w:sz w:val="21"/>
          <w:szCs w:val="21"/>
        </w:rPr>
        <w:t xml:space="preserve">              </w:t>
      </w:r>
      <w:r>
        <w:rPr>
          <w:rFonts w:ascii="Times New Roman" w:hAnsi="Times New Roman" w:cs="Times New Roman"/>
          <w:sz w:val="21"/>
          <w:szCs w:val="21"/>
        </w:rPr>
        <w:t xml:space="preserve">  （4.8.36-2）</w:t>
      </w:r>
    </w:p>
    <w:p w14:paraId="42B53908">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式中：Q——排水暗管设计流量</w:t>
      </w:r>
      <w:r>
        <w:rPr>
          <w:rFonts w:hint="eastAsia" w:ascii="Times New Roman" w:hAnsi="Times New Roman" w:cs="Times New Roman"/>
          <w:sz w:val="21"/>
          <w:szCs w:val="21"/>
        </w:rPr>
        <w:t>（</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/d</w:t>
      </w:r>
      <w:r>
        <w:rPr>
          <w:rFonts w:hint="eastAsia" w:ascii="Times New Roman" w:hAnsi="Times New Roman" w:cs="Times New Roman"/>
          <w:sz w:val="21"/>
          <w:szCs w:val="21"/>
        </w:rPr>
        <w:t>）</w:t>
      </w:r>
      <w:r>
        <w:rPr>
          <w:rFonts w:ascii="Times New Roman" w:hAnsi="Times New Roman" w:cs="Times New Roman"/>
          <w:sz w:val="21"/>
          <w:szCs w:val="21"/>
        </w:rPr>
        <w:t>；</w:t>
      </w:r>
    </w:p>
    <w:p w14:paraId="10815366">
      <w:pPr>
        <w:snapToGrid w:val="0"/>
        <w:spacing w:line="360" w:lineRule="auto"/>
        <w:ind w:firstLine="657" w:firstLineChars="313"/>
        <w:rPr>
          <w:rFonts w:ascii="Times New Roman" w:hAnsi="Times New Roman" w:cs="Times New Roman"/>
          <w:sz w:val="21"/>
          <w:szCs w:val="21"/>
        </w:rPr>
      </w:pPr>
      <w:r>
        <w:rPr>
          <w:rFonts w:ascii="Times New Roman" w:hAnsi="Times New Roman" w:cs="Times New Roman"/>
          <w:sz w:val="21"/>
          <w:szCs w:val="21"/>
        </w:rPr>
        <w:t>C——排水流量折减系数，可从表4.</w:t>
      </w:r>
      <w:r>
        <w:rPr>
          <w:rFonts w:hint="eastAsia" w:ascii="Times New Roman" w:hAnsi="Times New Roman" w:cs="Times New Roman"/>
          <w:sz w:val="21"/>
          <w:szCs w:val="21"/>
        </w:rPr>
        <w:t>8</w:t>
      </w:r>
      <w:r>
        <w:rPr>
          <w:rFonts w:ascii="Times New Roman" w:hAnsi="Times New Roman" w:cs="Times New Roman"/>
          <w:sz w:val="21"/>
          <w:szCs w:val="21"/>
        </w:rPr>
        <w:t>.36-1查得；</w:t>
      </w:r>
    </w:p>
    <w:p w14:paraId="1754B5C1">
      <w:pPr>
        <w:snapToGrid w:val="0"/>
        <w:spacing w:line="360" w:lineRule="auto"/>
        <w:ind w:firstLine="657" w:firstLineChars="313"/>
        <w:rPr>
          <w:rFonts w:ascii="Times New Roman" w:hAnsi="Times New Roman" w:cs="Times New Roman"/>
          <w:sz w:val="21"/>
          <w:szCs w:val="21"/>
        </w:rPr>
      </w:pPr>
      <w:r>
        <w:rPr>
          <w:rFonts w:ascii="Times New Roman" w:hAnsi="Times New Roman" w:cs="Times New Roman"/>
          <w:sz w:val="21"/>
          <w:szCs w:val="21"/>
        </w:rPr>
        <w:t>q——地下水排水强度</w:t>
      </w:r>
      <w:r>
        <w:rPr>
          <w:rFonts w:hint="eastAsia" w:ascii="Times New Roman" w:hAnsi="Times New Roman" w:cs="Times New Roman"/>
          <w:sz w:val="21"/>
          <w:szCs w:val="21"/>
        </w:rPr>
        <w:t>（</w:t>
      </w:r>
      <w:r>
        <w:rPr>
          <w:rFonts w:ascii="Times New Roman" w:hAnsi="Times New Roman" w:cs="Times New Roman"/>
          <w:sz w:val="21"/>
          <w:szCs w:val="21"/>
        </w:rPr>
        <w:t>m/d</w:t>
      </w:r>
      <w:r>
        <w:rPr>
          <w:rFonts w:hint="eastAsia" w:ascii="Times New Roman" w:hAnsi="Times New Roman" w:cs="Times New Roman"/>
          <w:sz w:val="21"/>
          <w:szCs w:val="21"/>
        </w:rPr>
        <w:t>）</w:t>
      </w:r>
      <w:r>
        <w:rPr>
          <w:rFonts w:ascii="Times New Roman" w:hAnsi="Times New Roman" w:cs="Times New Roman"/>
          <w:sz w:val="21"/>
          <w:szCs w:val="21"/>
        </w:rPr>
        <w:t>；</w:t>
      </w:r>
    </w:p>
    <w:p w14:paraId="3F4CBE29">
      <w:pPr>
        <w:snapToGrid w:val="0"/>
        <w:spacing w:line="360" w:lineRule="auto"/>
        <w:ind w:firstLine="657" w:firstLineChars="313"/>
        <w:rPr>
          <w:rFonts w:ascii="Times New Roman" w:hAnsi="Times New Roman" w:cs="Times New Roman"/>
          <w:sz w:val="21"/>
          <w:szCs w:val="21"/>
        </w:rPr>
      </w:pPr>
      <w:r>
        <w:rPr>
          <w:rFonts w:ascii="Times New Roman" w:hAnsi="Times New Roman" w:cs="Times New Roman"/>
          <w:sz w:val="21"/>
          <w:szCs w:val="21"/>
        </w:rPr>
        <w:t>A——排水管控制面积</w:t>
      </w:r>
      <w:r>
        <w:rPr>
          <w:rFonts w:hint="eastAsia" w:ascii="Times New Roman" w:hAnsi="Times New Roman" w:cs="Times New Roman"/>
          <w:sz w:val="21"/>
          <w:szCs w:val="21"/>
        </w:rPr>
        <w:t>（</w:t>
      </w:r>
      <w:r>
        <w:rPr>
          <w:rFonts w:ascii="Times New Roman" w:hAnsi="Times New Roman" w:cs="Times New Roman"/>
          <w:sz w:val="21"/>
          <w:szCs w:val="21"/>
        </w:rPr>
        <w:t>m</w:t>
      </w:r>
      <w:r>
        <w:rPr>
          <w:rFonts w:ascii="Times New Roman" w:hAnsi="Times New Roman" w:cs="Times New Roman"/>
          <w:sz w:val="21"/>
          <w:szCs w:val="21"/>
          <w:vertAlign w:val="superscript"/>
        </w:rPr>
        <w:t>2</w:t>
      </w:r>
      <w:r>
        <w:rPr>
          <w:rFonts w:hint="eastAsia" w:ascii="Times New Roman" w:hAnsi="Times New Roman" w:cs="Times New Roman"/>
          <w:sz w:val="21"/>
          <w:szCs w:val="21"/>
        </w:rPr>
        <w:t>）</w:t>
      </w:r>
      <w:r>
        <w:rPr>
          <w:rFonts w:ascii="Times New Roman" w:hAnsi="Times New Roman" w:cs="Times New Roman"/>
          <w:sz w:val="21"/>
          <w:szCs w:val="21"/>
        </w:rPr>
        <w:t>；</w:t>
      </w:r>
    </w:p>
    <w:p w14:paraId="6597536D">
      <w:pPr>
        <w:snapToGrid w:val="0"/>
        <w:spacing w:line="360" w:lineRule="auto"/>
        <w:ind w:firstLine="657" w:firstLineChars="313"/>
        <w:rPr>
          <w:rFonts w:ascii="Times New Roman" w:hAnsi="Times New Roman" w:cs="Times New Roman"/>
          <w:sz w:val="21"/>
          <w:szCs w:val="21"/>
        </w:rPr>
      </w:pPr>
      <w:r>
        <w:rPr>
          <w:rFonts w:ascii="Times New Roman" w:hAnsi="Times New Roman" w:cs="Times New Roman"/>
          <w:iCs/>
          <w:sz w:val="21"/>
          <w:szCs w:val="21"/>
          <w:lang w:val="de-DE"/>
        </w:rPr>
        <w:t>µ</w:t>
      </w:r>
      <w:r>
        <w:rPr>
          <w:rFonts w:ascii="Times New Roman" w:hAnsi="Times New Roman" w:cs="Times New Roman"/>
          <w:sz w:val="21"/>
          <w:szCs w:val="21"/>
        </w:rPr>
        <w:t>——地下水面变动范围内的土层平均给水度；</w:t>
      </w:r>
    </w:p>
    <w:p w14:paraId="1791A4E5">
      <w:pPr>
        <w:snapToGrid w:val="0"/>
        <w:spacing w:line="360" w:lineRule="auto"/>
        <w:ind w:firstLine="657" w:firstLineChars="313"/>
        <w:rPr>
          <w:rFonts w:ascii="Times New Roman" w:hAnsi="Times New Roman" w:cs="Times New Roman"/>
          <w:sz w:val="21"/>
          <w:szCs w:val="21"/>
        </w:rPr>
      </w:pPr>
      <w:r>
        <w:rPr>
          <w:rFonts w:ascii="Times New Roman" w:hAnsi="Times New Roman" w:cs="Times New Roman"/>
          <w:iCs/>
          <w:sz w:val="21"/>
          <w:szCs w:val="21"/>
        </w:rPr>
        <w:t>Ω</w:t>
      </w:r>
      <w:r>
        <w:rPr>
          <w:rFonts w:ascii="Times New Roman" w:hAnsi="Times New Roman" w:cs="Times New Roman"/>
          <w:sz w:val="21"/>
          <w:szCs w:val="21"/>
        </w:rPr>
        <w:t>——地下水面形状校正系数，0.7～0.9；</w:t>
      </w:r>
    </w:p>
    <w:p w14:paraId="3158BCC2">
      <w:pPr>
        <w:snapToGrid w:val="0"/>
        <w:spacing w:line="360" w:lineRule="auto"/>
        <w:ind w:firstLine="657" w:firstLineChars="313"/>
        <w:rPr>
          <w:rFonts w:ascii="Times New Roman" w:hAnsi="Times New Roman" w:cs="Times New Roman"/>
          <w:sz w:val="21"/>
          <w:szCs w:val="21"/>
        </w:rPr>
      </w:pPr>
      <w:r>
        <w:rPr>
          <w:rFonts w:ascii="Times New Roman" w:hAnsi="Times New Roman" w:cs="Times New Roman"/>
          <w:iCs/>
          <w:sz w:val="21"/>
          <w:szCs w:val="21"/>
          <w:lang w:val="de-DE"/>
        </w:rPr>
        <w:t>H</w:t>
      </w:r>
      <w:r>
        <w:rPr>
          <w:rFonts w:ascii="Times New Roman" w:hAnsi="Times New Roman" w:cs="Times New Roman"/>
          <w:iCs/>
          <w:sz w:val="21"/>
          <w:szCs w:val="21"/>
          <w:vertAlign w:val="subscript"/>
          <w:lang w:val="de-DE"/>
        </w:rPr>
        <w:t>0</w:t>
      </w:r>
      <w:r>
        <w:rPr>
          <w:rFonts w:ascii="Times New Roman" w:hAnsi="Times New Roman" w:cs="Times New Roman"/>
          <w:sz w:val="21"/>
          <w:szCs w:val="21"/>
        </w:rPr>
        <w:t>——地下水位降落起始时刻，排水地段的作用水头</w:t>
      </w:r>
      <w:r>
        <w:rPr>
          <w:rFonts w:hint="eastAsia" w:ascii="Times New Roman" w:hAnsi="Times New Roman" w:cs="Times New Roman"/>
          <w:sz w:val="21"/>
          <w:szCs w:val="21"/>
        </w:rPr>
        <w:t>（</w:t>
      </w:r>
      <w:r>
        <w:rPr>
          <w:rFonts w:ascii="Times New Roman" w:hAnsi="Times New Roman" w:cs="Times New Roman"/>
          <w:sz w:val="21"/>
          <w:szCs w:val="21"/>
        </w:rPr>
        <w:t>m</w:t>
      </w:r>
      <w:r>
        <w:rPr>
          <w:rFonts w:hint="eastAsia" w:ascii="Times New Roman" w:hAnsi="Times New Roman" w:cs="Times New Roman"/>
          <w:sz w:val="21"/>
          <w:szCs w:val="21"/>
        </w:rPr>
        <w:t>）</w:t>
      </w:r>
      <w:r>
        <w:rPr>
          <w:rFonts w:ascii="Times New Roman" w:hAnsi="Times New Roman" w:cs="Times New Roman"/>
          <w:sz w:val="21"/>
          <w:szCs w:val="21"/>
        </w:rPr>
        <w:t>；</w:t>
      </w:r>
    </w:p>
    <w:p w14:paraId="20529C75">
      <w:pPr>
        <w:snapToGrid w:val="0"/>
        <w:spacing w:line="360" w:lineRule="auto"/>
        <w:ind w:firstLine="657" w:firstLineChars="313"/>
        <w:rPr>
          <w:rFonts w:ascii="Times New Roman" w:hAnsi="Times New Roman" w:cs="Times New Roman"/>
          <w:sz w:val="21"/>
          <w:szCs w:val="21"/>
          <w:vertAlign w:val="superscript"/>
        </w:rPr>
      </w:pPr>
      <w:r>
        <w:rPr>
          <w:rFonts w:ascii="Times New Roman" w:hAnsi="Times New Roman" w:cs="Times New Roman"/>
          <w:iCs/>
          <w:sz w:val="21"/>
          <w:szCs w:val="21"/>
          <w:lang w:val="de-DE"/>
        </w:rPr>
        <w:t>H</w:t>
      </w:r>
      <w:r>
        <w:rPr>
          <w:rFonts w:ascii="Times New Roman" w:hAnsi="Times New Roman" w:cs="Times New Roman"/>
          <w:iCs/>
          <w:sz w:val="21"/>
          <w:szCs w:val="21"/>
          <w:vertAlign w:val="subscript"/>
          <w:lang w:val="de-DE"/>
        </w:rPr>
        <w:t>t</w:t>
      </w:r>
      <w:r>
        <w:rPr>
          <w:rFonts w:ascii="Times New Roman" w:hAnsi="Times New Roman" w:cs="Times New Roman"/>
          <w:sz w:val="21"/>
          <w:szCs w:val="21"/>
        </w:rPr>
        <w:t>——地下水位降落到</w:t>
      </w:r>
      <w:r>
        <w:rPr>
          <w:rFonts w:ascii="Times New Roman" w:hAnsi="Times New Roman" w:cs="Times New Roman"/>
          <w:iCs/>
          <w:sz w:val="21"/>
          <w:szCs w:val="21"/>
          <w:lang w:val="de-DE"/>
        </w:rPr>
        <w:t>t</w:t>
      </w:r>
      <w:r>
        <w:rPr>
          <w:rFonts w:ascii="Times New Roman" w:hAnsi="Times New Roman" w:cs="Times New Roman"/>
          <w:sz w:val="21"/>
          <w:szCs w:val="21"/>
        </w:rPr>
        <w:t>时刻，排水暗管排水地段的作用水头</w:t>
      </w:r>
      <w:r>
        <w:rPr>
          <w:rFonts w:hint="eastAsia" w:ascii="Times New Roman" w:hAnsi="Times New Roman" w:cs="Times New Roman"/>
          <w:sz w:val="21"/>
          <w:szCs w:val="21"/>
        </w:rPr>
        <w:t>（</w:t>
      </w:r>
      <w:r>
        <w:rPr>
          <w:rFonts w:ascii="Times New Roman" w:hAnsi="Times New Roman" w:cs="Times New Roman"/>
          <w:sz w:val="21"/>
          <w:szCs w:val="21"/>
        </w:rPr>
        <w:t>m</w:t>
      </w:r>
      <w:r>
        <w:rPr>
          <w:rFonts w:hint="eastAsia" w:ascii="Times New Roman" w:hAnsi="Times New Roman" w:cs="Times New Roman"/>
          <w:sz w:val="21"/>
          <w:szCs w:val="21"/>
        </w:rPr>
        <w:t>）</w:t>
      </w:r>
      <w:r>
        <w:rPr>
          <w:rFonts w:ascii="Times New Roman" w:hAnsi="Times New Roman" w:cs="Times New Roman"/>
          <w:sz w:val="21"/>
          <w:szCs w:val="21"/>
        </w:rPr>
        <w:t>；</w:t>
      </w:r>
    </w:p>
    <w:p w14:paraId="0867BC8B">
      <w:pPr>
        <w:snapToGrid w:val="0"/>
        <w:spacing w:line="360" w:lineRule="auto"/>
        <w:ind w:firstLine="657" w:firstLineChars="313"/>
        <w:rPr>
          <w:rFonts w:ascii="Times New Roman" w:hAnsi="Times New Roman" w:cs="Times New Roman"/>
          <w:sz w:val="21"/>
          <w:szCs w:val="21"/>
        </w:rPr>
      </w:pPr>
      <w:r>
        <w:rPr>
          <w:rFonts w:ascii="Times New Roman" w:hAnsi="Times New Roman" w:cs="Times New Roman"/>
          <w:iCs/>
          <w:sz w:val="21"/>
          <w:szCs w:val="21"/>
          <w:lang w:val="de-DE"/>
        </w:rPr>
        <w:t>t</w:t>
      </w:r>
      <w:r>
        <w:rPr>
          <w:rFonts w:ascii="Times New Roman" w:hAnsi="Times New Roman" w:cs="Times New Roman"/>
          <w:sz w:val="21"/>
          <w:szCs w:val="21"/>
        </w:rPr>
        <w:t>——设计要求地下水位由</w:t>
      </w:r>
      <w:r>
        <w:rPr>
          <w:rFonts w:ascii="Times New Roman" w:hAnsi="Times New Roman" w:cs="Times New Roman"/>
          <w:iCs/>
          <w:sz w:val="21"/>
          <w:szCs w:val="21"/>
          <w:lang w:val="de-DE"/>
        </w:rPr>
        <w:t>H</w:t>
      </w:r>
      <w:r>
        <w:rPr>
          <w:rFonts w:ascii="Times New Roman" w:hAnsi="Times New Roman" w:cs="Times New Roman"/>
          <w:iCs/>
          <w:sz w:val="21"/>
          <w:szCs w:val="21"/>
          <w:vertAlign w:val="subscript"/>
          <w:lang w:val="de-DE"/>
        </w:rPr>
        <w:t>0</w:t>
      </w:r>
      <w:r>
        <w:rPr>
          <w:rFonts w:ascii="Times New Roman" w:hAnsi="Times New Roman" w:cs="Times New Roman"/>
          <w:sz w:val="21"/>
          <w:szCs w:val="21"/>
        </w:rPr>
        <w:t>到</w:t>
      </w:r>
      <w:r>
        <w:rPr>
          <w:rFonts w:ascii="Times New Roman" w:hAnsi="Times New Roman" w:cs="Times New Roman"/>
          <w:iCs/>
          <w:sz w:val="21"/>
          <w:szCs w:val="21"/>
          <w:lang w:val="de-DE"/>
        </w:rPr>
        <w:t>H</w:t>
      </w:r>
      <w:r>
        <w:rPr>
          <w:rFonts w:ascii="Times New Roman" w:hAnsi="Times New Roman" w:cs="Times New Roman"/>
          <w:iCs/>
          <w:sz w:val="21"/>
          <w:szCs w:val="21"/>
          <w:vertAlign w:val="subscript"/>
          <w:lang w:val="de-DE"/>
        </w:rPr>
        <w:t>t</w:t>
      </w:r>
      <w:r>
        <w:rPr>
          <w:rFonts w:ascii="Times New Roman" w:hAnsi="Times New Roman" w:cs="Times New Roman"/>
          <w:sz w:val="21"/>
          <w:szCs w:val="21"/>
        </w:rPr>
        <w:t>的历时</w:t>
      </w:r>
      <w:r>
        <w:rPr>
          <w:rFonts w:hint="eastAsia" w:ascii="Times New Roman" w:hAnsi="Times New Roman" w:cs="Times New Roman"/>
          <w:sz w:val="21"/>
          <w:szCs w:val="21"/>
        </w:rPr>
        <w:t>，</w:t>
      </w:r>
      <w:r>
        <w:rPr>
          <w:rFonts w:ascii="Times New Roman" w:hAnsi="Times New Roman" w:cs="Times New Roman"/>
          <w:sz w:val="21"/>
          <w:szCs w:val="21"/>
        </w:rPr>
        <w:t>d。</w:t>
      </w:r>
    </w:p>
    <w:p w14:paraId="6E31BD9B">
      <w:pPr>
        <w:jc w:val="center"/>
        <w:rPr>
          <w:rFonts w:ascii="Times New Roman" w:hAnsi="Times New Roman" w:eastAsia="黑体" w:cs="Times New Roman"/>
          <w:sz w:val="18"/>
          <w:szCs w:val="18"/>
        </w:rPr>
      </w:pPr>
      <w:r>
        <w:rPr>
          <w:rFonts w:ascii="Times New Roman" w:hAnsi="Times New Roman" w:eastAsia="黑体" w:cs="Times New Roman"/>
          <w:sz w:val="18"/>
          <w:szCs w:val="18"/>
        </w:rPr>
        <w:t>表4.8.36-1  排水流量折减系数</w:t>
      </w:r>
    </w:p>
    <w:tbl>
      <w:tblPr>
        <w:tblStyle w:val="10"/>
        <w:tblW w:w="491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63"/>
        <w:gridCol w:w="1595"/>
        <w:gridCol w:w="1597"/>
        <w:gridCol w:w="1597"/>
        <w:gridCol w:w="1590"/>
      </w:tblGrid>
      <w:tr w14:paraId="7AF31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03" w:hRule="exact"/>
          <w:jc w:val="center"/>
        </w:trPr>
        <w:tc>
          <w:tcPr>
            <w:tcW w:w="1082" w:type="pct"/>
            <w:vAlign w:val="center"/>
          </w:tcPr>
          <w:p w14:paraId="64656943">
            <w:pPr>
              <w:snapToGrid w:val="0"/>
              <w:jc w:val="center"/>
              <w:rPr>
                <w:rFonts w:ascii="Times New Roman" w:hAnsi="Times New Roman" w:cs="Times New Roman"/>
                <w:sz w:val="15"/>
                <w:szCs w:val="15"/>
              </w:rPr>
            </w:pPr>
            <w:r>
              <w:rPr>
                <w:rFonts w:ascii="Times New Roman" w:hAnsi="Times New Roman" w:cs="Times New Roman"/>
                <w:sz w:val="15"/>
                <w:szCs w:val="15"/>
              </w:rPr>
              <w:t>排水控制面积（hm</w:t>
            </w:r>
            <w:r>
              <w:rPr>
                <w:rFonts w:ascii="Times New Roman" w:hAnsi="Times New Roman" w:cs="Times New Roman"/>
                <w:sz w:val="15"/>
                <w:szCs w:val="15"/>
                <w:vertAlign w:val="superscript"/>
              </w:rPr>
              <w:t>2</w:t>
            </w:r>
            <w:r>
              <w:rPr>
                <w:rFonts w:ascii="Times New Roman" w:hAnsi="Times New Roman" w:cs="Times New Roman"/>
                <w:sz w:val="15"/>
                <w:szCs w:val="15"/>
              </w:rPr>
              <w:t>）</w:t>
            </w:r>
          </w:p>
        </w:tc>
        <w:tc>
          <w:tcPr>
            <w:tcW w:w="979" w:type="pct"/>
            <w:vAlign w:val="center"/>
          </w:tcPr>
          <w:p w14:paraId="723592B7">
            <w:pPr>
              <w:snapToGrid w:val="0"/>
              <w:jc w:val="center"/>
              <w:rPr>
                <w:rFonts w:ascii="Times New Roman" w:hAnsi="Times New Roman" w:cs="Times New Roman"/>
                <w:sz w:val="15"/>
                <w:szCs w:val="15"/>
              </w:rPr>
            </w:pPr>
            <w:r>
              <w:rPr>
                <w:rFonts w:ascii="Times New Roman" w:hAnsi="Times New Roman" w:cs="Times New Roman"/>
                <w:sz w:val="15"/>
                <w:szCs w:val="15"/>
              </w:rPr>
              <w:t>≤16</w:t>
            </w:r>
          </w:p>
        </w:tc>
        <w:tc>
          <w:tcPr>
            <w:tcW w:w="980" w:type="pct"/>
            <w:vAlign w:val="center"/>
          </w:tcPr>
          <w:p w14:paraId="49F71DD1">
            <w:pPr>
              <w:snapToGrid w:val="0"/>
              <w:jc w:val="center"/>
              <w:rPr>
                <w:rFonts w:ascii="Times New Roman" w:hAnsi="Times New Roman" w:cs="Times New Roman"/>
                <w:sz w:val="15"/>
                <w:szCs w:val="15"/>
              </w:rPr>
            </w:pPr>
            <w:r>
              <w:rPr>
                <w:rFonts w:ascii="Times New Roman" w:hAnsi="Times New Roman" w:cs="Times New Roman"/>
                <w:sz w:val="15"/>
                <w:szCs w:val="15"/>
              </w:rPr>
              <w:t>16～50</w:t>
            </w:r>
          </w:p>
        </w:tc>
        <w:tc>
          <w:tcPr>
            <w:tcW w:w="980" w:type="pct"/>
            <w:vAlign w:val="center"/>
          </w:tcPr>
          <w:p w14:paraId="175C7BE6">
            <w:pPr>
              <w:snapToGrid w:val="0"/>
              <w:jc w:val="center"/>
              <w:rPr>
                <w:rFonts w:ascii="Times New Roman" w:hAnsi="Times New Roman" w:cs="Times New Roman"/>
                <w:sz w:val="15"/>
                <w:szCs w:val="15"/>
              </w:rPr>
            </w:pPr>
            <w:r>
              <w:rPr>
                <w:rFonts w:ascii="Times New Roman" w:hAnsi="Times New Roman" w:cs="Times New Roman"/>
                <w:sz w:val="15"/>
                <w:szCs w:val="15"/>
              </w:rPr>
              <w:t>50～100</w:t>
            </w:r>
          </w:p>
        </w:tc>
        <w:tc>
          <w:tcPr>
            <w:tcW w:w="976" w:type="pct"/>
            <w:vAlign w:val="center"/>
          </w:tcPr>
          <w:p w14:paraId="1D2F4391">
            <w:pPr>
              <w:snapToGrid w:val="0"/>
              <w:jc w:val="center"/>
              <w:rPr>
                <w:rFonts w:ascii="Times New Roman" w:hAnsi="Times New Roman" w:cs="Times New Roman"/>
                <w:sz w:val="15"/>
                <w:szCs w:val="15"/>
              </w:rPr>
            </w:pPr>
            <w:r>
              <w:rPr>
                <w:rFonts w:ascii="Times New Roman" w:hAnsi="Times New Roman" w:cs="Times New Roman"/>
                <w:sz w:val="15"/>
                <w:szCs w:val="15"/>
              </w:rPr>
              <w:t>&gt;100～200</w:t>
            </w:r>
          </w:p>
        </w:tc>
      </w:tr>
      <w:tr w14:paraId="7D4071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6" w:hRule="exact"/>
          <w:jc w:val="center"/>
        </w:trPr>
        <w:tc>
          <w:tcPr>
            <w:tcW w:w="1082" w:type="pct"/>
            <w:vAlign w:val="center"/>
          </w:tcPr>
          <w:p w14:paraId="64C3AE69">
            <w:pPr>
              <w:snapToGrid w:val="0"/>
              <w:jc w:val="center"/>
              <w:rPr>
                <w:rFonts w:ascii="Times New Roman" w:hAnsi="Times New Roman" w:cs="Times New Roman"/>
                <w:sz w:val="15"/>
                <w:szCs w:val="15"/>
              </w:rPr>
            </w:pPr>
            <w:r>
              <w:rPr>
                <w:rFonts w:ascii="Times New Roman" w:hAnsi="Times New Roman" w:cs="Times New Roman"/>
                <w:sz w:val="15"/>
                <w:szCs w:val="15"/>
              </w:rPr>
              <w:t>排水流量折减系数</w:t>
            </w:r>
          </w:p>
        </w:tc>
        <w:tc>
          <w:tcPr>
            <w:tcW w:w="979" w:type="pct"/>
            <w:vAlign w:val="center"/>
          </w:tcPr>
          <w:p w14:paraId="34A088B8">
            <w:pPr>
              <w:snapToGrid w:val="0"/>
              <w:jc w:val="center"/>
              <w:rPr>
                <w:rFonts w:ascii="Times New Roman" w:hAnsi="Times New Roman" w:cs="Times New Roman"/>
                <w:sz w:val="15"/>
                <w:szCs w:val="15"/>
              </w:rPr>
            </w:pPr>
            <w:r>
              <w:rPr>
                <w:rFonts w:ascii="Times New Roman" w:hAnsi="Times New Roman" w:cs="Times New Roman"/>
                <w:sz w:val="15"/>
                <w:szCs w:val="15"/>
              </w:rPr>
              <w:t>1.00</w:t>
            </w:r>
          </w:p>
        </w:tc>
        <w:tc>
          <w:tcPr>
            <w:tcW w:w="980" w:type="pct"/>
            <w:vAlign w:val="center"/>
          </w:tcPr>
          <w:p w14:paraId="436E0636">
            <w:pPr>
              <w:snapToGrid w:val="0"/>
              <w:jc w:val="center"/>
              <w:rPr>
                <w:rFonts w:ascii="Times New Roman" w:hAnsi="Times New Roman" w:cs="Times New Roman"/>
                <w:sz w:val="15"/>
                <w:szCs w:val="15"/>
              </w:rPr>
            </w:pPr>
            <w:r>
              <w:rPr>
                <w:rFonts w:ascii="Times New Roman" w:hAnsi="Times New Roman" w:cs="Times New Roman"/>
                <w:sz w:val="15"/>
                <w:szCs w:val="15"/>
              </w:rPr>
              <w:t>1.00～0.85</w:t>
            </w:r>
          </w:p>
        </w:tc>
        <w:tc>
          <w:tcPr>
            <w:tcW w:w="980" w:type="pct"/>
            <w:vAlign w:val="center"/>
          </w:tcPr>
          <w:p w14:paraId="7D463ECC">
            <w:pPr>
              <w:snapToGrid w:val="0"/>
              <w:jc w:val="center"/>
              <w:rPr>
                <w:rFonts w:ascii="Times New Roman" w:hAnsi="Times New Roman" w:cs="Times New Roman"/>
                <w:sz w:val="15"/>
                <w:szCs w:val="15"/>
              </w:rPr>
            </w:pPr>
            <w:r>
              <w:rPr>
                <w:rFonts w:ascii="Times New Roman" w:hAnsi="Times New Roman" w:cs="Times New Roman"/>
                <w:sz w:val="15"/>
                <w:szCs w:val="15"/>
              </w:rPr>
              <w:t>0.85～0.75</w:t>
            </w:r>
          </w:p>
        </w:tc>
        <w:tc>
          <w:tcPr>
            <w:tcW w:w="976" w:type="pct"/>
            <w:vAlign w:val="center"/>
          </w:tcPr>
          <w:p w14:paraId="43C8666B">
            <w:pPr>
              <w:snapToGrid w:val="0"/>
              <w:jc w:val="center"/>
              <w:rPr>
                <w:rFonts w:ascii="Times New Roman" w:hAnsi="Times New Roman" w:cs="Times New Roman"/>
                <w:sz w:val="15"/>
                <w:szCs w:val="15"/>
              </w:rPr>
            </w:pPr>
            <w:r>
              <w:rPr>
                <w:rFonts w:ascii="Times New Roman" w:hAnsi="Times New Roman" w:cs="Times New Roman"/>
                <w:sz w:val="15"/>
                <w:szCs w:val="15"/>
              </w:rPr>
              <w:t>0.75～0.65</w:t>
            </w:r>
          </w:p>
        </w:tc>
      </w:tr>
    </w:tbl>
    <w:p w14:paraId="73D794AF">
      <w:pPr>
        <w:snapToGrid w:val="0"/>
        <w:spacing w:before="156" w:beforeLines="50" w:line="360" w:lineRule="auto"/>
        <w:ind w:firstLine="413" w:firstLineChars="196"/>
        <w:rPr>
          <w:rFonts w:ascii="Times New Roman" w:hAnsi="Times New Roman" w:eastAsia="黑体" w:cs="Times New Roman"/>
          <w:sz w:val="21"/>
          <w:szCs w:val="21"/>
        </w:rPr>
      </w:pPr>
      <w:r>
        <w:rPr>
          <w:rFonts w:ascii="Times New Roman" w:hAnsi="Times New Roman" w:eastAsia="黑体" w:cs="Times New Roman"/>
          <w:b/>
          <w:bCs/>
          <w:sz w:val="21"/>
          <w:szCs w:val="21"/>
        </w:rPr>
        <w:t>5</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排水暗管管径宜取60mm～100mm，应满足设计排渍流量要求，且不应形成满管出流。排水管内径计算按下式计算：</w:t>
      </w:r>
    </w:p>
    <w:p w14:paraId="78FB0221">
      <w:pPr>
        <w:wordWrap w:val="0"/>
        <w:snapToGrid w:val="0"/>
        <w:spacing w:line="360" w:lineRule="auto"/>
        <w:ind w:firstLine="411" w:firstLineChars="196"/>
        <w:jc w:val="right"/>
        <w:rPr>
          <w:rFonts w:ascii="Times New Roman" w:hAnsi="Times New Roman" w:cs="Times New Roman"/>
          <w:b/>
          <w:iCs/>
          <w:sz w:val="21"/>
          <w:szCs w:val="24"/>
          <w:lang w:val="en-GB"/>
        </w:rPr>
      </w:pPr>
      <w:r>
        <w:rPr>
          <w:rFonts w:ascii="Times New Roman" w:hAnsi="Times New Roman" w:cs="Times New Roman"/>
          <w:iCs/>
          <w:position w:val="-10"/>
          <w:sz w:val="21"/>
          <w:szCs w:val="21"/>
          <w:lang w:val="en-GB"/>
        </w:rPr>
        <w:object>
          <v:shape id="_x0000_i1069" o:spt="75" type="#_x0000_t75" style="height:22.2pt;width:88.2pt;" o:ole="t" filled="f" o:preferrelative="t" stroked="f" coordsize="21600,21600">
            <v:path/>
            <v:fill on="f" focussize="0,0"/>
            <v:stroke on="f" joinstyle="miter"/>
            <v:imagedata r:id="rId109" o:title=""/>
            <o:lock v:ext="edit" aspectratio="t"/>
            <w10:wrap type="none"/>
            <w10:anchorlock/>
          </v:shape>
          <o:OLEObject Type="Embed" ProgID="Equation.3" ShapeID="_x0000_i1069" DrawAspect="Content" ObjectID="_1468075765" r:id="rId108">
            <o:LockedField>false</o:LockedField>
          </o:OLEObject>
        </w:object>
      </w:r>
      <w:r>
        <w:rPr>
          <w:rFonts w:ascii="Times New Roman" w:hAnsi="Times New Roman" w:cs="Times New Roman"/>
          <w:iCs/>
          <w:sz w:val="21"/>
          <w:szCs w:val="21"/>
          <w:lang w:val="en-GB"/>
        </w:rPr>
        <w:t xml:space="preserve">          </w:t>
      </w:r>
      <w:r>
        <w:rPr>
          <w:rFonts w:ascii="Times New Roman" w:hAnsi="Times New Roman" w:cs="Times New Roman"/>
          <w:b/>
          <w:iCs/>
          <w:sz w:val="21"/>
          <w:szCs w:val="21"/>
          <w:lang w:val="en-GB"/>
        </w:rPr>
        <w:t xml:space="preserve">              </w:t>
      </w:r>
      <w:r>
        <w:rPr>
          <w:rFonts w:ascii="Times New Roman" w:hAnsi="Times New Roman" w:cs="Times New Roman"/>
          <w:sz w:val="21"/>
          <w:szCs w:val="21"/>
          <w:lang w:val="en-GB"/>
        </w:rPr>
        <w:t xml:space="preserve">  （</w:t>
      </w:r>
      <w:r>
        <w:rPr>
          <w:rFonts w:ascii="Times New Roman" w:hAnsi="Times New Roman" w:cs="Times New Roman"/>
          <w:sz w:val="21"/>
          <w:szCs w:val="21"/>
        </w:rPr>
        <w:t>4</w:t>
      </w:r>
      <w:r>
        <w:rPr>
          <w:rFonts w:ascii="Times New Roman" w:hAnsi="Times New Roman" w:cs="Times New Roman"/>
          <w:sz w:val="21"/>
          <w:szCs w:val="21"/>
          <w:lang w:val="en-GB"/>
        </w:rPr>
        <w:t>.</w:t>
      </w:r>
      <w:r>
        <w:rPr>
          <w:rFonts w:ascii="Times New Roman" w:hAnsi="Times New Roman" w:cs="Times New Roman"/>
          <w:sz w:val="21"/>
          <w:szCs w:val="21"/>
        </w:rPr>
        <w:t>8</w:t>
      </w:r>
      <w:r>
        <w:rPr>
          <w:rFonts w:ascii="Times New Roman" w:hAnsi="Times New Roman" w:cs="Times New Roman"/>
          <w:sz w:val="21"/>
          <w:szCs w:val="21"/>
          <w:lang w:val="en-GB"/>
        </w:rPr>
        <w:t>.</w:t>
      </w:r>
      <w:r>
        <w:rPr>
          <w:rFonts w:ascii="Times New Roman" w:hAnsi="Times New Roman" w:cs="Times New Roman"/>
          <w:sz w:val="21"/>
          <w:szCs w:val="21"/>
        </w:rPr>
        <w:t>36-3</w:t>
      </w:r>
      <w:r>
        <w:rPr>
          <w:rFonts w:ascii="Times New Roman" w:hAnsi="Times New Roman" w:cs="Times New Roman"/>
          <w:sz w:val="21"/>
          <w:szCs w:val="21"/>
          <w:lang w:val="en-GB"/>
        </w:rPr>
        <w:t>）</w:t>
      </w:r>
    </w:p>
    <w:p w14:paraId="158EE106">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d</w:t>
      </w:r>
      <w:r>
        <w:rPr>
          <w:rFonts w:ascii="Times New Roman" w:hAnsi="Times New Roman" w:cs="Times New Roman"/>
          <w:sz w:val="21"/>
          <w:szCs w:val="21"/>
        </w:rPr>
        <w:t>——排水管内径</w:t>
      </w:r>
      <w:r>
        <w:rPr>
          <w:rFonts w:hint="eastAsia" w:ascii="Times New Roman" w:hAnsi="Times New Roman" w:cs="Times New Roman"/>
          <w:sz w:val="21"/>
          <w:szCs w:val="21"/>
        </w:rPr>
        <w:t>（</w:t>
      </w:r>
      <w:r>
        <w:rPr>
          <w:rFonts w:ascii="Times New Roman" w:hAnsi="Times New Roman" w:cs="Times New Roman"/>
          <w:sz w:val="21"/>
          <w:szCs w:val="21"/>
        </w:rPr>
        <w:t>m</w:t>
      </w:r>
      <w:r>
        <w:rPr>
          <w:rFonts w:hint="eastAsia" w:ascii="Times New Roman" w:hAnsi="Times New Roman" w:cs="Times New Roman"/>
          <w:sz w:val="21"/>
          <w:szCs w:val="21"/>
        </w:rPr>
        <w:t>）</w:t>
      </w:r>
      <w:r>
        <w:rPr>
          <w:rFonts w:ascii="Times New Roman" w:hAnsi="Times New Roman" w:cs="Times New Roman"/>
          <w:sz w:val="21"/>
          <w:szCs w:val="21"/>
        </w:rPr>
        <w:t>；</w:t>
      </w:r>
    </w:p>
    <w:p w14:paraId="605EEB6F">
      <w:pPr>
        <w:snapToGrid w:val="0"/>
        <w:spacing w:line="360" w:lineRule="auto"/>
        <w:ind w:firstLine="657" w:firstLineChars="313"/>
        <w:rPr>
          <w:rFonts w:ascii="Times New Roman" w:hAnsi="Times New Roman" w:cs="Times New Roman"/>
          <w:sz w:val="21"/>
          <w:szCs w:val="21"/>
        </w:rPr>
      </w:pPr>
      <w:r>
        <w:rPr>
          <w:rFonts w:ascii="Times New Roman" w:hAnsi="Times New Roman" w:cs="Times New Roman"/>
          <w:i/>
          <w:iCs/>
          <w:sz w:val="21"/>
          <w:szCs w:val="21"/>
          <w:lang w:val="en-GB"/>
        </w:rPr>
        <w:t>n</w:t>
      </w:r>
      <w:r>
        <w:rPr>
          <w:rFonts w:ascii="Times New Roman" w:hAnsi="Times New Roman" w:cs="Times New Roman"/>
          <w:sz w:val="21"/>
          <w:szCs w:val="21"/>
        </w:rPr>
        <w:t>——管内壁糙率，可从表4.</w:t>
      </w:r>
      <w:r>
        <w:rPr>
          <w:rFonts w:hint="eastAsia" w:ascii="Times New Roman" w:hAnsi="Times New Roman" w:cs="Times New Roman"/>
          <w:sz w:val="21"/>
          <w:szCs w:val="21"/>
        </w:rPr>
        <w:t>8</w:t>
      </w:r>
      <w:r>
        <w:rPr>
          <w:rFonts w:ascii="Times New Roman" w:hAnsi="Times New Roman" w:cs="Times New Roman"/>
          <w:sz w:val="21"/>
          <w:szCs w:val="21"/>
        </w:rPr>
        <w:t>.36-2查得；</w:t>
      </w:r>
    </w:p>
    <w:p w14:paraId="0D7FB373">
      <w:pPr>
        <w:snapToGrid w:val="0"/>
        <w:spacing w:line="360" w:lineRule="auto"/>
        <w:ind w:firstLine="657" w:firstLineChars="313"/>
        <w:rPr>
          <w:rFonts w:ascii="Times New Roman" w:hAnsi="Times New Roman" w:cs="Times New Roman"/>
          <w:sz w:val="21"/>
          <w:szCs w:val="21"/>
        </w:rPr>
      </w:pPr>
      <w:r>
        <w:rPr>
          <w:rFonts w:ascii="Times New Roman" w:hAnsi="Times New Roman" w:cs="Times New Roman"/>
          <w:i/>
          <w:sz w:val="21"/>
          <w:szCs w:val="21"/>
        </w:rPr>
        <w:t>α</w:t>
      </w:r>
      <w:r>
        <w:rPr>
          <w:rFonts w:ascii="Times New Roman" w:hAnsi="Times New Roman" w:cs="Times New Roman"/>
          <w:sz w:val="21"/>
          <w:szCs w:val="21"/>
        </w:rPr>
        <w:t>——与管内水的充盈度a有关的系数，可从表4.</w:t>
      </w:r>
      <w:r>
        <w:rPr>
          <w:rFonts w:hint="eastAsia" w:ascii="Times New Roman" w:hAnsi="Times New Roman" w:cs="Times New Roman"/>
          <w:sz w:val="21"/>
          <w:szCs w:val="21"/>
        </w:rPr>
        <w:t>8</w:t>
      </w:r>
      <w:r>
        <w:rPr>
          <w:rFonts w:ascii="Times New Roman" w:hAnsi="Times New Roman" w:cs="Times New Roman"/>
          <w:sz w:val="21"/>
          <w:szCs w:val="21"/>
        </w:rPr>
        <w:t>.36-3查得；</w:t>
      </w:r>
    </w:p>
    <w:p w14:paraId="2E33BE93">
      <w:pPr>
        <w:snapToGrid w:val="0"/>
        <w:spacing w:line="360" w:lineRule="auto"/>
        <w:ind w:firstLine="657" w:firstLineChars="313"/>
        <w:rPr>
          <w:rFonts w:ascii="Times New Roman" w:hAnsi="Times New Roman" w:cs="Times New Roman"/>
          <w:sz w:val="21"/>
          <w:szCs w:val="21"/>
        </w:rPr>
      </w:pPr>
      <w:r>
        <w:rPr>
          <w:rFonts w:ascii="Times New Roman" w:hAnsi="Times New Roman" w:cs="Times New Roman"/>
          <w:i/>
          <w:sz w:val="21"/>
          <w:szCs w:val="21"/>
        </w:rPr>
        <w:t>i</w:t>
      </w:r>
      <w:r>
        <w:rPr>
          <w:rFonts w:ascii="Times New Roman" w:hAnsi="Times New Roman" w:cs="Times New Roman"/>
          <w:sz w:val="21"/>
          <w:szCs w:val="21"/>
        </w:rPr>
        <w:t>——管道水力比降，可采用管线的比降。</w:t>
      </w:r>
    </w:p>
    <w:p w14:paraId="06F00F77">
      <w:pPr>
        <w:topLinePunct/>
        <w:autoSpaceDE w:val="0"/>
        <w:autoSpaceDN w:val="0"/>
        <w:adjustRightInd w:val="0"/>
        <w:snapToGrid w:val="0"/>
        <w:spacing w:after="100" w:line="400" w:lineRule="exact"/>
        <w:ind w:left="39" w:leftChars="14" w:right="-115" w:rightChars="-41" w:firstLine="420" w:firstLineChars="200"/>
        <w:rPr>
          <w:rFonts w:ascii="Times New Roman" w:hAnsi="Times New Roman" w:cs="Times New Roman"/>
          <w:snapToGrid w:val="0"/>
          <w:kern w:val="24"/>
          <w:sz w:val="21"/>
          <w:szCs w:val="21"/>
        </w:rPr>
      </w:pPr>
      <w:r>
        <w:rPr>
          <w:rFonts w:ascii="Times New Roman" w:hAnsi="Times New Roman" w:cs="Times New Roman"/>
          <w:snapToGrid w:val="0"/>
          <w:kern w:val="24"/>
          <w:sz w:val="21"/>
          <w:szCs w:val="21"/>
        </w:rPr>
        <w:t>排水管道比降应满足管内最小流速不低于0.3m/s。管内径</w:t>
      </w:r>
      <w:r>
        <w:rPr>
          <w:rFonts w:ascii="Times New Roman" w:hAnsi="Times New Roman" w:cs="Times New Roman"/>
          <w:i/>
          <w:snapToGrid w:val="0"/>
          <w:kern w:val="24"/>
          <w:sz w:val="21"/>
          <w:szCs w:val="21"/>
        </w:rPr>
        <w:t>d</w:t>
      </w:r>
      <w:r>
        <w:rPr>
          <w:rFonts w:ascii="Times New Roman" w:hAnsi="Times New Roman" w:cs="Times New Roman"/>
          <w:snapToGrid w:val="0"/>
          <w:kern w:val="24"/>
          <w:sz w:val="21"/>
          <w:szCs w:val="21"/>
        </w:rPr>
        <w:t>≤100mm时，</w:t>
      </w:r>
      <w:r>
        <w:rPr>
          <w:rFonts w:ascii="Times New Roman" w:hAnsi="Times New Roman" w:cs="Times New Roman"/>
          <w:i/>
          <w:snapToGrid w:val="0"/>
          <w:kern w:val="24"/>
          <w:sz w:val="21"/>
          <w:szCs w:val="21"/>
        </w:rPr>
        <w:t>i</w:t>
      </w:r>
      <w:r>
        <w:rPr>
          <w:rFonts w:ascii="Times New Roman" w:hAnsi="Times New Roman" w:cs="Times New Roman"/>
          <w:snapToGrid w:val="0"/>
          <w:kern w:val="24"/>
          <w:sz w:val="21"/>
          <w:szCs w:val="21"/>
        </w:rPr>
        <w:t>可取1/300~1/600；</w:t>
      </w:r>
      <w:r>
        <w:rPr>
          <w:rFonts w:ascii="Times New Roman" w:hAnsi="Times New Roman" w:cs="Times New Roman"/>
          <w:i/>
          <w:snapToGrid w:val="0"/>
          <w:kern w:val="24"/>
          <w:sz w:val="21"/>
          <w:szCs w:val="21"/>
        </w:rPr>
        <w:t>d</w:t>
      </w:r>
      <w:r>
        <w:rPr>
          <w:rFonts w:ascii="Times New Roman" w:hAnsi="Times New Roman" w:cs="Times New Roman"/>
          <w:snapToGrid w:val="0"/>
          <w:kern w:val="24"/>
          <w:sz w:val="21"/>
          <w:szCs w:val="21"/>
        </w:rPr>
        <w:t>&gt;100mm时，</w:t>
      </w:r>
      <w:r>
        <w:rPr>
          <w:rFonts w:ascii="Times New Roman" w:hAnsi="Times New Roman" w:cs="Times New Roman"/>
          <w:i/>
          <w:snapToGrid w:val="0"/>
          <w:kern w:val="24"/>
          <w:sz w:val="21"/>
          <w:szCs w:val="21"/>
        </w:rPr>
        <w:t>i</w:t>
      </w:r>
      <w:r>
        <w:rPr>
          <w:rFonts w:ascii="Times New Roman" w:hAnsi="Times New Roman" w:cs="Times New Roman"/>
          <w:snapToGrid w:val="0"/>
          <w:kern w:val="24"/>
          <w:sz w:val="21"/>
          <w:szCs w:val="21"/>
        </w:rPr>
        <w:t>可取1/1000~1/1500。</w:t>
      </w:r>
    </w:p>
    <w:p w14:paraId="36DC8F93">
      <w:pPr>
        <w:jc w:val="center"/>
        <w:rPr>
          <w:rFonts w:ascii="Times New Roman" w:hAnsi="Times New Roman" w:eastAsia="黑体" w:cs="Times New Roman"/>
          <w:sz w:val="18"/>
          <w:szCs w:val="18"/>
        </w:rPr>
      </w:pPr>
      <w:r>
        <w:rPr>
          <w:rFonts w:ascii="Times New Roman" w:hAnsi="Times New Roman" w:eastAsia="黑体" w:cs="Times New Roman"/>
          <w:sz w:val="18"/>
          <w:szCs w:val="18"/>
        </w:rPr>
        <w:t>表4.8.36-2  排水管内壁糙率</w:t>
      </w:r>
    </w:p>
    <w:tbl>
      <w:tblPr>
        <w:tblStyle w:val="10"/>
        <w:tblW w:w="4998" w:type="pct"/>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autofit"/>
        <w:tblCellMar>
          <w:top w:w="0" w:type="dxa"/>
          <w:left w:w="108" w:type="dxa"/>
          <w:bottom w:w="0" w:type="dxa"/>
          <w:right w:w="108" w:type="dxa"/>
        </w:tblCellMar>
      </w:tblPr>
      <w:tblGrid>
        <w:gridCol w:w="1806"/>
        <w:gridCol w:w="1617"/>
        <w:gridCol w:w="1619"/>
        <w:gridCol w:w="1619"/>
        <w:gridCol w:w="1612"/>
      </w:tblGrid>
      <w:tr w14:paraId="27151AF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71" w:hRule="exact"/>
          <w:jc w:val="center"/>
        </w:trPr>
        <w:tc>
          <w:tcPr>
            <w:tcW w:w="1091" w:type="pct"/>
            <w:vAlign w:val="center"/>
          </w:tcPr>
          <w:p w14:paraId="155314A7">
            <w:pPr>
              <w:snapToGrid w:val="0"/>
              <w:jc w:val="center"/>
              <w:rPr>
                <w:rFonts w:ascii="Times New Roman" w:hAnsi="Times New Roman" w:cs="Times New Roman"/>
                <w:sz w:val="15"/>
                <w:szCs w:val="15"/>
              </w:rPr>
            </w:pPr>
            <w:r>
              <w:rPr>
                <w:rFonts w:ascii="Times New Roman" w:hAnsi="Times New Roman" w:cs="Times New Roman"/>
                <w:sz w:val="15"/>
                <w:szCs w:val="15"/>
              </w:rPr>
              <w:t>排水管类别</w:t>
            </w:r>
          </w:p>
        </w:tc>
        <w:tc>
          <w:tcPr>
            <w:tcW w:w="977" w:type="pct"/>
            <w:vAlign w:val="center"/>
          </w:tcPr>
          <w:p w14:paraId="4FFE99EA">
            <w:pPr>
              <w:snapToGrid w:val="0"/>
              <w:jc w:val="center"/>
              <w:rPr>
                <w:rFonts w:ascii="Times New Roman" w:hAnsi="Times New Roman" w:cs="Times New Roman"/>
                <w:sz w:val="15"/>
                <w:szCs w:val="15"/>
              </w:rPr>
            </w:pPr>
            <w:r>
              <w:rPr>
                <w:rFonts w:ascii="Times New Roman" w:hAnsi="Times New Roman" w:cs="Times New Roman"/>
                <w:sz w:val="15"/>
                <w:szCs w:val="15"/>
              </w:rPr>
              <w:t>陶土管</w:t>
            </w:r>
          </w:p>
        </w:tc>
        <w:tc>
          <w:tcPr>
            <w:tcW w:w="978" w:type="pct"/>
            <w:vAlign w:val="center"/>
          </w:tcPr>
          <w:p w14:paraId="6C84A186">
            <w:pPr>
              <w:snapToGrid w:val="0"/>
              <w:jc w:val="center"/>
              <w:rPr>
                <w:rFonts w:ascii="Times New Roman" w:hAnsi="Times New Roman" w:cs="Times New Roman"/>
                <w:sz w:val="15"/>
                <w:szCs w:val="15"/>
              </w:rPr>
            </w:pPr>
            <w:r>
              <w:rPr>
                <w:rFonts w:ascii="Times New Roman" w:hAnsi="Times New Roman" w:cs="Times New Roman"/>
                <w:sz w:val="15"/>
                <w:szCs w:val="15"/>
              </w:rPr>
              <w:t>混凝土管</w:t>
            </w:r>
          </w:p>
        </w:tc>
        <w:tc>
          <w:tcPr>
            <w:tcW w:w="978" w:type="pct"/>
            <w:vAlign w:val="center"/>
          </w:tcPr>
          <w:p w14:paraId="34BB74B0">
            <w:pPr>
              <w:snapToGrid w:val="0"/>
              <w:jc w:val="center"/>
              <w:rPr>
                <w:rFonts w:ascii="Times New Roman" w:hAnsi="Times New Roman" w:cs="Times New Roman"/>
                <w:sz w:val="15"/>
                <w:szCs w:val="15"/>
              </w:rPr>
            </w:pPr>
            <w:r>
              <w:rPr>
                <w:rFonts w:ascii="Times New Roman" w:hAnsi="Times New Roman" w:cs="Times New Roman"/>
                <w:sz w:val="15"/>
                <w:szCs w:val="15"/>
              </w:rPr>
              <w:t>光壁塑料管</w:t>
            </w:r>
          </w:p>
        </w:tc>
        <w:tc>
          <w:tcPr>
            <w:tcW w:w="974" w:type="pct"/>
            <w:vAlign w:val="center"/>
          </w:tcPr>
          <w:p w14:paraId="4662BA47">
            <w:pPr>
              <w:snapToGrid w:val="0"/>
              <w:jc w:val="center"/>
              <w:rPr>
                <w:rFonts w:ascii="Times New Roman" w:hAnsi="Times New Roman" w:cs="Times New Roman"/>
                <w:sz w:val="15"/>
                <w:szCs w:val="15"/>
              </w:rPr>
            </w:pPr>
            <w:r>
              <w:rPr>
                <w:rFonts w:ascii="Times New Roman" w:hAnsi="Times New Roman" w:cs="Times New Roman"/>
                <w:sz w:val="15"/>
                <w:szCs w:val="15"/>
              </w:rPr>
              <w:t>波纹塑料管</w:t>
            </w:r>
          </w:p>
        </w:tc>
      </w:tr>
      <w:tr w14:paraId="61BA6FE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55" w:hRule="exact"/>
          <w:jc w:val="center"/>
        </w:trPr>
        <w:tc>
          <w:tcPr>
            <w:tcW w:w="1091" w:type="pct"/>
            <w:vAlign w:val="center"/>
          </w:tcPr>
          <w:p w14:paraId="485E7BA7">
            <w:pPr>
              <w:snapToGrid w:val="0"/>
              <w:jc w:val="center"/>
              <w:rPr>
                <w:rFonts w:ascii="Times New Roman" w:hAnsi="Times New Roman" w:cs="Times New Roman"/>
                <w:sz w:val="15"/>
                <w:szCs w:val="15"/>
              </w:rPr>
            </w:pPr>
            <w:r>
              <w:rPr>
                <w:rFonts w:ascii="Times New Roman" w:hAnsi="Times New Roman" w:cs="Times New Roman"/>
                <w:sz w:val="15"/>
                <w:szCs w:val="15"/>
              </w:rPr>
              <w:t>内壁糙率</w:t>
            </w:r>
          </w:p>
        </w:tc>
        <w:tc>
          <w:tcPr>
            <w:tcW w:w="977" w:type="pct"/>
            <w:vAlign w:val="center"/>
          </w:tcPr>
          <w:p w14:paraId="55DDE513">
            <w:pPr>
              <w:topLinePunct/>
              <w:autoSpaceDE w:val="0"/>
              <w:autoSpaceDN w:val="0"/>
              <w:adjustRightInd w:val="0"/>
              <w:snapToGrid w:val="0"/>
              <w:ind w:left="39" w:leftChars="14" w:right="-115" w:rightChars="-41" w:firstLine="28" w:firstLineChars="19"/>
              <w:jc w:val="center"/>
              <w:rPr>
                <w:rFonts w:ascii="Times New Roman" w:hAnsi="Times New Roman" w:cs="Times New Roman"/>
                <w:snapToGrid w:val="0"/>
                <w:kern w:val="24"/>
                <w:sz w:val="15"/>
                <w:szCs w:val="15"/>
              </w:rPr>
            </w:pPr>
            <w:r>
              <w:rPr>
                <w:rFonts w:ascii="Times New Roman" w:hAnsi="Times New Roman" w:cs="Times New Roman"/>
                <w:snapToGrid w:val="0"/>
                <w:kern w:val="24"/>
                <w:sz w:val="15"/>
                <w:szCs w:val="15"/>
              </w:rPr>
              <w:t>0.014</w:t>
            </w:r>
          </w:p>
        </w:tc>
        <w:tc>
          <w:tcPr>
            <w:tcW w:w="978" w:type="pct"/>
            <w:vAlign w:val="center"/>
          </w:tcPr>
          <w:p w14:paraId="2BF89286">
            <w:pPr>
              <w:snapToGrid w:val="0"/>
              <w:jc w:val="center"/>
              <w:rPr>
                <w:rFonts w:ascii="Times New Roman" w:hAnsi="Times New Roman" w:cs="Times New Roman"/>
                <w:sz w:val="15"/>
                <w:szCs w:val="15"/>
              </w:rPr>
            </w:pPr>
            <w:r>
              <w:rPr>
                <w:rFonts w:ascii="Times New Roman" w:hAnsi="Times New Roman" w:cs="Times New Roman"/>
                <w:sz w:val="15"/>
                <w:szCs w:val="15"/>
              </w:rPr>
              <w:t>0.013</w:t>
            </w:r>
          </w:p>
        </w:tc>
        <w:tc>
          <w:tcPr>
            <w:tcW w:w="978" w:type="pct"/>
            <w:vAlign w:val="center"/>
          </w:tcPr>
          <w:p w14:paraId="0F3C953B">
            <w:pPr>
              <w:snapToGrid w:val="0"/>
              <w:jc w:val="center"/>
              <w:rPr>
                <w:rFonts w:ascii="Times New Roman" w:hAnsi="Times New Roman" w:cs="Times New Roman"/>
                <w:sz w:val="15"/>
                <w:szCs w:val="15"/>
              </w:rPr>
            </w:pPr>
            <w:r>
              <w:rPr>
                <w:rFonts w:ascii="Times New Roman" w:hAnsi="Times New Roman" w:cs="Times New Roman"/>
                <w:sz w:val="15"/>
                <w:szCs w:val="15"/>
              </w:rPr>
              <w:t>0.011</w:t>
            </w:r>
          </w:p>
        </w:tc>
        <w:tc>
          <w:tcPr>
            <w:tcW w:w="974" w:type="pct"/>
            <w:vAlign w:val="center"/>
          </w:tcPr>
          <w:p w14:paraId="56C25691">
            <w:pPr>
              <w:snapToGrid w:val="0"/>
              <w:jc w:val="center"/>
              <w:rPr>
                <w:rFonts w:ascii="Times New Roman" w:hAnsi="Times New Roman" w:cs="Times New Roman"/>
                <w:sz w:val="15"/>
                <w:szCs w:val="15"/>
              </w:rPr>
            </w:pPr>
            <w:r>
              <w:rPr>
                <w:rFonts w:ascii="Times New Roman" w:hAnsi="Times New Roman" w:cs="Times New Roman"/>
                <w:sz w:val="15"/>
                <w:szCs w:val="15"/>
              </w:rPr>
              <w:t>0.016</w:t>
            </w:r>
          </w:p>
        </w:tc>
      </w:tr>
    </w:tbl>
    <w:p w14:paraId="6E572CBE">
      <w:pPr>
        <w:jc w:val="center"/>
        <w:rPr>
          <w:rFonts w:ascii="Times New Roman" w:hAnsi="Times New Roman" w:eastAsia="黑体" w:cs="Times New Roman"/>
          <w:sz w:val="18"/>
          <w:szCs w:val="18"/>
        </w:rPr>
      </w:pPr>
      <w:r>
        <w:rPr>
          <w:rFonts w:ascii="Times New Roman" w:hAnsi="Times New Roman" w:eastAsia="黑体" w:cs="Times New Roman"/>
          <w:sz w:val="18"/>
          <w:szCs w:val="18"/>
        </w:rPr>
        <w:t>表4.8.36-3  系数α和β取值</w:t>
      </w:r>
    </w:p>
    <w:tbl>
      <w:tblPr>
        <w:tblStyle w:val="10"/>
        <w:tblW w:w="4949" w:type="pct"/>
        <w:tblInd w:w="8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97"/>
        <w:gridCol w:w="1379"/>
        <w:gridCol w:w="1379"/>
        <w:gridCol w:w="1379"/>
        <w:gridCol w:w="1379"/>
        <w:gridCol w:w="1379"/>
      </w:tblGrid>
      <w:tr w14:paraId="008A6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791" w:type="pct"/>
            <w:vAlign w:val="center"/>
          </w:tcPr>
          <w:p w14:paraId="38AF42D2">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a</w:t>
            </w:r>
          </w:p>
        </w:tc>
        <w:tc>
          <w:tcPr>
            <w:tcW w:w="841" w:type="pct"/>
            <w:vAlign w:val="center"/>
          </w:tcPr>
          <w:p w14:paraId="645517FD">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0.60</w:t>
            </w:r>
          </w:p>
        </w:tc>
        <w:tc>
          <w:tcPr>
            <w:tcW w:w="841" w:type="pct"/>
            <w:vAlign w:val="center"/>
          </w:tcPr>
          <w:p w14:paraId="586E5B56">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0.65</w:t>
            </w:r>
          </w:p>
        </w:tc>
        <w:tc>
          <w:tcPr>
            <w:tcW w:w="841" w:type="pct"/>
            <w:vAlign w:val="center"/>
          </w:tcPr>
          <w:p w14:paraId="7330F1FD">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0.70</w:t>
            </w:r>
          </w:p>
        </w:tc>
        <w:tc>
          <w:tcPr>
            <w:tcW w:w="841" w:type="pct"/>
            <w:vAlign w:val="center"/>
          </w:tcPr>
          <w:p w14:paraId="66ADB35B">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0.75</w:t>
            </w:r>
          </w:p>
        </w:tc>
        <w:tc>
          <w:tcPr>
            <w:tcW w:w="841" w:type="pct"/>
            <w:vAlign w:val="center"/>
          </w:tcPr>
          <w:p w14:paraId="4B8A60C8">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0.80</w:t>
            </w:r>
          </w:p>
        </w:tc>
      </w:tr>
      <w:tr w14:paraId="368F9B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791" w:type="pct"/>
            <w:vAlign w:val="center"/>
          </w:tcPr>
          <w:p w14:paraId="753EA83E">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α</w:t>
            </w:r>
          </w:p>
        </w:tc>
        <w:tc>
          <w:tcPr>
            <w:tcW w:w="841" w:type="pct"/>
            <w:vAlign w:val="center"/>
          </w:tcPr>
          <w:p w14:paraId="3F3D02C9">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1.330</w:t>
            </w:r>
          </w:p>
        </w:tc>
        <w:tc>
          <w:tcPr>
            <w:tcW w:w="841" w:type="pct"/>
            <w:vAlign w:val="center"/>
          </w:tcPr>
          <w:p w14:paraId="4107EC65">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1.497</w:t>
            </w:r>
          </w:p>
        </w:tc>
        <w:tc>
          <w:tcPr>
            <w:tcW w:w="841" w:type="pct"/>
            <w:vAlign w:val="center"/>
          </w:tcPr>
          <w:p w14:paraId="63CFDA6C">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1.657</w:t>
            </w:r>
          </w:p>
        </w:tc>
        <w:tc>
          <w:tcPr>
            <w:tcW w:w="841" w:type="pct"/>
            <w:vAlign w:val="center"/>
          </w:tcPr>
          <w:p w14:paraId="7CB78942">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1.806</w:t>
            </w:r>
          </w:p>
        </w:tc>
        <w:tc>
          <w:tcPr>
            <w:tcW w:w="841" w:type="pct"/>
            <w:vAlign w:val="center"/>
          </w:tcPr>
          <w:p w14:paraId="6E8F9B79">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1.934</w:t>
            </w:r>
          </w:p>
        </w:tc>
      </w:tr>
      <w:tr w14:paraId="090189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791" w:type="pct"/>
            <w:vAlign w:val="center"/>
          </w:tcPr>
          <w:p w14:paraId="27AD4224">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β</w:t>
            </w:r>
          </w:p>
        </w:tc>
        <w:tc>
          <w:tcPr>
            <w:tcW w:w="841" w:type="pct"/>
            <w:vAlign w:val="center"/>
          </w:tcPr>
          <w:p w14:paraId="32C82828">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0.425</w:t>
            </w:r>
          </w:p>
        </w:tc>
        <w:tc>
          <w:tcPr>
            <w:tcW w:w="841" w:type="pct"/>
            <w:vAlign w:val="center"/>
          </w:tcPr>
          <w:p w14:paraId="60A8C987">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0.436</w:t>
            </w:r>
          </w:p>
        </w:tc>
        <w:tc>
          <w:tcPr>
            <w:tcW w:w="841" w:type="pct"/>
            <w:vAlign w:val="center"/>
          </w:tcPr>
          <w:p w14:paraId="450B7429">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0.444</w:t>
            </w:r>
          </w:p>
        </w:tc>
        <w:tc>
          <w:tcPr>
            <w:tcW w:w="841" w:type="pct"/>
            <w:vAlign w:val="center"/>
          </w:tcPr>
          <w:p w14:paraId="34414271">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0.450</w:t>
            </w:r>
          </w:p>
        </w:tc>
        <w:tc>
          <w:tcPr>
            <w:tcW w:w="841" w:type="pct"/>
            <w:vAlign w:val="center"/>
          </w:tcPr>
          <w:p w14:paraId="70B7E8C6">
            <w:pPr>
              <w:widowControl/>
              <w:snapToGrid w:val="0"/>
              <w:jc w:val="center"/>
              <w:rPr>
                <w:rFonts w:ascii="Times New Roman" w:hAnsi="Times New Roman" w:cs="Times New Roman"/>
                <w:kern w:val="0"/>
                <w:sz w:val="15"/>
                <w:szCs w:val="15"/>
              </w:rPr>
            </w:pPr>
            <w:r>
              <w:rPr>
                <w:rFonts w:ascii="Times New Roman" w:hAnsi="Times New Roman" w:cs="Times New Roman"/>
                <w:kern w:val="0"/>
                <w:sz w:val="15"/>
                <w:szCs w:val="15"/>
              </w:rPr>
              <w:t>0.452</w:t>
            </w:r>
          </w:p>
        </w:tc>
      </w:tr>
    </w:tbl>
    <w:p w14:paraId="6E2B8A3C">
      <w:pPr>
        <w:widowControl/>
        <w:adjustRightInd w:val="0"/>
        <w:snapToGrid w:val="0"/>
        <w:spacing w:before="31" w:beforeLines="10"/>
        <w:ind w:left="470" w:leftChars="52" w:hanging="324" w:hangingChars="216"/>
        <w:rPr>
          <w:rFonts w:ascii="Times New Roman" w:hAnsi="Times New Roman" w:cs="Times New Roman"/>
          <w:kern w:val="0"/>
          <w:sz w:val="15"/>
          <w:szCs w:val="15"/>
        </w:rPr>
      </w:pPr>
      <w:r>
        <w:rPr>
          <w:rFonts w:ascii="Times New Roman" w:hAnsi="Times New Roman" w:cs="Times New Roman"/>
          <w:kern w:val="0"/>
          <w:sz w:val="15"/>
          <w:szCs w:val="15"/>
        </w:rPr>
        <w:t>注：管内水的充盈度a为管内水深与管的内径之比值。管道设计时，可根据管的内径</w:t>
      </w:r>
      <w:r>
        <w:rPr>
          <w:rFonts w:ascii="Times New Roman" w:hAnsi="Times New Roman" w:cs="Times New Roman"/>
          <w:i/>
          <w:kern w:val="0"/>
          <w:sz w:val="15"/>
          <w:szCs w:val="15"/>
        </w:rPr>
        <w:t>d</w:t>
      </w:r>
      <w:r>
        <w:rPr>
          <w:rFonts w:ascii="Times New Roman" w:hAnsi="Times New Roman" w:cs="Times New Roman"/>
          <w:kern w:val="0"/>
          <w:sz w:val="15"/>
          <w:szCs w:val="15"/>
        </w:rPr>
        <w:t>值选取充盈度a值：当</w:t>
      </w:r>
      <w:r>
        <w:rPr>
          <w:rFonts w:ascii="Times New Roman" w:hAnsi="Times New Roman" w:cs="Times New Roman"/>
          <w:i/>
          <w:kern w:val="0"/>
          <w:sz w:val="15"/>
          <w:szCs w:val="15"/>
        </w:rPr>
        <w:t>d</w:t>
      </w:r>
      <w:r>
        <w:rPr>
          <w:rFonts w:ascii="Times New Roman" w:hAnsi="Times New Roman" w:cs="Times New Roman"/>
          <w:kern w:val="0"/>
          <w:sz w:val="15"/>
          <w:szCs w:val="15"/>
        </w:rPr>
        <w:t>≤100mm时，a取0.6；当</w:t>
      </w:r>
      <w:r>
        <w:rPr>
          <w:rFonts w:ascii="Times New Roman" w:hAnsi="Times New Roman" w:cs="Times New Roman"/>
          <w:i/>
          <w:kern w:val="0"/>
          <w:sz w:val="15"/>
          <w:szCs w:val="15"/>
        </w:rPr>
        <w:t>d</w:t>
      </w:r>
      <w:r>
        <w:rPr>
          <w:rFonts w:ascii="Times New Roman" w:hAnsi="Times New Roman" w:cs="Times New Roman"/>
          <w:kern w:val="0"/>
          <w:sz w:val="15"/>
          <w:szCs w:val="15"/>
        </w:rPr>
        <w:t>界于100～200mm时，a取0.65～0.75；当</w:t>
      </w:r>
      <w:r>
        <w:rPr>
          <w:rFonts w:ascii="Times New Roman" w:hAnsi="Times New Roman" w:cs="Times New Roman"/>
          <w:i/>
          <w:kern w:val="0"/>
          <w:sz w:val="15"/>
          <w:szCs w:val="15"/>
        </w:rPr>
        <w:t>d</w:t>
      </w:r>
      <w:r>
        <w:rPr>
          <w:rFonts w:ascii="Times New Roman" w:hAnsi="Times New Roman" w:cs="Times New Roman"/>
          <w:kern w:val="0"/>
          <w:sz w:val="15"/>
          <w:szCs w:val="15"/>
        </w:rPr>
        <w:t>&gt;200mm时，a取0.8。</w:t>
      </w:r>
    </w:p>
    <w:p w14:paraId="38525C0C">
      <w:pPr>
        <w:snapToGrid w:val="0"/>
        <w:spacing w:before="156" w:beforeLines="50" w:line="360" w:lineRule="auto"/>
        <w:ind w:firstLine="413" w:firstLineChars="196"/>
        <w:rPr>
          <w:rFonts w:ascii="Times New Roman" w:hAnsi="Times New Roman" w:cs="Times New Roman"/>
          <w:sz w:val="21"/>
          <w:szCs w:val="21"/>
        </w:rPr>
      </w:pPr>
      <w:r>
        <w:rPr>
          <w:rFonts w:ascii="Times New Roman" w:hAnsi="Times New Roman" w:cs="Times New Roman"/>
          <w:b/>
          <w:bCs/>
          <w:sz w:val="21"/>
          <w:szCs w:val="21"/>
        </w:rPr>
        <w:t>6</w:t>
      </w:r>
      <w:r>
        <w:rPr>
          <w:rFonts w:ascii="Times New Roman" w:hAnsi="Times New Roman" w:cs="Times New Roman"/>
          <w:sz w:val="21"/>
          <w:szCs w:val="21"/>
        </w:rPr>
        <w:t xml:space="preserve">  排水暗管平均流速按下式计算：</w:t>
      </w:r>
    </w:p>
    <w:p w14:paraId="6DB1F09B">
      <w:pPr>
        <w:wordWrap w:val="0"/>
        <w:snapToGrid w:val="0"/>
        <w:spacing w:line="360" w:lineRule="auto"/>
        <w:ind w:firstLine="411" w:firstLineChars="196"/>
        <w:jc w:val="right"/>
        <w:rPr>
          <w:rFonts w:ascii="Times New Roman" w:hAnsi="Times New Roman" w:cs="Times New Roman"/>
          <w:b/>
          <w:iCs/>
          <w:sz w:val="21"/>
          <w:szCs w:val="24"/>
          <w:lang w:val="en-GB"/>
        </w:rPr>
      </w:pPr>
      <w:r>
        <w:rPr>
          <w:rFonts w:ascii="Times New Roman" w:hAnsi="Times New Roman" w:cs="Times New Roman"/>
          <w:iCs/>
          <w:position w:val="-24"/>
          <w:sz w:val="21"/>
          <w:szCs w:val="21"/>
          <w:lang w:val="en-GB"/>
        </w:rPr>
        <w:object>
          <v:shape id="_x0000_i1070" o:spt="75" type="#_x0000_t75" style="height:31.2pt;width:78pt;" o:ole="t" filled="f" o:preferrelative="t" stroked="f" coordsize="21600,21600">
            <v:path/>
            <v:fill on="f" focussize="0,0"/>
            <v:stroke on="f" joinstyle="miter"/>
            <v:imagedata r:id="rId111" o:title=""/>
            <o:lock v:ext="edit" aspectratio="t"/>
            <w10:wrap type="none"/>
            <w10:anchorlock/>
          </v:shape>
          <o:OLEObject Type="Embed" ProgID="Equation.KSEE3" ShapeID="_x0000_i1070" DrawAspect="Content" ObjectID="_1468075766" r:id="rId110">
            <o:LockedField>false</o:LockedField>
          </o:OLEObject>
        </w:object>
      </w:r>
      <w:r>
        <w:rPr>
          <w:rFonts w:ascii="Times New Roman" w:hAnsi="Times New Roman" w:cs="Times New Roman"/>
          <w:iCs/>
          <w:sz w:val="21"/>
          <w:szCs w:val="21"/>
          <w:lang w:val="en-GB"/>
        </w:rPr>
        <w:t xml:space="preserve">         </w:t>
      </w:r>
      <w:r>
        <w:rPr>
          <w:rFonts w:ascii="Times New Roman" w:hAnsi="Times New Roman" w:cs="Times New Roman"/>
          <w:b/>
          <w:iCs/>
          <w:sz w:val="21"/>
          <w:szCs w:val="21"/>
          <w:lang w:val="en-GB"/>
        </w:rPr>
        <w:t xml:space="preserve">              </w:t>
      </w:r>
      <w:r>
        <w:rPr>
          <w:rFonts w:ascii="Times New Roman" w:hAnsi="Times New Roman" w:cs="Times New Roman"/>
          <w:sz w:val="21"/>
          <w:szCs w:val="21"/>
          <w:lang w:val="en-GB"/>
        </w:rPr>
        <w:t xml:space="preserve">  （</w:t>
      </w:r>
      <w:r>
        <w:rPr>
          <w:rFonts w:ascii="Times New Roman" w:hAnsi="Times New Roman" w:cs="Times New Roman"/>
          <w:sz w:val="21"/>
          <w:szCs w:val="21"/>
        </w:rPr>
        <w:t>4</w:t>
      </w:r>
      <w:r>
        <w:rPr>
          <w:rFonts w:ascii="Times New Roman" w:hAnsi="Times New Roman" w:cs="Times New Roman"/>
          <w:sz w:val="21"/>
          <w:szCs w:val="21"/>
          <w:lang w:val="en-GB"/>
        </w:rPr>
        <w:t>.</w:t>
      </w:r>
      <w:r>
        <w:rPr>
          <w:rFonts w:ascii="Times New Roman" w:hAnsi="Times New Roman" w:cs="Times New Roman"/>
          <w:sz w:val="21"/>
          <w:szCs w:val="21"/>
        </w:rPr>
        <w:t>8</w:t>
      </w:r>
      <w:r>
        <w:rPr>
          <w:rFonts w:ascii="Times New Roman" w:hAnsi="Times New Roman" w:cs="Times New Roman"/>
          <w:sz w:val="21"/>
          <w:szCs w:val="21"/>
          <w:lang w:val="en-GB"/>
        </w:rPr>
        <w:t>.</w:t>
      </w:r>
      <w:r>
        <w:rPr>
          <w:rFonts w:ascii="Times New Roman" w:hAnsi="Times New Roman" w:cs="Times New Roman"/>
          <w:sz w:val="21"/>
          <w:szCs w:val="21"/>
        </w:rPr>
        <w:t>36-4</w:t>
      </w:r>
      <w:r>
        <w:rPr>
          <w:rFonts w:ascii="Times New Roman" w:hAnsi="Times New Roman" w:cs="Times New Roman"/>
          <w:sz w:val="21"/>
          <w:szCs w:val="21"/>
          <w:lang w:val="en-GB"/>
        </w:rPr>
        <w:t>）</w:t>
      </w:r>
    </w:p>
    <w:p w14:paraId="0ABDB0C4">
      <w:pPr>
        <w:topLinePunct/>
        <w:autoSpaceDE w:val="0"/>
        <w:autoSpaceDN w:val="0"/>
        <w:adjustRightInd w:val="0"/>
        <w:snapToGrid w:val="0"/>
        <w:spacing w:after="100" w:line="400" w:lineRule="exact"/>
        <w:ind w:right="-115" w:rightChars="-41"/>
        <w:rPr>
          <w:rFonts w:ascii="Times New Roman" w:hAnsi="Times New Roman" w:cs="Times New Roman"/>
          <w:snapToGrid w:val="0"/>
          <w:kern w:val="24"/>
          <w:sz w:val="21"/>
          <w:szCs w:val="21"/>
        </w:rPr>
      </w:pPr>
      <w:r>
        <w:rPr>
          <w:rFonts w:ascii="Times New Roman" w:hAnsi="Times New Roman" w:cs="Times New Roman"/>
          <w:snapToGrid w:val="0"/>
          <w:kern w:val="24"/>
          <w:sz w:val="21"/>
          <w:szCs w:val="21"/>
        </w:rPr>
        <w:t>式中：</w:t>
      </w:r>
      <w:r>
        <w:rPr>
          <w:rFonts w:ascii="Times New Roman" w:hAnsi="Times New Roman" w:cs="Times New Roman"/>
          <w:i/>
          <w:snapToGrid w:val="0"/>
          <w:kern w:val="24"/>
          <w:sz w:val="21"/>
          <w:szCs w:val="21"/>
        </w:rPr>
        <w:t>V</w:t>
      </w:r>
      <w:r>
        <w:rPr>
          <w:rFonts w:ascii="Times New Roman" w:hAnsi="Times New Roman" w:cs="Times New Roman"/>
          <w:snapToGrid w:val="0"/>
          <w:kern w:val="24"/>
          <w:sz w:val="21"/>
          <w:szCs w:val="21"/>
        </w:rPr>
        <w:t>——排水暗管平均流速</w:t>
      </w:r>
      <w:r>
        <w:rPr>
          <w:rFonts w:hint="eastAsia" w:ascii="Times New Roman" w:hAnsi="Times New Roman" w:cs="Times New Roman"/>
          <w:snapToGrid w:val="0"/>
          <w:kern w:val="24"/>
          <w:sz w:val="21"/>
          <w:szCs w:val="21"/>
        </w:rPr>
        <w:t>（</w:t>
      </w:r>
      <w:r>
        <w:rPr>
          <w:rFonts w:ascii="Times New Roman" w:hAnsi="Times New Roman" w:cs="Times New Roman"/>
          <w:snapToGrid w:val="0"/>
          <w:kern w:val="24"/>
          <w:sz w:val="21"/>
          <w:szCs w:val="21"/>
        </w:rPr>
        <w:t>m/s</w:t>
      </w:r>
      <w:r>
        <w:rPr>
          <w:rFonts w:hint="eastAsia" w:ascii="Times New Roman" w:hAnsi="Times New Roman" w:cs="Times New Roman"/>
          <w:snapToGrid w:val="0"/>
          <w:kern w:val="24"/>
          <w:sz w:val="21"/>
          <w:szCs w:val="21"/>
        </w:rPr>
        <w:t>）</w:t>
      </w:r>
      <w:r>
        <w:rPr>
          <w:rFonts w:ascii="Times New Roman" w:hAnsi="Times New Roman" w:cs="Times New Roman"/>
          <w:snapToGrid w:val="0"/>
          <w:kern w:val="24"/>
          <w:sz w:val="21"/>
          <w:szCs w:val="21"/>
        </w:rPr>
        <w:t>；</w:t>
      </w:r>
    </w:p>
    <w:p w14:paraId="358ADCA2">
      <w:pPr>
        <w:topLinePunct/>
        <w:autoSpaceDE w:val="0"/>
        <w:autoSpaceDN w:val="0"/>
        <w:adjustRightInd w:val="0"/>
        <w:snapToGrid w:val="0"/>
        <w:spacing w:after="100" w:line="400" w:lineRule="exact"/>
        <w:ind w:left="36" w:leftChars="13" w:right="-115" w:rightChars="-41" w:firstLine="640" w:firstLineChars="305"/>
        <w:rPr>
          <w:rFonts w:ascii="Times New Roman" w:hAnsi="Times New Roman" w:cs="Times New Roman"/>
          <w:snapToGrid w:val="0"/>
          <w:kern w:val="24"/>
          <w:sz w:val="21"/>
          <w:szCs w:val="21"/>
        </w:rPr>
      </w:pPr>
      <w:r>
        <w:rPr>
          <w:rFonts w:ascii="Times New Roman" w:hAnsi="Times New Roman" w:cs="Times New Roman"/>
          <w:i/>
          <w:snapToGrid w:val="0"/>
          <w:kern w:val="24"/>
          <w:sz w:val="21"/>
          <w:szCs w:val="21"/>
        </w:rPr>
        <w:t>β</w:t>
      </w:r>
      <w:r>
        <w:rPr>
          <w:rFonts w:ascii="Times New Roman" w:hAnsi="Times New Roman" w:cs="Times New Roman"/>
          <w:snapToGrid w:val="0"/>
          <w:kern w:val="24"/>
          <w:sz w:val="21"/>
          <w:szCs w:val="21"/>
        </w:rPr>
        <w:t>——与管内水的充盈度a有关的系数，可从表4.8.36-3查得。</w:t>
      </w:r>
    </w:p>
    <w:p w14:paraId="61D87DBB">
      <w:pPr>
        <w:snapToGrid w:val="0"/>
        <w:spacing w:before="156" w:beforeLines="50" w:line="360" w:lineRule="auto"/>
        <w:ind w:firstLine="413" w:firstLineChars="196"/>
        <w:rPr>
          <w:rFonts w:ascii="Times New Roman" w:hAnsi="Times New Roman" w:cs="Times New Roman"/>
          <w:sz w:val="21"/>
          <w:szCs w:val="21"/>
        </w:rPr>
      </w:pPr>
      <w:r>
        <w:rPr>
          <w:rFonts w:ascii="Times New Roman" w:hAnsi="Times New Roman" w:cs="Times New Roman"/>
          <w:b/>
          <w:bCs/>
          <w:sz w:val="21"/>
          <w:szCs w:val="21"/>
        </w:rPr>
        <w:t>7</w:t>
      </w:r>
      <w:r>
        <w:rPr>
          <w:rFonts w:ascii="Times New Roman" w:hAnsi="Times New Roman" w:cs="Times New Roman"/>
          <w:sz w:val="21"/>
          <w:szCs w:val="21"/>
        </w:rPr>
        <w:t xml:space="preserve">  排水暗管周围应设置外包滤料，并宜就地取材，选用耐酸、耐碱、不易腐烂、对农作物无害、不污染环境、方便施工的透水材料。外包滤料的渗透系数应比周围土壤大10倍以上，其厚度可根据当地实践经验选取。</w:t>
      </w:r>
    </w:p>
    <w:p w14:paraId="6501302A">
      <w:pPr>
        <w:snapToGrid w:val="0"/>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bCs/>
          <w:sz w:val="21"/>
          <w:szCs w:val="21"/>
        </w:rPr>
        <w:t>8</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暗管埋深宜取0.7m～0.9m，条捆直径应大于0.2m，并应用砂卵石、麦秸、稻草和芦苇回填0.1m～0.4m，踩实，其上回填壤土0.2m。</w:t>
      </w:r>
    </w:p>
    <w:p w14:paraId="14D58724">
      <w:pPr>
        <w:snapToGrid w:val="0"/>
        <w:spacing w:line="360" w:lineRule="auto"/>
        <w:ind w:firstLine="413" w:firstLineChars="196"/>
        <w:rPr>
          <w:rFonts w:ascii="Times New Roman" w:hAnsi="Times New Roman" w:cs="Times New Roman" w:eastAsiaTheme="minorEastAsia"/>
          <w:sz w:val="21"/>
          <w:szCs w:val="21"/>
        </w:rPr>
      </w:pPr>
      <w:r>
        <w:rPr>
          <w:rFonts w:ascii="Times New Roman" w:hAnsi="Times New Roman" w:eastAsia="黑体" w:cs="Times New Roman"/>
          <w:b/>
          <w:bCs/>
          <w:sz w:val="21"/>
          <w:szCs w:val="21"/>
        </w:rPr>
        <w:t>9</w:t>
      </w:r>
      <w:r>
        <w:rPr>
          <w:rFonts w:ascii="Times New Roman" w:hAnsi="Times New Roman" w:eastAsia="黑体" w:cs="Times New Roman"/>
          <w:sz w:val="21"/>
          <w:szCs w:val="21"/>
        </w:rPr>
        <w:t xml:space="preserve">  </w:t>
      </w:r>
      <w:r>
        <w:rPr>
          <w:rFonts w:ascii="Times New Roman" w:hAnsi="Times New Roman" w:cs="Times New Roman" w:eastAsiaTheme="minorEastAsia"/>
          <w:sz w:val="21"/>
          <w:szCs w:val="21"/>
        </w:rPr>
        <w:t>暗管出口段宜设置长度2m的硬塑料管，伸出长度0.15m～0.2m，出口下缘距固定沟道水面间距不应小于0.3m。暗管排水进入明沟处应采取防冲措施。</w:t>
      </w:r>
    </w:p>
    <w:p w14:paraId="6F77D362">
      <w:pPr>
        <w:keepNext/>
        <w:keepLines/>
        <w:spacing w:before="260" w:after="260" w:line="415" w:lineRule="auto"/>
        <w:jc w:val="center"/>
        <w:outlineLvl w:val="1"/>
        <w:rPr>
          <w:rFonts w:ascii="Times New Roman" w:hAnsi="Times New Roman" w:eastAsia="黑体" w:cs="Times New Roman"/>
          <w:bCs/>
          <w:sz w:val="30"/>
          <w:szCs w:val="32"/>
        </w:rPr>
      </w:pPr>
      <w:bookmarkStart w:id="222" w:name="_Toc23103"/>
      <w:bookmarkStart w:id="223" w:name="_Toc546"/>
      <w:r>
        <w:rPr>
          <w:rFonts w:ascii="Times New Roman" w:hAnsi="Times New Roman" w:eastAsia="黑体" w:cs="Times New Roman"/>
          <w:bCs/>
          <w:sz w:val="30"/>
          <w:szCs w:val="32"/>
        </w:rPr>
        <w:t>4.9 引洪漫地和引水拉沙工程</w:t>
      </w:r>
      <w:bookmarkEnd w:id="222"/>
      <w:bookmarkEnd w:id="223"/>
    </w:p>
    <w:p w14:paraId="54A61AFC">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Ⅰ 一般规定</w:t>
      </w:r>
    </w:p>
    <w:p w14:paraId="4E7F8BAB">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引洪漫地主要适用于干旱、半干旱地区的</w:t>
      </w:r>
      <w:r>
        <w:rPr>
          <w:rFonts w:ascii="Times New Roman" w:hAnsi="Times New Roman" w:cs="Times New Roman"/>
          <w:sz w:val="21"/>
          <w:szCs w:val="21"/>
        </w:rPr>
        <w:t>多沙输沙区</w:t>
      </w:r>
      <w:r>
        <w:rPr>
          <w:rFonts w:ascii="Times New Roman" w:hAnsi="Times New Roman" w:cs="Times New Roman"/>
          <w:sz w:val="21"/>
          <w:szCs w:val="24"/>
        </w:rPr>
        <w:t>，并应根据洪水来源，分坡洪、路洪、沟洪、河洪四类。</w:t>
      </w:r>
    </w:p>
    <w:p w14:paraId="05081860">
      <w:pPr>
        <w:spacing w:line="360" w:lineRule="auto"/>
        <w:rPr>
          <w:rFonts w:ascii="Times New Roman" w:hAnsi="Times New Roman" w:cs="Times New Roman"/>
          <w:sz w:val="21"/>
          <w:szCs w:val="24"/>
        </w:rPr>
      </w:pPr>
      <w:r>
        <w:rPr>
          <w:rFonts w:ascii="Times New Roman" w:hAnsi="Times New Roman" w:cs="Times New Roman"/>
          <w:b/>
          <w:sz w:val="21"/>
          <w:szCs w:val="24"/>
        </w:rPr>
        <w:t xml:space="preserve">4.9.2 </w:t>
      </w:r>
      <w:r>
        <w:rPr>
          <w:rFonts w:ascii="Times New Roman" w:hAnsi="Times New Roman" w:cs="Times New Roman"/>
          <w:sz w:val="21"/>
          <w:szCs w:val="24"/>
        </w:rPr>
        <w:t xml:space="preserve"> 引水拉沙造地适用于有水源条件且地面沙土覆盖层较厚的风沙地区，或河流滩地的整沙造地工，主要建筑物应包括引水渠、防洪堤、蓄水池、冲沙壕、围埂、排水口等。</w:t>
      </w:r>
    </w:p>
    <w:p w14:paraId="239CCCE1">
      <w:pPr>
        <w:spacing w:line="360" w:lineRule="auto"/>
        <w:rPr>
          <w:rFonts w:ascii="Times New Roman" w:hAnsi="Times New Roman" w:cs="Times New Roman"/>
          <w:sz w:val="21"/>
          <w:szCs w:val="24"/>
        </w:rPr>
      </w:pPr>
      <w:r>
        <w:rPr>
          <w:rFonts w:ascii="Times New Roman" w:hAnsi="Times New Roman" w:cs="Times New Roman"/>
          <w:b/>
          <w:sz w:val="21"/>
          <w:szCs w:val="24"/>
        </w:rPr>
        <w:t xml:space="preserve">4.9.3 </w:t>
      </w:r>
      <w:r>
        <w:rPr>
          <w:rFonts w:ascii="Times New Roman" w:hAnsi="Times New Roman" w:cs="Times New Roman"/>
          <w:sz w:val="21"/>
          <w:szCs w:val="24"/>
        </w:rPr>
        <w:t xml:space="preserve"> 工程设计所需基本资料应包括：工程所在流域及规划区域地形图、土地利用现状图、工程区水文气象资料、水土流失状况及水土保持现状、工程所在流域社会经济资料等。</w:t>
      </w:r>
    </w:p>
    <w:p w14:paraId="7BB8D77D">
      <w:pPr>
        <w:keepNext/>
        <w:keepLines/>
        <w:spacing w:before="340" w:after="24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Ⅱ 工程布置</w:t>
      </w:r>
    </w:p>
    <w:p w14:paraId="78C84072">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 xml:space="preserve">4 </w:t>
      </w:r>
      <w:r>
        <w:rPr>
          <w:rFonts w:ascii="Times New Roman" w:hAnsi="Times New Roman" w:cs="Times New Roman"/>
          <w:sz w:val="21"/>
          <w:szCs w:val="24"/>
        </w:rPr>
        <w:t xml:space="preserve"> 引洪渠首工程布置应符合下列规定：</w:t>
      </w:r>
    </w:p>
    <w:p w14:paraId="5E64C9F3">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b/>
          <w:sz w:val="21"/>
          <w:szCs w:val="24"/>
        </w:rPr>
        <w:t xml:space="preserve"> </w:t>
      </w:r>
      <w:r>
        <w:rPr>
          <w:rFonts w:ascii="Times New Roman" w:hAnsi="Times New Roman" w:cs="Times New Roman"/>
          <w:sz w:val="21"/>
          <w:szCs w:val="24"/>
        </w:rPr>
        <w:t xml:space="preserve"> 应选择布置在河床稳定、河道凹段下游、引水条件好且高于洪漫区的位置。</w:t>
      </w:r>
    </w:p>
    <w:p w14:paraId="424073D0">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b/>
          <w:sz w:val="21"/>
          <w:szCs w:val="24"/>
        </w:rPr>
        <w:t xml:space="preserve"> </w:t>
      </w:r>
      <w:r>
        <w:rPr>
          <w:rFonts w:ascii="Times New Roman" w:hAnsi="Times New Roman" w:cs="Times New Roman"/>
          <w:sz w:val="21"/>
          <w:szCs w:val="24"/>
        </w:rPr>
        <w:t xml:space="preserve"> 当计划洪漫区的面积较大，一处渠首引洪不能满足漫地要求，应在沿河增建若干引洪渠首，分区引洪。</w:t>
      </w:r>
    </w:p>
    <w:p w14:paraId="27FF03C4">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河岸较高、河洪不能自流进入渠首的，应采取有坝引洪。在河中修建滚水坝，抬高水位，坝的一端或两端设引洪闸，将河洪引入渠中。</w:t>
      </w:r>
    </w:p>
    <w:p w14:paraId="2BAD5583">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sz w:val="21"/>
          <w:szCs w:val="24"/>
        </w:rPr>
        <w:t xml:space="preserve">  河岸较低、河洪可自流进入渠首的，应采取无坝引洪，并应在距河岸3m～5m处设导洪堤，将部分河洪导入引洪闸。</w:t>
      </w:r>
    </w:p>
    <w:p w14:paraId="5580AEDB">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sz w:val="21"/>
          <w:szCs w:val="24"/>
        </w:rPr>
        <w:t xml:space="preserve">  引洪渠系布置应符合下列规定：</w:t>
      </w:r>
    </w:p>
    <w:p w14:paraId="2BB4B586">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b/>
          <w:sz w:val="21"/>
          <w:szCs w:val="24"/>
        </w:rPr>
        <w:t xml:space="preserve"> </w:t>
      </w:r>
      <w:r>
        <w:rPr>
          <w:rFonts w:ascii="Times New Roman" w:hAnsi="Times New Roman" w:cs="Times New Roman"/>
          <w:sz w:val="21"/>
          <w:szCs w:val="24"/>
        </w:rPr>
        <w:t xml:space="preserve"> 渠系由引洪干渠、支渠、斗渠三级组成，应要求能控制整个洪漫区面积，输水应迅速均匀。</w:t>
      </w:r>
    </w:p>
    <w:p w14:paraId="6703398A">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 xml:space="preserve">2 </w:t>
      </w:r>
      <w:r>
        <w:rPr>
          <w:rFonts w:ascii="Times New Roman" w:hAnsi="Times New Roman" w:cs="Times New Roman"/>
          <w:sz w:val="21"/>
          <w:szCs w:val="24"/>
        </w:rPr>
        <w:t xml:space="preserve"> 干渠走向大致高于洪漫区，长度宜为1000m左右。</w:t>
      </w:r>
    </w:p>
    <w:p w14:paraId="707E6150">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沿干渠每100m～200m应设支渠，与干渠正交，或取适当夹角，长500m～1000m。</w:t>
      </w:r>
    </w:p>
    <w:p w14:paraId="3507B006">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沿支渠每50m～100m应设斗渠，宜与支渠正交，斗渠直接控制一个洪漫小区，向地块进水口输水漫灌。</w:t>
      </w:r>
    </w:p>
    <w:p w14:paraId="5B730EE5">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 xml:space="preserve">5 </w:t>
      </w:r>
      <w:r>
        <w:rPr>
          <w:rFonts w:ascii="Times New Roman" w:hAnsi="Times New Roman" w:cs="Times New Roman"/>
          <w:sz w:val="21"/>
          <w:szCs w:val="24"/>
        </w:rPr>
        <w:t xml:space="preserve"> 干渠向支渠分水处应设分水闸；支渠向斗渠分水处应设斗门。</w:t>
      </w:r>
    </w:p>
    <w:p w14:paraId="3378B19B">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 xml:space="preserve"> </w:t>
      </w:r>
      <w:r>
        <w:rPr>
          <w:rFonts w:ascii="Times New Roman" w:hAnsi="Times New Roman" w:cs="Times New Roman"/>
          <w:sz w:val="21"/>
          <w:szCs w:val="24"/>
        </w:rPr>
        <w:t xml:space="preserve"> 洪漫区田间工程布置应符合下列规定：</w:t>
      </w:r>
    </w:p>
    <w:p w14:paraId="42B85316">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b/>
          <w:sz w:val="21"/>
          <w:szCs w:val="24"/>
        </w:rPr>
        <w:t xml:space="preserve"> </w:t>
      </w:r>
      <w:r>
        <w:rPr>
          <w:rFonts w:ascii="Times New Roman" w:hAnsi="Times New Roman" w:cs="Times New Roman"/>
          <w:sz w:val="21"/>
          <w:szCs w:val="24"/>
        </w:rPr>
        <w:t xml:space="preserve"> 根据洪漫区地形和引洪斗渠与地块间的相对位置，漫灌方式可采取串连式、并联式或混合式。</w:t>
      </w:r>
    </w:p>
    <w:p w14:paraId="504822C3">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cs="Times New Roman"/>
          <w:b/>
          <w:sz w:val="21"/>
          <w:szCs w:val="21"/>
        </w:rPr>
        <w:t xml:space="preserve"> </w:t>
      </w:r>
      <w:r>
        <w:rPr>
          <w:rFonts w:ascii="Times New Roman" w:hAnsi="Times New Roman" w:cs="Times New Roman"/>
          <w:sz w:val="21"/>
          <w:szCs w:val="21"/>
        </w:rPr>
        <w:t xml:space="preserve"> 洪漫区地块四周应布置蓄水埂。</w:t>
      </w:r>
    </w:p>
    <w:p w14:paraId="0EC733B4">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3</w:t>
      </w:r>
      <w:r>
        <w:rPr>
          <w:rFonts w:ascii="Times New Roman" w:hAnsi="Times New Roman" w:cs="Times New Roman"/>
          <w:b/>
          <w:sz w:val="21"/>
          <w:szCs w:val="21"/>
        </w:rPr>
        <w:t xml:space="preserve"> </w:t>
      </w:r>
      <w:r>
        <w:rPr>
          <w:rFonts w:ascii="Times New Roman" w:hAnsi="Times New Roman" w:cs="Times New Roman"/>
          <w:sz w:val="21"/>
          <w:szCs w:val="21"/>
        </w:rPr>
        <w:t xml:space="preserve"> 矩形地块的长边应沿等高线，短边应与等高线正交。</w:t>
      </w:r>
    </w:p>
    <w:p w14:paraId="24D1AB91">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7</w:t>
      </w:r>
      <w:r>
        <w:rPr>
          <w:rFonts w:ascii="Times New Roman" w:hAnsi="Times New Roman" w:cs="Times New Roman"/>
          <w:b/>
          <w:sz w:val="21"/>
          <w:szCs w:val="24"/>
        </w:rPr>
        <w:t xml:space="preserve"> </w:t>
      </w:r>
      <w:r>
        <w:rPr>
          <w:rFonts w:ascii="Times New Roman" w:hAnsi="Times New Roman" w:cs="Times New Roman"/>
          <w:sz w:val="21"/>
          <w:szCs w:val="24"/>
        </w:rPr>
        <w:t>引水拉沙工程布局应遵循下列原则：</w:t>
      </w:r>
    </w:p>
    <w:p w14:paraId="49E5288D">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风沙区引水拉沙造地宜选择流动或半固定的沙地进行；固定沙地开展引水拉沙造地应经充分论证，严防工程区之外的固定沙地受到破坏。</w:t>
      </w:r>
    </w:p>
    <w:p w14:paraId="415C80E7">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cs="Times New Roman"/>
          <w:sz w:val="21"/>
          <w:szCs w:val="21"/>
        </w:rPr>
        <w:t xml:space="preserve">  河流滩地引水拉沙造地应符合河流防洪规划，不得布设在规划的重要蓄滞洪区内。</w:t>
      </w:r>
    </w:p>
    <w:p w14:paraId="1EC617A3">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 xml:space="preserve">3 </w:t>
      </w:r>
      <w:r>
        <w:rPr>
          <w:rFonts w:ascii="Times New Roman" w:hAnsi="Times New Roman" w:cs="Times New Roman"/>
          <w:sz w:val="21"/>
          <w:szCs w:val="21"/>
        </w:rPr>
        <w:t xml:space="preserve"> 应符合当地水土流失综合治理、国土资源整治、农业发展、水资源利用等规划。</w:t>
      </w:r>
    </w:p>
    <w:p w14:paraId="4BB993A8">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sz w:val="21"/>
          <w:szCs w:val="21"/>
        </w:rPr>
        <w:t xml:space="preserve">  引水拉沙造地的田块，应规划于地形开阔之处。田块应按高程由下至上依次布设，保持长边与等高线平行，长度宜小于200m，宽度宜小于100m。</w:t>
      </w:r>
    </w:p>
    <w:p w14:paraId="70998577">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 xml:space="preserve">8 </w:t>
      </w:r>
      <w:r>
        <w:rPr>
          <w:rFonts w:ascii="Times New Roman" w:hAnsi="Times New Roman" w:cs="Times New Roman"/>
          <w:sz w:val="21"/>
          <w:szCs w:val="24"/>
        </w:rPr>
        <w:t xml:space="preserve"> 引水拉沙工程类型选择和设施配置应按符合下列要求：</w:t>
      </w:r>
    </w:p>
    <w:p w14:paraId="15EBDA78">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引水拉沙造地宜采用自流形式，工程设施主要包括引水渠、蓄水池、冲沙壕、围埂、排水口等。采用抽水拉沙造地时宜直接用管道输水至规划的拉沙区域。当抽水流量较小或工程进度要求较快时，可围筑蓄水池。</w:t>
      </w:r>
    </w:p>
    <w:p w14:paraId="7F6A8DAB">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cs="Times New Roman"/>
          <w:sz w:val="21"/>
          <w:szCs w:val="21"/>
        </w:rPr>
        <w:t xml:space="preserve">  河流滩地引水拉沙造地应在田块临河侧修筑防护堤。</w:t>
      </w:r>
    </w:p>
    <w:p w14:paraId="4464AD89">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3</w:t>
      </w:r>
      <w:r>
        <w:rPr>
          <w:rFonts w:ascii="Times New Roman" w:hAnsi="Times New Roman" w:cs="Times New Roman"/>
          <w:sz w:val="21"/>
          <w:szCs w:val="21"/>
        </w:rPr>
        <w:t xml:space="preserve">  工程布置要应根据水源高程、沙丘分布、工程区地形确定。</w:t>
      </w:r>
    </w:p>
    <w:p w14:paraId="4B69663A">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Ⅲ 工程设计</w:t>
      </w:r>
    </w:p>
    <w:p w14:paraId="5F99353E">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 xml:space="preserve">9 </w:t>
      </w:r>
      <w:r>
        <w:rPr>
          <w:rFonts w:ascii="Times New Roman" w:hAnsi="Times New Roman" w:cs="Times New Roman"/>
          <w:sz w:val="21"/>
          <w:szCs w:val="21"/>
        </w:rPr>
        <w:t xml:space="preserve"> 引洪量计算、淤漫时间、淤漫厚度、淤漫定额设计应符合下列规定：</w:t>
      </w:r>
    </w:p>
    <w:p w14:paraId="072FE96B">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1</w:t>
      </w:r>
      <w:r>
        <w:rPr>
          <w:rFonts w:ascii="Times New Roman" w:hAnsi="Times New Roman" w:cs="Times New Roman"/>
          <w:b/>
          <w:sz w:val="21"/>
          <w:szCs w:val="21"/>
        </w:rPr>
        <w:t xml:space="preserve"> </w:t>
      </w:r>
      <w:r>
        <w:rPr>
          <w:rFonts w:ascii="Times New Roman" w:hAnsi="Times New Roman" w:cs="Times New Roman"/>
          <w:sz w:val="21"/>
          <w:szCs w:val="21"/>
        </w:rPr>
        <w:t xml:space="preserve"> 引洪量可按下式计算：</w:t>
      </w:r>
    </w:p>
    <w:p w14:paraId="1B7EF460">
      <w:pPr>
        <w:wordWrap w:val="0"/>
        <w:snapToGrid w:val="0"/>
        <w:spacing w:line="360" w:lineRule="auto"/>
        <w:ind w:firstLine="995" w:firstLineChars="472"/>
        <w:jc w:val="right"/>
        <w:rPr>
          <w:rFonts w:ascii="Times New Roman" w:hAnsi="Times New Roman" w:cs="Times New Roman"/>
          <w:sz w:val="21"/>
          <w:szCs w:val="21"/>
        </w:rPr>
      </w:pPr>
      <w:r>
        <w:rPr>
          <w:rFonts w:ascii="Times New Roman" w:hAnsi="Times New Roman" w:cs="Times New Roman"/>
          <w:b/>
          <w:position w:val="-24"/>
          <w:sz w:val="21"/>
          <w:szCs w:val="21"/>
        </w:rPr>
        <w:object>
          <v:shape id="_x0000_i1071" o:spt="75" type="#_x0000_t75" style="height:28.8pt;width:59.4pt;" o:ole="t" filled="f" o:preferrelative="t" stroked="f" coordsize="21600,21600">
            <v:path/>
            <v:fill on="f" focussize="0,0"/>
            <v:stroke on="f" joinstyle="miter"/>
            <v:imagedata r:id="rId113" o:title=""/>
            <o:lock v:ext="edit" aspectratio="t"/>
            <w10:wrap type="none"/>
            <w10:anchorlock/>
          </v:shape>
          <o:OLEObject Type="Embed" ProgID="Equation.3" ShapeID="_x0000_i1071" DrawAspect="Content" ObjectID="_1468075767" r:id="rId112">
            <o:LockedField>false</o:LockedField>
          </o:OLEObject>
        </w:object>
      </w:r>
      <w:r>
        <w:rPr>
          <w:rFonts w:ascii="Times New Roman" w:hAnsi="Times New Roman" w:cs="Times New Roman"/>
          <w:sz w:val="21"/>
          <w:szCs w:val="21"/>
        </w:rPr>
        <w:t xml:space="preserve">                          （4.9.</w:t>
      </w:r>
      <w:r>
        <w:rPr>
          <w:rFonts w:hint="eastAsia" w:ascii="Times New Roman" w:hAnsi="Times New Roman" w:cs="Times New Roman"/>
          <w:sz w:val="21"/>
          <w:szCs w:val="21"/>
        </w:rPr>
        <w:t>9</w:t>
      </w:r>
      <w:r>
        <w:rPr>
          <w:rFonts w:ascii="Times New Roman" w:hAnsi="Times New Roman" w:cs="Times New Roman"/>
          <w:sz w:val="21"/>
          <w:szCs w:val="21"/>
        </w:rPr>
        <w:t>-1）</w:t>
      </w:r>
    </w:p>
    <w:p w14:paraId="3EA1F696">
      <w:pPr>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Q</w:t>
      </w:r>
      <w:r>
        <w:rPr>
          <w:rFonts w:ascii="Times New Roman" w:hAnsi="Times New Roman" w:cs="Times New Roman"/>
          <w:sz w:val="21"/>
          <w:szCs w:val="21"/>
        </w:rPr>
        <w:t>——引洪量（m</w:t>
      </w:r>
      <w:r>
        <w:rPr>
          <w:rFonts w:ascii="Times New Roman" w:hAnsi="Times New Roman" w:cs="Times New Roman"/>
          <w:sz w:val="21"/>
          <w:szCs w:val="21"/>
          <w:vertAlign w:val="superscript"/>
        </w:rPr>
        <w:t>3</w:t>
      </w:r>
      <w:r>
        <w:rPr>
          <w:rFonts w:ascii="Times New Roman" w:hAnsi="Times New Roman" w:cs="Times New Roman"/>
          <w:sz w:val="21"/>
          <w:szCs w:val="21"/>
        </w:rPr>
        <w:t>/s）；</w:t>
      </w:r>
    </w:p>
    <w:p w14:paraId="470B7973">
      <w:pPr>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F</w:t>
      </w:r>
      <w:r>
        <w:rPr>
          <w:rFonts w:ascii="Times New Roman" w:hAnsi="Times New Roman" w:cs="Times New Roman"/>
          <w:sz w:val="21"/>
          <w:szCs w:val="21"/>
        </w:rPr>
        <w:t>——洪漫区面积（hm</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02E9D541">
      <w:pPr>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d</w:t>
      </w:r>
      <w:r>
        <w:rPr>
          <w:rFonts w:ascii="Times New Roman" w:hAnsi="Times New Roman" w:cs="Times New Roman"/>
          <w:sz w:val="21"/>
          <w:szCs w:val="21"/>
        </w:rPr>
        <w:t>——漫灌深度（m）；</w:t>
      </w:r>
    </w:p>
    <w:p w14:paraId="017E12C0">
      <w:pPr>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t</w:t>
      </w:r>
      <w:r>
        <w:rPr>
          <w:rFonts w:ascii="Times New Roman" w:hAnsi="Times New Roman" w:cs="Times New Roman"/>
          <w:sz w:val="21"/>
          <w:szCs w:val="21"/>
        </w:rPr>
        <w:t>——漫灌历时（h）；</w:t>
      </w:r>
    </w:p>
    <w:p w14:paraId="15258247">
      <w:pPr>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k</w:t>
      </w:r>
      <w:r>
        <w:rPr>
          <w:rFonts w:ascii="Times New Roman" w:hAnsi="Times New Roman" w:cs="Times New Roman"/>
          <w:sz w:val="21"/>
          <w:szCs w:val="21"/>
        </w:rPr>
        <w:t>——渠系有效利用系数。</w:t>
      </w:r>
    </w:p>
    <w:p w14:paraId="184FA1F9">
      <w:pPr>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应根据不同作物生长情况，分别采用相应的淤漫时间和淤漫厚度。</w:t>
      </w:r>
    </w:p>
    <w:p w14:paraId="7678CDB9">
      <w:pPr>
        <w:snapToGrid w:val="0"/>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sz w:val="21"/>
          <w:szCs w:val="24"/>
        </w:rPr>
        <w:drawing>
          <wp:anchor distT="0" distB="0" distL="114300" distR="114300" simplePos="0" relativeHeight="251673600" behindDoc="0" locked="0" layoutInCell="1" allowOverlap="1">
            <wp:simplePos x="0" y="0"/>
            <wp:positionH relativeFrom="column">
              <wp:posOffset>2284730</wp:posOffset>
            </wp:positionH>
            <wp:positionV relativeFrom="paragraph">
              <wp:posOffset>196215</wp:posOffset>
            </wp:positionV>
            <wp:extent cx="614680" cy="343535"/>
            <wp:effectExtent l="0" t="0" r="0" b="6350"/>
            <wp:wrapNone/>
            <wp:docPr id="117" name="Object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Object 873"/>
                    <pic:cNvPicPr>
                      <a:picLocks noChangeAspect="1"/>
                    </pic:cNvPicPr>
                  </pic:nvPicPr>
                  <pic:blipFill>
                    <a:blip r:embed="rId114"/>
                    <a:stretch>
                      <a:fillRect/>
                    </a:stretch>
                  </pic:blipFill>
                  <pic:spPr>
                    <a:xfrm>
                      <a:off x="0" y="0"/>
                      <a:ext cx="614680" cy="343535"/>
                    </a:xfrm>
                    <a:prstGeom prst="rect">
                      <a:avLst/>
                    </a:prstGeom>
                    <a:noFill/>
                    <a:ln>
                      <a:noFill/>
                    </a:ln>
                  </pic:spPr>
                </pic:pic>
              </a:graphicData>
            </a:graphic>
          </wp:anchor>
        </w:drawing>
      </w: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淤漫定额可按下式计算：</w:t>
      </w:r>
    </w:p>
    <w:p w14:paraId="498460DE">
      <w:pPr>
        <w:wordWrap w:val="0"/>
        <w:snapToGrid w:val="0"/>
        <w:jc w:val="right"/>
        <w:rPr>
          <w:rFonts w:ascii="Times New Roman" w:hAnsi="Times New Roman" w:cs="Times New Roman"/>
          <w:sz w:val="21"/>
          <w:szCs w:val="21"/>
        </w:rPr>
      </w:pPr>
      <w:r>
        <w:rPr>
          <w:rFonts w:ascii="Times New Roman" w:hAnsi="Times New Roman" w:cs="Times New Roman"/>
          <w:position w:val="-24"/>
          <w:sz w:val="21"/>
          <w:szCs w:val="21"/>
        </w:rPr>
        <w:t xml:space="preserve">                                                    </w:t>
      </w:r>
      <w:r>
        <w:rPr>
          <w:rFonts w:ascii="Times New Roman" w:hAnsi="Times New Roman" w:cs="Times New Roman"/>
          <w:sz w:val="21"/>
          <w:szCs w:val="21"/>
        </w:rPr>
        <w:t>（4.9.</w:t>
      </w:r>
      <w:r>
        <w:rPr>
          <w:rFonts w:hint="eastAsia" w:ascii="Times New Roman" w:hAnsi="Times New Roman" w:cs="Times New Roman"/>
          <w:sz w:val="21"/>
          <w:szCs w:val="21"/>
        </w:rPr>
        <w:t>9</w:t>
      </w:r>
      <w:r>
        <w:rPr>
          <w:rFonts w:ascii="Times New Roman" w:hAnsi="Times New Roman" w:cs="Times New Roman"/>
          <w:sz w:val="21"/>
          <w:szCs w:val="21"/>
        </w:rPr>
        <w:t>-2）</w:t>
      </w:r>
    </w:p>
    <w:p w14:paraId="0D428F6C">
      <w:pPr>
        <w:snapToGrid w:val="0"/>
        <w:spacing w:line="360" w:lineRule="auto"/>
        <w:rPr>
          <w:rFonts w:ascii="Times New Roman" w:hAnsi="Times New Roman" w:cs="Times New Roman"/>
          <w:sz w:val="21"/>
          <w:szCs w:val="21"/>
        </w:rPr>
      </w:pPr>
    </w:p>
    <w:p w14:paraId="798AA9E9">
      <w:pPr>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M</w:t>
      </w:r>
      <w:r>
        <w:rPr>
          <w:rFonts w:ascii="Times New Roman" w:hAnsi="Times New Roman" w:cs="Times New Roman"/>
          <w:sz w:val="21"/>
          <w:szCs w:val="21"/>
        </w:rPr>
        <w:t>——淤漫定额（m</w:t>
      </w:r>
      <w:r>
        <w:rPr>
          <w:rFonts w:ascii="Times New Roman" w:hAnsi="Times New Roman" w:cs="Times New Roman"/>
          <w:sz w:val="21"/>
          <w:szCs w:val="21"/>
          <w:vertAlign w:val="superscript"/>
        </w:rPr>
        <w:t>3</w:t>
      </w:r>
      <w:r>
        <w:rPr>
          <w:rFonts w:ascii="Times New Roman" w:hAnsi="Times New Roman" w:cs="Times New Roman"/>
          <w:sz w:val="21"/>
          <w:szCs w:val="21"/>
        </w:rPr>
        <w:t>/hm</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28434D9C">
      <w:pPr>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d</w:t>
      </w:r>
      <w:r>
        <w:rPr>
          <w:rFonts w:ascii="Times New Roman" w:hAnsi="Times New Roman" w:cs="Times New Roman"/>
          <w:sz w:val="21"/>
          <w:szCs w:val="21"/>
        </w:rPr>
        <w:t>——计划淤漫层厚度（m)；</w:t>
      </w:r>
    </w:p>
    <w:p w14:paraId="300A9FE0">
      <w:pPr>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y</w:t>
      </w:r>
      <w:r>
        <w:rPr>
          <w:rFonts w:ascii="Times New Roman" w:hAnsi="Times New Roman" w:cs="Times New Roman"/>
          <w:sz w:val="21"/>
          <w:szCs w:val="21"/>
        </w:rPr>
        <w:t>——淤漫层干容重（t/m</w:t>
      </w:r>
      <w:r>
        <w:rPr>
          <w:rFonts w:ascii="Times New Roman" w:hAnsi="Times New Roman" w:cs="Times New Roman"/>
          <w:sz w:val="21"/>
          <w:szCs w:val="21"/>
          <w:vertAlign w:val="superscript"/>
        </w:rPr>
        <w:t>3</w:t>
      </w:r>
      <w:r>
        <w:rPr>
          <w:rFonts w:ascii="Times New Roman" w:hAnsi="Times New Roman" w:cs="Times New Roman"/>
          <w:sz w:val="21"/>
          <w:szCs w:val="21"/>
        </w:rPr>
        <w:t>），宜取1.25；</w:t>
      </w:r>
    </w:p>
    <w:p w14:paraId="4DA13EFA">
      <w:pPr>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c</w:t>
      </w:r>
      <w:r>
        <w:rPr>
          <w:rFonts w:ascii="Times New Roman" w:hAnsi="Times New Roman" w:cs="Times New Roman"/>
          <w:sz w:val="21"/>
          <w:szCs w:val="21"/>
        </w:rPr>
        <w:t>——洪水含沙量（kg/m</w:t>
      </w:r>
      <w:r>
        <w:rPr>
          <w:rFonts w:ascii="Times New Roman" w:hAnsi="Times New Roman" w:cs="Times New Roman"/>
          <w:sz w:val="21"/>
          <w:szCs w:val="21"/>
          <w:vertAlign w:val="superscript"/>
        </w:rPr>
        <w:t>3</w:t>
      </w:r>
      <w:r>
        <w:rPr>
          <w:rFonts w:ascii="Times New Roman" w:hAnsi="Times New Roman" w:cs="Times New Roman"/>
          <w:sz w:val="21"/>
          <w:szCs w:val="21"/>
        </w:rPr>
        <w:t>）。</w:t>
      </w:r>
    </w:p>
    <w:p w14:paraId="3F2A34DB">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10</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引洪渠首建筑物设计应符合下列规定：</w:t>
      </w:r>
    </w:p>
    <w:p w14:paraId="72771B3C">
      <w:pPr>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渠首建筑物</w:t>
      </w:r>
      <w:r>
        <w:rPr>
          <w:rFonts w:ascii="Times New Roman" w:hAnsi="Times New Roman" w:cs="Times New Roman"/>
          <w:sz w:val="21"/>
          <w:szCs w:val="24"/>
        </w:rPr>
        <w:t>基础应要求河床基岩坚实、淤泥与卵石层较浅，当基础不满足稳定要求时，应采取基础处理措施。</w:t>
      </w:r>
    </w:p>
    <w:p w14:paraId="3C4E3D03">
      <w:pPr>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cs="Times New Roman"/>
          <w:sz w:val="21"/>
          <w:szCs w:val="21"/>
        </w:rPr>
        <w:t xml:space="preserve">  拦河滚水坝高宜取4m～5m，坝体应作稳定计算和应力分析。</w:t>
      </w:r>
    </w:p>
    <w:p w14:paraId="31D74556">
      <w:pPr>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sz w:val="21"/>
          <w:szCs w:val="24"/>
        </w:rPr>
        <w:t>3</w:t>
      </w:r>
      <w:r>
        <w:rPr>
          <w:rFonts w:ascii="Times New Roman" w:hAnsi="Times New Roman" w:cs="Times New Roman"/>
          <w:sz w:val="21"/>
          <w:szCs w:val="21"/>
        </w:rPr>
        <w:t xml:space="preserve">  导洪堤可采用浆砌石，也可采用木笼块石、铅丝笼块石、沙袋等建筑材料。导洪堤应与河岸成20°左右夹角，长10m～20m，高1m～2m，顶宽1m～2m，内外坡比宜取1:1。</w:t>
      </w:r>
    </w:p>
    <w:p w14:paraId="7BD96931">
      <w:pPr>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应根据引洪水位、流量和引洪干渠断面确定引洪闸孔口尺寸，闸底应高出河床0.5m以上。</w:t>
      </w:r>
    </w:p>
    <w:p w14:paraId="30ED9C11">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 xml:space="preserve"> </w:t>
      </w:r>
      <w:r>
        <w:rPr>
          <w:rFonts w:ascii="Times New Roman" w:hAnsi="Times New Roman" w:cs="Times New Roman"/>
          <w:sz w:val="21"/>
          <w:szCs w:val="24"/>
        </w:rPr>
        <w:t xml:space="preserve"> 引洪渠系设计应符合下列规定：</w:t>
      </w:r>
    </w:p>
    <w:p w14:paraId="704F1E3B">
      <w:pPr>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b/>
          <w:sz w:val="21"/>
          <w:szCs w:val="21"/>
        </w:rPr>
        <w:t xml:space="preserve"> </w:t>
      </w:r>
      <w:r>
        <w:rPr>
          <w:rFonts w:ascii="Times New Roman" w:hAnsi="Times New Roman" w:cs="Times New Roman"/>
          <w:sz w:val="21"/>
          <w:szCs w:val="21"/>
        </w:rPr>
        <w:t xml:space="preserve"> 渠道宜采用梯形断面，</w:t>
      </w:r>
      <w:r>
        <w:rPr>
          <w:rFonts w:ascii="Times New Roman" w:hAnsi="Times New Roman" w:cs="Times New Roman"/>
          <w:sz w:val="21"/>
          <w:szCs w:val="24"/>
        </w:rPr>
        <w:t>可按明渠均匀流计算确定渠道断面。</w:t>
      </w:r>
    </w:p>
    <w:p w14:paraId="74228784">
      <w:pPr>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cs="Times New Roman"/>
          <w:sz w:val="21"/>
          <w:szCs w:val="21"/>
        </w:rPr>
        <w:t xml:space="preserve">  干渠、支渠和斗渠宜采取土渠，其边坡坡比按渠道土质选定。粘土、重壤土和中壤土渠道，边坡宜取1:1.0～1:1.25；土质为轻壤土的，边坡宜取1:1.25～1:1.5；土质为砂壤土的，边坡系数宜取1:1.5～1:2.0。</w:t>
      </w:r>
    </w:p>
    <w:p w14:paraId="7001C78A">
      <w:pPr>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sz w:val="21"/>
          <w:szCs w:val="24"/>
        </w:rPr>
        <w:t>3</w:t>
      </w:r>
      <w:r>
        <w:rPr>
          <w:rFonts w:ascii="Times New Roman" w:hAnsi="Times New Roman" w:cs="Times New Roman"/>
          <w:b/>
          <w:sz w:val="21"/>
          <w:szCs w:val="21"/>
        </w:rPr>
        <w:t xml:space="preserve"> </w:t>
      </w:r>
      <w:r>
        <w:rPr>
          <w:rFonts w:ascii="Times New Roman" w:hAnsi="Times New Roman" w:cs="Times New Roman"/>
          <w:sz w:val="21"/>
          <w:szCs w:val="21"/>
        </w:rPr>
        <w:t xml:space="preserve"> 渠道比降应与渠道断面设计配合，满足不冲不淤要求。</w:t>
      </w:r>
      <w:r>
        <w:rPr>
          <w:rFonts w:ascii="Times New Roman" w:hAnsi="Times New Roman" w:cs="Times New Roman"/>
          <w:sz w:val="21"/>
          <w:szCs w:val="24"/>
        </w:rPr>
        <w:t>干渠比降宜取0.2%～0.3%；支渠比降宜取0.3%～0.5%，最大不超过1.0%；斗渠比降宜取0.5%～1.0%</w:t>
      </w:r>
      <w:r>
        <w:rPr>
          <w:rFonts w:ascii="Times New Roman" w:hAnsi="Times New Roman" w:cs="Times New Roman"/>
          <w:sz w:val="21"/>
          <w:szCs w:val="21"/>
        </w:rPr>
        <w:t>。有条件的，可经试验确定渠道比降。</w:t>
      </w:r>
    </w:p>
    <w:p w14:paraId="110ECD1C">
      <w:pPr>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sz w:val="21"/>
          <w:szCs w:val="24"/>
        </w:rPr>
        <w:t xml:space="preserve">  为保证行水安全，渠道堤顶应高出渠道设计水位0.3m～0.4m。</w:t>
      </w:r>
    </w:p>
    <w:p w14:paraId="452B4F96">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12</w:t>
      </w:r>
      <w:r>
        <w:rPr>
          <w:rFonts w:ascii="Times New Roman" w:hAnsi="Times New Roman" w:cs="Times New Roman"/>
          <w:b/>
          <w:sz w:val="21"/>
          <w:szCs w:val="24"/>
        </w:rPr>
        <w:t xml:space="preserve"> </w:t>
      </w:r>
      <w:r>
        <w:rPr>
          <w:rFonts w:ascii="Times New Roman" w:hAnsi="Times New Roman" w:cs="Times New Roman"/>
          <w:sz w:val="21"/>
          <w:szCs w:val="24"/>
        </w:rPr>
        <w:t xml:space="preserve"> 引洪田间工程设计应符合下列规定：</w:t>
      </w:r>
    </w:p>
    <w:p w14:paraId="60EFFB7D">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b/>
          <w:sz w:val="21"/>
          <w:szCs w:val="24"/>
        </w:rPr>
        <w:t xml:space="preserve"> </w:t>
      </w:r>
      <w:r>
        <w:rPr>
          <w:rFonts w:ascii="Times New Roman" w:hAnsi="Times New Roman" w:cs="Times New Roman"/>
          <w:sz w:val="21"/>
          <w:szCs w:val="24"/>
        </w:rPr>
        <w:t xml:space="preserve"> 洪漫缓坡农田，应按缓坡区梯田要求进行平整，比降宜取0.5%～1.0%。</w:t>
      </w:r>
    </w:p>
    <w:p w14:paraId="233FA1BF">
      <w:pPr>
        <w:spacing w:line="360" w:lineRule="auto"/>
        <w:ind w:firstLine="415" w:firstLineChars="197"/>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荒滩淤漫造田，应结合地面平整，去除地中杂草和大块石砾。</w:t>
      </w:r>
    </w:p>
    <w:p w14:paraId="30154EC7">
      <w:pPr>
        <w:spacing w:line="360" w:lineRule="auto"/>
        <w:ind w:firstLine="415" w:firstLineChars="197"/>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田边蓄水埂</w:t>
      </w:r>
      <w:r>
        <w:rPr>
          <w:rFonts w:ascii="Times New Roman" w:hAnsi="Times New Roman" w:cs="Times New Roman"/>
          <w:sz w:val="21"/>
          <w:szCs w:val="21"/>
        </w:rPr>
        <w:t>埂高应能满足一次漫灌的最大水</w:t>
      </w:r>
      <w:r>
        <w:rPr>
          <w:rFonts w:ascii="Times New Roman" w:hAnsi="Times New Roman" w:cs="Times New Roman"/>
          <w:sz w:val="21"/>
          <w:szCs w:val="24"/>
        </w:rPr>
        <w:t>深，超高宜取0.3m，蓄水埂顶宽应取0.3m，内外坡比应各约1：1.0，分层夯实，干容重应取1.3t/m</w:t>
      </w:r>
      <w:r>
        <w:rPr>
          <w:rFonts w:ascii="Times New Roman" w:hAnsi="Times New Roman" w:cs="Times New Roman"/>
          <w:sz w:val="21"/>
          <w:szCs w:val="24"/>
          <w:vertAlign w:val="superscript"/>
        </w:rPr>
        <w:t>3</w:t>
      </w:r>
      <w:r>
        <w:rPr>
          <w:rFonts w:ascii="Times New Roman" w:hAnsi="Times New Roman" w:cs="Times New Roman"/>
          <w:sz w:val="21"/>
          <w:szCs w:val="24"/>
        </w:rPr>
        <w:t>～1.4t/m</w:t>
      </w:r>
      <w:r>
        <w:rPr>
          <w:rFonts w:ascii="Times New Roman" w:hAnsi="Times New Roman" w:cs="Times New Roman"/>
          <w:sz w:val="21"/>
          <w:szCs w:val="24"/>
          <w:vertAlign w:val="superscript"/>
        </w:rPr>
        <w:t>3</w:t>
      </w:r>
      <w:r>
        <w:rPr>
          <w:rFonts w:ascii="Times New Roman" w:hAnsi="Times New Roman" w:cs="Times New Roman"/>
          <w:sz w:val="21"/>
          <w:szCs w:val="24"/>
        </w:rPr>
        <w:t>。</w:t>
      </w:r>
    </w:p>
    <w:p w14:paraId="2BEDCEAE">
      <w:pPr>
        <w:spacing w:line="360" w:lineRule="auto"/>
        <w:ind w:firstLine="415" w:firstLineChars="197"/>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当进水口或出水口高差大于0.2m时，应利用用块石、卵石等设置简易消能设施。</w:t>
      </w:r>
    </w:p>
    <w:p w14:paraId="63C7F71D">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sz w:val="21"/>
          <w:szCs w:val="24"/>
        </w:rPr>
        <w:t xml:space="preserve">  引水渠设计应符合下列规定：</w:t>
      </w:r>
    </w:p>
    <w:p w14:paraId="69D4B0FE">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1</w:t>
      </w:r>
      <w:r>
        <w:rPr>
          <w:rFonts w:ascii="Times New Roman" w:hAnsi="Times New Roman" w:cs="Times New Roman"/>
          <w:sz w:val="21"/>
          <w:szCs w:val="21"/>
        </w:rPr>
        <w:t xml:space="preserve">  水源充分的地方，应根据拉沙规模和工程进度安排计算确定引水流量。水源不足的地方，以可能最大引水量作为引水流量。以工程规模确定引水量时，可按定额法计算，拉平1m</w:t>
      </w:r>
      <w:r>
        <w:rPr>
          <w:rFonts w:ascii="Times New Roman" w:hAnsi="Times New Roman" w:cs="Times New Roman"/>
          <w:sz w:val="21"/>
          <w:szCs w:val="21"/>
          <w:vertAlign w:val="superscript"/>
        </w:rPr>
        <w:t>3</w:t>
      </w:r>
      <w:r>
        <w:rPr>
          <w:rFonts w:ascii="Times New Roman" w:hAnsi="Times New Roman" w:cs="Times New Roman"/>
          <w:sz w:val="21"/>
          <w:szCs w:val="21"/>
        </w:rPr>
        <w:t>沙子需水定额宜取2m</w:t>
      </w:r>
      <w:r>
        <w:rPr>
          <w:rFonts w:ascii="Times New Roman" w:hAnsi="Times New Roman" w:cs="Times New Roman"/>
          <w:sz w:val="21"/>
          <w:szCs w:val="21"/>
          <w:vertAlign w:val="superscript"/>
        </w:rPr>
        <w:t>3</w:t>
      </w:r>
      <w:r>
        <w:rPr>
          <w:rFonts w:ascii="Times New Roman" w:hAnsi="Times New Roman" w:cs="Times New Roman"/>
          <w:sz w:val="21"/>
          <w:szCs w:val="21"/>
        </w:rPr>
        <w:t>～2.5m</w:t>
      </w:r>
      <w:r>
        <w:rPr>
          <w:rFonts w:ascii="Times New Roman" w:hAnsi="Times New Roman" w:cs="Times New Roman"/>
          <w:sz w:val="21"/>
          <w:szCs w:val="21"/>
          <w:vertAlign w:val="superscript"/>
        </w:rPr>
        <w:t>3</w:t>
      </w:r>
      <w:r>
        <w:rPr>
          <w:rFonts w:ascii="Times New Roman" w:hAnsi="Times New Roman" w:cs="Times New Roman"/>
          <w:sz w:val="21"/>
          <w:szCs w:val="21"/>
        </w:rPr>
        <w:t>。</w:t>
      </w:r>
    </w:p>
    <w:p w14:paraId="49B1DE1A">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cs="Times New Roman"/>
          <w:sz w:val="21"/>
          <w:szCs w:val="21"/>
        </w:rPr>
        <w:t xml:space="preserve">  引水流量确定后，应按本标准第4.9.12条引洪渠系设计的规定确定渠道断面和比降。</w:t>
      </w:r>
    </w:p>
    <w:p w14:paraId="2859A407">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 xml:space="preserve">14 </w:t>
      </w:r>
      <w:r>
        <w:rPr>
          <w:rFonts w:ascii="Times New Roman" w:hAnsi="Times New Roman" w:cs="Times New Roman"/>
          <w:sz w:val="21"/>
          <w:szCs w:val="24"/>
        </w:rPr>
        <w:t xml:space="preserve"> </w:t>
      </w:r>
      <w:r>
        <w:rPr>
          <w:rFonts w:ascii="Times New Roman" w:hAnsi="Times New Roman" w:cs="Times New Roman"/>
          <w:sz w:val="21"/>
          <w:szCs w:val="21"/>
        </w:rPr>
        <w:t>引水渠</w:t>
      </w:r>
      <w:r>
        <w:rPr>
          <w:rFonts w:ascii="Times New Roman" w:hAnsi="Times New Roman" w:cs="Times New Roman"/>
          <w:sz w:val="21"/>
          <w:szCs w:val="24"/>
        </w:rPr>
        <w:t>防洪堤宜采用梯形断面设计，内、外坡宜采用1</w:t>
      </w:r>
      <w:r>
        <w:rPr>
          <w:rFonts w:hint="eastAsia" w:ascii="Times New Roman" w:hAnsi="Times New Roman" w:cs="Times New Roman"/>
          <w:sz w:val="21"/>
          <w:szCs w:val="24"/>
        </w:rPr>
        <w:t>:</w:t>
      </w:r>
      <w:r>
        <w:rPr>
          <w:rFonts w:ascii="Times New Roman" w:hAnsi="Times New Roman" w:cs="Times New Roman"/>
          <w:sz w:val="21"/>
          <w:szCs w:val="24"/>
        </w:rPr>
        <w:t>1，防洪堤高度和堤间距等应按本标准护地堤的有关规定执行。</w:t>
      </w:r>
    </w:p>
    <w:p w14:paraId="2FB7801F">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15</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引水渠蓄水池设计应符合下列规定：</w:t>
      </w:r>
    </w:p>
    <w:p w14:paraId="62E14EA1">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1</w:t>
      </w:r>
      <w:r>
        <w:rPr>
          <w:rFonts w:ascii="Times New Roman" w:hAnsi="Times New Roman" w:cs="Times New Roman"/>
          <w:sz w:val="21"/>
          <w:szCs w:val="21"/>
        </w:rPr>
        <w:t xml:space="preserve">  在引水量不足时，应建设蓄水池进行长蓄短放来保证冲沙水量。蓄水池高程应高于引水拉沙的沙丘高程，应根据地形条件挖筑，形状不限，池壁应充分压实。</w:t>
      </w:r>
    </w:p>
    <w:p w14:paraId="4E8B3B89">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cs="Times New Roman"/>
          <w:sz w:val="21"/>
          <w:szCs w:val="21"/>
        </w:rPr>
        <w:t xml:space="preserve">  蓄水池应设置冲沙放水口，放水口采用木板、铁皮等临时材料砌护和控制放水量。</w:t>
      </w:r>
    </w:p>
    <w:p w14:paraId="797AB79E">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3</w:t>
      </w:r>
      <w:r>
        <w:rPr>
          <w:rFonts w:ascii="Times New Roman" w:hAnsi="Times New Roman" w:cs="Times New Roman"/>
          <w:sz w:val="21"/>
          <w:szCs w:val="21"/>
        </w:rPr>
        <w:t xml:space="preserve">  蓄水池容量应保证在设计的最小施工时段连续放水冲沙，应按下式计算：</w:t>
      </w:r>
    </w:p>
    <w:p w14:paraId="67EE73D4">
      <w:pPr>
        <w:wordWrap w:val="0"/>
        <w:snapToGrid w:val="0"/>
        <w:spacing w:line="360" w:lineRule="auto"/>
        <w:ind w:firstLine="298" w:firstLineChars="142"/>
        <w:jc w:val="right"/>
        <w:rPr>
          <w:rFonts w:ascii="Times New Roman" w:hAnsi="Times New Roman" w:cs="Times New Roman"/>
          <w:sz w:val="21"/>
          <w:szCs w:val="21"/>
        </w:rPr>
      </w:pPr>
      <w:r>
        <w:rPr>
          <w:rFonts w:ascii="Times New Roman" w:hAnsi="Times New Roman" w:cs="Times New Roman"/>
          <w:i/>
          <w:sz w:val="21"/>
          <w:szCs w:val="21"/>
        </w:rPr>
        <w:t>V</w:t>
      </w:r>
      <w:r>
        <w:rPr>
          <w:rFonts w:ascii="Times New Roman" w:hAnsi="Times New Roman" w:cs="Times New Roman"/>
          <w:sz w:val="21"/>
          <w:szCs w:val="21"/>
        </w:rPr>
        <w:t>＝3600</w:t>
      </w:r>
      <w:r>
        <w:rPr>
          <w:rFonts w:ascii="Times New Roman" w:hAnsi="Times New Roman" w:cs="Times New Roman"/>
          <w:i/>
          <w:sz w:val="21"/>
          <w:szCs w:val="21"/>
        </w:rPr>
        <w:t>t</w:t>
      </w:r>
      <w:r>
        <w:rPr>
          <w:rFonts w:ascii="Times New Roman" w:hAnsi="Times New Roman" w:cs="Times New Roman"/>
          <w:sz w:val="21"/>
          <w:szCs w:val="21"/>
        </w:rPr>
        <w:t>(</w:t>
      </w:r>
      <w:r>
        <w:rPr>
          <w:rFonts w:ascii="Times New Roman" w:hAnsi="Times New Roman" w:cs="Times New Roman"/>
          <w:i/>
          <w:sz w:val="21"/>
          <w:szCs w:val="21"/>
        </w:rPr>
        <w:t>Q</w:t>
      </w:r>
      <w:r>
        <w:rPr>
          <w:rFonts w:ascii="Times New Roman" w:hAnsi="Times New Roman" w:cs="Times New Roman"/>
          <w:sz w:val="18"/>
          <w:szCs w:val="18"/>
          <w:vertAlign w:val="subscript"/>
        </w:rPr>
        <w:t>放</w:t>
      </w:r>
      <w:r>
        <w:rPr>
          <w:rFonts w:ascii="Times New Roman" w:hAnsi="Times New Roman" w:cs="Times New Roman"/>
          <w:sz w:val="21"/>
          <w:szCs w:val="21"/>
        </w:rPr>
        <w:t>－</w:t>
      </w:r>
      <w:r>
        <w:rPr>
          <w:rFonts w:ascii="Times New Roman" w:hAnsi="Times New Roman" w:cs="Times New Roman"/>
          <w:i/>
          <w:sz w:val="21"/>
          <w:szCs w:val="21"/>
        </w:rPr>
        <w:t>Q</w:t>
      </w:r>
      <w:r>
        <w:rPr>
          <w:rFonts w:ascii="Times New Roman" w:hAnsi="Times New Roman" w:cs="Times New Roman"/>
          <w:sz w:val="18"/>
          <w:szCs w:val="21"/>
          <w:vertAlign w:val="subscript"/>
        </w:rPr>
        <w:t>引</w:t>
      </w:r>
      <w:r>
        <w:rPr>
          <w:rFonts w:ascii="Times New Roman" w:hAnsi="Times New Roman" w:cs="Times New Roman"/>
          <w:sz w:val="21"/>
          <w:szCs w:val="21"/>
        </w:rPr>
        <w:t>)                      （4.9.1</w:t>
      </w:r>
      <w:r>
        <w:rPr>
          <w:rFonts w:hint="eastAsia" w:ascii="Times New Roman" w:hAnsi="Times New Roman" w:cs="Times New Roman"/>
          <w:sz w:val="21"/>
          <w:szCs w:val="21"/>
        </w:rPr>
        <w:t>5</w:t>
      </w:r>
      <w:r>
        <w:rPr>
          <w:rFonts w:ascii="Times New Roman" w:hAnsi="Times New Roman" w:cs="Times New Roman"/>
          <w:sz w:val="21"/>
          <w:szCs w:val="21"/>
        </w:rPr>
        <w:t>）</w:t>
      </w:r>
    </w:p>
    <w:p w14:paraId="29A031A5">
      <w:pPr>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V</w:t>
      </w:r>
      <w:r>
        <w:rPr>
          <w:rFonts w:ascii="Times New Roman" w:hAnsi="Times New Roman" w:cs="Times New Roman"/>
          <w:sz w:val="21"/>
          <w:szCs w:val="21"/>
        </w:rPr>
        <w:t>——蓄水池容积(m</w:t>
      </w:r>
      <w:r>
        <w:rPr>
          <w:rFonts w:ascii="Times New Roman" w:hAnsi="Times New Roman" w:cs="Times New Roman"/>
          <w:sz w:val="21"/>
          <w:szCs w:val="21"/>
          <w:vertAlign w:val="superscript"/>
        </w:rPr>
        <w:t>3</w:t>
      </w:r>
      <w:r>
        <w:rPr>
          <w:rFonts w:ascii="Times New Roman" w:hAnsi="Times New Roman" w:cs="Times New Roman"/>
          <w:sz w:val="21"/>
          <w:szCs w:val="21"/>
        </w:rPr>
        <w:t>)；</w:t>
      </w:r>
    </w:p>
    <w:p w14:paraId="3B6871CA">
      <w:pPr>
        <w:spacing w:line="360" w:lineRule="auto"/>
        <w:ind w:firstLine="659" w:firstLineChars="314"/>
        <w:rPr>
          <w:rFonts w:ascii="Times New Roman" w:hAnsi="Times New Roman" w:cs="Times New Roman"/>
          <w:sz w:val="21"/>
          <w:szCs w:val="21"/>
        </w:rPr>
      </w:pPr>
      <w:r>
        <w:rPr>
          <w:rFonts w:ascii="Times New Roman" w:hAnsi="Times New Roman" w:cs="Times New Roman"/>
          <w:i/>
          <w:sz w:val="21"/>
          <w:szCs w:val="21"/>
        </w:rPr>
        <w:t>t</w:t>
      </w:r>
      <w:r>
        <w:rPr>
          <w:rFonts w:ascii="Times New Roman" w:hAnsi="Times New Roman" w:cs="Times New Roman"/>
          <w:sz w:val="21"/>
          <w:szCs w:val="21"/>
        </w:rPr>
        <w:t>——设计最小施工时段(h)，宜取1h～2h；</w:t>
      </w:r>
    </w:p>
    <w:p w14:paraId="57DC57AF">
      <w:pPr>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Q</w:t>
      </w:r>
      <w:r>
        <w:rPr>
          <w:rFonts w:ascii="Times New Roman" w:hAnsi="Times New Roman" w:cs="Times New Roman"/>
          <w:sz w:val="18"/>
          <w:szCs w:val="21"/>
          <w:vertAlign w:val="subscript"/>
        </w:rPr>
        <w:t>放</w:t>
      </w:r>
      <w:r>
        <w:rPr>
          <w:rFonts w:ascii="Times New Roman" w:hAnsi="Times New Roman" w:cs="Times New Roman"/>
          <w:sz w:val="21"/>
          <w:szCs w:val="21"/>
        </w:rPr>
        <w:t>——拉沙放水流量(m</w:t>
      </w:r>
      <w:r>
        <w:rPr>
          <w:rFonts w:ascii="Times New Roman" w:hAnsi="Times New Roman" w:cs="Times New Roman"/>
          <w:sz w:val="21"/>
          <w:szCs w:val="21"/>
          <w:vertAlign w:val="superscript"/>
        </w:rPr>
        <w:t>3</w:t>
      </w:r>
      <w:r>
        <w:rPr>
          <w:rFonts w:ascii="Times New Roman" w:hAnsi="Times New Roman" w:cs="Times New Roman"/>
          <w:sz w:val="21"/>
          <w:szCs w:val="21"/>
        </w:rPr>
        <w:t>/s)，根据工程进度安排确定；</w:t>
      </w:r>
    </w:p>
    <w:p w14:paraId="4B1DB5AC">
      <w:pPr>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Q</w:t>
      </w:r>
      <w:r>
        <w:rPr>
          <w:rFonts w:ascii="Times New Roman" w:hAnsi="Times New Roman" w:cs="Times New Roman"/>
          <w:sz w:val="18"/>
          <w:szCs w:val="21"/>
          <w:vertAlign w:val="subscript"/>
        </w:rPr>
        <w:t>引</w:t>
      </w:r>
      <w:r>
        <w:rPr>
          <w:rFonts w:ascii="Times New Roman" w:hAnsi="Times New Roman" w:cs="Times New Roman"/>
          <w:sz w:val="21"/>
          <w:szCs w:val="21"/>
        </w:rPr>
        <w:t>——引水流量(m</w:t>
      </w:r>
      <w:r>
        <w:rPr>
          <w:rFonts w:ascii="Times New Roman" w:hAnsi="Times New Roman" w:cs="Times New Roman"/>
          <w:sz w:val="21"/>
          <w:szCs w:val="21"/>
          <w:vertAlign w:val="superscript"/>
        </w:rPr>
        <w:t>3</w:t>
      </w:r>
      <w:r>
        <w:rPr>
          <w:rFonts w:ascii="Times New Roman" w:hAnsi="Times New Roman" w:cs="Times New Roman"/>
          <w:sz w:val="21"/>
          <w:szCs w:val="21"/>
        </w:rPr>
        <w:t>/s)。</w:t>
      </w:r>
    </w:p>
    <w:p w14:paraId="711E2A64">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16</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冲沙壕设计应符合下列规定：</w:t>
      </w:r>
    </w:p>
    <w:p w14:paraId="1D76045F">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 xml:space="preserve">1 </w:t>
      </w:r>
      <w:r>
        <w:rPr>
          <w:rFonts w:ascii="Times New Roman" w:hAnsi="Times New Roman" w:cs="Times New Roman"/>
          <w:sz w:val="21"/>
          <w:szCs w:val="21"/>
        </w:rPr>
        <w:t xml:space="preserve"> 比降应在1%以上。</w:t>
      </w:r>
    </w:p>
    <w:p w14:paraId="7AD57C12">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 xml:space="preserve">2 </w:t>
      </w:r>
      <w:r>
        <w:rPr>
          <w:rFonts w:ascii="Times New Roman" w:hAnsi="Times New Roman" w:eastAsia="黑体" w:cs="Times New Roman"/>
          <w:sz w:val="21"/>
          <w:szCs w:val="24"/>
        </w:rPr>
        <w:t xml:space="preserve"> </w:t>
      </w:r>
      <w:r>
        <w:rPr>
          <w:rFonts w:ascii="Times New Roman" w:hAnsi="Times New Roman" w:cs="Times New Roman"/>
          <w:sz w:val="21"/>
          <w:szCs w:val="21"/>
        </w:rPr>
        <w:t>根据蓄水池高程，馒头状小型沙丘可采用顶部开壕、腰部开壕和下部开壕三种形式。</w:t>
      </w:r>
    </w:p>
    <w:p w14:paraId="4134441E">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3</w:t>
      </w:r>
      <w:r>
        <w:rPr>
          <w:rFonts w:ascii="Times New Roman" w:hAnsi="Times New Roman" w:cs="Times New Roman"/>
          <w:b/>
          <w:sz w:val="21"/>
          <w:szCs w:val="21"/>
        </w:rPr>
        <w:t xml:space="preserve"> </w:t>
      </w:r>
      <w:r>
        <w:rPr>
          <w:rFonts w:ascii="Times New Roman" w:hAnsi="Times New Roman" w:cs="Times New Roman"/>
          <w:sz w:val="21"/>
          <w:szCs w:val="21"/>
        </w:rPr>
        <w:t xml:space="preserve"> 形状复杂或体积特大的沙丘和沙地，可采用左右开壕、四面开壕和迂回开壕等形式。</w:t>
      </w:r>
    </w:p>
    <w:p w14:paraId="5E31938C">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17</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围埂设计应符合下列规定：</w:t>
      </w:r>
    </w:p>
    <w:p w14:paraId="6E326AE1">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1</w:t>
      </w:r>
      <w:r>
        <w:rPr>
          <w:rFonts w:ascii="Times New Roman" w:hAnsi="Times New Roman" w:cs="Times New Roman"/>
          <w:sz w:val="21"/>
          <w:szCs w:val="21"/>
        </w:rPr>
        <w:t xml:space="preserve">  围埂平面布置应为规整的矩形或正方形。</w:t>
      </w:r>
    </w:p>
    <w:p w14:paraId="37FD0891">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cs="Times New Roman"/>
          <w:b/>
          <w:sz w:val="21"/>
          <w:szCs w:val="21"/>
        </w:rPr>
        <w:t xml:space="preserve"> </w:t>
      </w:r>
      <w:r>
        <w:rPr>
          <w:rFonts w:ascii="Times New Roman" w:hAnsi="Times New Roman" w:cs="Times New Roman"/>
          <w:sz w:val="21"/>
          <w:szCs w:val="21"/>
        </w:rPr>
        <w:t xml:space="preserve"> 初修时埂高应取0.5m～0.8m，随地面淤沙升高而加高。</w:t>
      </w:r>
    </w:p>
    <w:p w14:paraId="27C9954D">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3</w:t>
      </w:r>
      <w:r>
        <w:rPr>
          <w:rFonts w:ascii="Times New Roman" w:hAnsi="Times New Roman" w:cs="Times New Roman"/>
          <w:b/>
          <w:sz w:val="21"/>
          <w:szCs w:val="21"/>
        </w:rPr>
        <w:t xml:space="preserve"> </w:t>
      </w:r>
      <w:r>
        <w:rPr>
          <w:rFonts w:ascii="Times New Roman" w:hAnsi="Times New Roman" w:cs="Times New Roman"/>
          <w:sz w:val="21"/>
          <w:szCs w:val="21"/>
        </w:rPr>
        <w:t xml:space="preserve"> 围埂采用梯形断面，顶宽应取0.3m～0.5m，内外坡比宜采用1:1。</w:t>
      </w:r>
    </w:p>
    <w:p w14:paraId="1E5E8157">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 xml:space="preserve">18 </w:t>
      </w:r>
      <w:r>
        <w:rPr>
          <w:rFonts w:ascii="Times New Roman" w:hAnsi="Times New Roman" w:cs="Times New Roman"/>
          <w:sz w:val="21"/>
          <w:szCs w:val="24"/>
        </w:rPr>
        <w:t xml:space="preserve"> </w:t>
      </w:r>
      <w:r>
        <w:rPr>
          <w:rFonts w:ascii="Times New Roman" w:hAnsi="Times New Roman" w:cs="Times New Roman"/>
          <w:sz w:val="21"/>
          <w:szCs w:val="21"/>
        </w:rPr>
        <w:t>引水渠</w:t>
      </w:r>
      <w:r>
        <w:rPr>
          <w:rFonts w:ascii="Times New Roman" w:hAnsi="Times New Roman" w:cs="Times New Roman"/>
          <w:sz w:val="21"/>
          <w:szCs w:val="24"/>
        </w:rPr>
        <w:t>排水口设计应符合下列规定：</w:t>
      </w:r>
    </w:p>
    <w:p w14:paraId="593295F3">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排水口高程与位置应随着围埂内地面的升高而变动，保持排水口略高于淤泥面而低于围埂。</w:t>
      </w:r>
    </w:p>
    <w:p w14:paraId="4A0BE531">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应用柴草或砖石作临时性砌护，并应安排好排水的去处，防止冲刷。</w:t>
      </w:r>
    </w:p>
    <w:p w14:paraId="4554DAF1">
      <w:pPr>
        <w:spacing w:line="360" w:lineRule="auto"/>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sz w:val="21"/>
          <w:szCs w:val="24"/>
        </w:rPr>
        <w:t>.</w:t>
      </w:r>
      <w:r>
        <w:rPr>
          <w:rFonts w:ascii="Times New Roman" w:hAnsi="Times New Roman" w:eastAsia="黑体" w:cs="Times New Roman"/>
          <w:b/>
          <w:sz w:val="21"/>
          <w:szCs w:val="24"/>
        </w:rPr>
        <w:t>19</w:t>
      </w:r>
      <w:r>
        <w:rPr>
          <w:rFonts w:ascii="Times New Roman" w:hAnsi="Times New Roman" w:eastAsia="黑体" w:cs="Times New Roman"/>
          <w:sz w:val="21"/>
          <w:szCs w:val="24"/>
        </w:rPr>
        <w:t xml:space="preserve">  </w:t>
      </w:r>
      <w:r>
        <w:rPr>
          <w:rFonts w:ascii="Times New Roman" w:hAnsi="Times New Roman" w:cs="Times New Roman"/>
          <w:sz w:val="21"/>
          <w:szCs w:val="21"/>
        </w:rPr>
        <w:t>引水拉沙造地应配套林网、道路、灌渠、排洪渠及周边防沙设施。</w:t>
      </w:r>
    </w:p>
    <w:p w14:paraId="0583861E">
      <w:pPr>
        <w:keepNext/>
        <w:keepLines/>
        <w:spacing w:before="260" w:after="260" w:line="415" w:lineRule="auto"/>
        <w:jc w:val="center"/>
        <w:outlineLvl w:val="1"/>
        <w:rPr>
          <w:rFonts w:ascii="Times New Roman" w:hAnsi="Times New Roman" w:eastAsia="黑体" w:cs="Times New Roman"/>
          <w:bCs/>
          <w:sz w:val="30"/>
          <w:szCs w:val="32"/>
        </w:rPr>
      </w:pPr>
      <w:bookmarkStart w:id="224" w:name="_Toc5757"/>
      <w:bookmarkStart w:id="225" w:name="_Toc310525428"/>
      <w:bookmarkStart w:id="226" w:name="_Toc319512934"/>
      <w:bookmarkStart w:id="227" w:name="_Toc304365793"/>
      <w:bookmarkStart w:id="228" w:name="_Toc323828673"/>
      <w:bookmarkStart w:id="229" w:name="_Toc16857"/>
      <w:bookmarkStart w:id="230" w:name="_Toc304387185"/>
      <w:bookmarkStart w:id="231" w:name="_Toc324287587"/>
      <w:bookmarkStart w:id="232" w:name="_Toc310842218"/>
      <w:bookmarkStart w:id="233" w:name="_Toc319591675"/>
      <w:bookmarkStart w:id="234" w:name="_Toc324280260"/>
      <w:bookmarkStart w:id="235" w:name="_Toc323805637"/>
      <w:bookmarkStart w:id="236" w:name="_Toc360526276"/>
      <w:bookmarkStart w:id="237" w:name="_Toc360528870"/>
      <w:bookmarkStart w:id="238" w:name="_Toc27278"/>
      <w:bookmarkStart w:id="239" w:name="_Toc360519996"/>
      <w:bookmarkStart w:id="240" w:name="_Toc304365278"/>
      <w:bookmarkStart w:id="241" w:name="_Toc324282295"/>
      <w:r>
        <w:rPr>
          <w:rFonts w:ascii="Times New Roman" w:hAnsi="Times New Roman" w:eastAsia="黑体" w:cs="Times New Roman"/>
          <w:bCs/>
          <w:sz w:val="30"/>
          <w:szCs w:val="32"/>
        </w:rPr>
        <w:t>4.10 支毛沟治理工程</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01323100">
      <w:pPr>
        <w:keepNext/>
        <w:keepLines/>
        <w:spacing w:before="260" w:after="260"/>
        <w:jc w:val="center"/>
        <w:outlineLvl w:val="2"/>
        <w:rPr>
          <w:rFonts w:ascii="Times New Roman" w:hAnsi="Times New Roman" w:eastAsia="黑体" w:cs="Times New Roman"/>
          <w:bCs/>
          <w:sz w:val="24"/>
          <w:szCs w:val="24"/>
        </w:rPr>
      </w:pPr>
      <w:bookmarkStart w:id="242" w:name="_Toc360519997"/>
      <w:bookmarkStart w:id="243" w:name="_Toc360528871"/>
      <w:bookmarkStart w:id="244" w:name="_Toc310842219"/>
      <w:bookmarkStart w:id="245" w:name="_Toc360526277"/>
      <w:bookmarkStart w:id="246" w:name="_Toc319512935"/>
      <w:bookmarkStart w:id="247" w:name="_Toc323828674"/>
      <w:bookmarkStart w:id="248" w:name="_Toc324280261"/>
      <w:bookmarkStart w:id="249" w:name="_Toc323805638"/>
      <w:bookmarkStart w:id="250" w:name="_Toc310525429"/>
      <w:bookmarkStart w:id="251" w:name="_Toc324287588"/>
      <w:bookmarkStart w:id="252" w:name="_Toc319591676"/>
      <w:bookmarkStart w:id="253" w:name="_Toc324282296"/>
      <w:bookmarkStart w:id="254" w:name="_Toc302975530"/>
      <w:bookmarkStart w:id="255" w:name="_Toc304365279"/>
      <w:bookmarkStart w:id="256" w:name="_Toc304365794"/>
      <w:bookmarkStart w:id="257" w:name="_Toc304387186"/>
      <w:r>
        <w:rPr>
          <w:rFonts w:ascii="Times New Roman" w:hAnsi="Times New Roman" w:eastAsia="黑体" w:cs="Times New Roman"/>
          <w:bCs/>
          <w:sz w:val="24"/>
          <w:szCs w:val="24"/>
        </w:rPr>
        <w:t>Ⅰ 一般规定</w:t>
      </w:r>
      <w:bookmarkEnd w:id="242"/>
      <w:bookmarkEnd w:id="243"/>
      <w:bookmarkEnd w:id="244"/>
      <w:bookmarkEnd w:id="245"/>
      <w:bookmarkEnd w:id="246"/>
      <w:bookmarkEnd w:id="247"/>
      <w:bookmarkEnd w:id="248"/>
      <w:bookmarkEnd w:id="249"/>
      <w:bookmarkEnd w:id="250"/>
      <w:bookmarkEnd w:id="251"/>
      <w:bookmarkEnd w:id="252"/>
      <w:bookmarkEnd w:id="253"/>
    </w:p>
    <w:p w14:paraId="0A4CEA24">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支毛沟治理工程主要适用于我国北方山地区、丘陵区、高塬区和漫川漫岗区以及南方部分沟蚀严重地区。</w:t>
      </w:r>
    </w:p>
    <w:p w14:paraId="50BF7594">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4.10.2</w:t>
      </w:r>
      <w:r>
        <w:rPr>
          <w:rFonts w:ascii="Times New Roman" w:hAnsi="Times New Roman" w:cs="Times New Roman"/>
          <w:sz w:val="21"/>
          <w:szCs w:val="21"/>
        </w:rPr>
        <w:t xml:space="preserve">  支毛沟治理工程应包括沟头防护、谷坊、护坡、削坡、填埋修复和侵蚀沟地下排水等。</w:t>
      </w:r>
    </w:p>
    <w:bookmarkEnd w:id="254"/>
    <w:bookmarkEnd w:id="255"/>
    <w:bookmarkEnd w:id="256"/>
    <w:bookmarkEnd w:id="257"/>
    <w:p w14:paraId="3CD721F7">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4.10.3</w:t>
      </w:r>
      <w:r>
        <w:rPr>
          <w:rFonts w:ascii="Times New Roman" w:hAnsi="Times New Roman" w:cs="Times New Roman"/>
          <w:bCs/>
          <w:sz w:val="21"/>
          <w:szCs w:val="21"/>
        </w:rPr>
        <w:t xml:space="preserve">  </w:t>
      </w:r>
      <w:r>
        <w:rPr>
          <w:rFonts w:ascii="Times New Roman" w:hAnsi="Times New Roman" w:cs="Times New Roman"/>
          <w:sz w:val="21"/>
          <w:szCs w:val="21"/>
        </w:rPr>
        <w:t>沟头防护工程应包括蓄水型和排水型两大类型。蓄水型沟头防护应包括围埂式和围埂蓄水式，排水型沟头防护应包括跌水式和悬臂式。</w:t>
      </w:r>
    </w:p>
    <w:p w14:paraId="7ADEFD54">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4.10.4</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谷坊按建筑材料不同，可分为浆砌石谷坊、干砌石谷坊、土谷坊、混凝土预制块谷坊、柳桩编篱谷坊、多排密植谷坊、编织袋谷坊和石笼谷坊等型式。</w:t>
      </w:r>
    </w:p>
    <w:p w14:paraId="1406BCDD">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4.10.5</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除柳桩编篱谷坊、多排密植谷坊等植物谷坊外，谷坊出口处应配套护坡、护底等防护措施。末级谷坊出口处应布设消力池、海漫等消能防冲设施。</w:t>
      </w:r>
    </w:p>
    <w:p w14:paraId="1561588A">
      <w:pPr>
        <w:keepNext/>
        <w:keepLines/>
        <w:spacing w:before="260" w:after="260"/>
        <w:jc w:val="center"/>
        <w:outlineLvl w:val="2"/>
        <w:rPr>
          <w:rFonts w:ascii="Times New Roman" w:hAnsi="Times New Roman" w:eastAsia="黑体" w:cs="Times New Roman"/>
          <w:bCs/>
          <w:sz w:val="24"/>
          <w:szCs w:val="24"/>
        </w:rPr>
      </w:pPr>
      <w:bookmarkStart w:id="258" w:name="_Toc310842220"/>
      <w:bookmarkStart w:id="259" w:name="_Toc323828675"/>
      <w:bookmarkStart w:id="260" w:name="_Toc310525430"/>
      <w:bookmarkStart w:id="261" w:name="_Toc323805639"/>
      <w:bookmarkStart w:id="262" w:name="_Toc319512936"/>
      <w:bookmarkStart w:id="263" w:name="_Toc319591677"/>
      <w:bookmarkStart w:id="264" w:name="_Toc324287589"/>
      <w:bookmarkStart w:id="265" w:name="_Toc324282297"/>
      <w:bookmarkStart w:id="266" w:name="_Toc360519998"/>
      <w:bookmarkStart w:id="267" w:name="_Toc324280262"/>
      <w:bookmarkStart w:id="268" w:name="_Toc360528872"/>
      <w:bookmarkStart w:id="269" w:name="_Toc360526278"/>
      <w:r>
        <w:rPr>
          <w:rFonts w:ascii="Times New Roman" w:hAnsi="Times New Roman" w:eastAsia="黑体" w:cs="Times New Roman"/>
          <w:bCs/>
          <w:sz w:val="24"/>
          <w:szCs w:val="24"/>
        </w:rPr>
        <w:t>Ⅱ 工程布置</w:t>
      </w:r>
      <w:bookmarkEnd w:id="258"/>
      <w:bookmarkEnd w:id="259"/>
      <w:bookmarkEnd w:id="260"/>
      <w:bookmarkEnd w:id="261"/>
      <w:bookmarkEnd w:id="262"/>
      <w:bookmarkEnd w:id="263"/>
      <w:bookmarkEnd w:id="264"/>
      <w:bookmarkEnd w:id="265"/>
      <w:bookmarkEnd w:id="266"/>
      <w:bookmarkEnd w:id="267"/>
      <w:bookmarkEnd w:id="268"/>
      <w:bookmarkEnd w:id="269"/>
    </w:p>
    <w:p w14:paraId="084597FE">
      <w:pPr>
        <w:snapToGrid w:val="0"/>
        <w:spacing w:line="360" w:lineRule="auto"/>
        <w:rPr>
          <w:rFonts w:ascii="Times New Roman" w:hAnsi="Times New Roman" w:cs="Times New Roman"/>
          <w:sz w:val="21"/>
          <w:szCs w:val="24"/>
        </w:rPr>
      </w:pPr>
      <w:r>
        <w:rPr>
          <w:rFonts w:ascii="Times New Roman" w:hAnsi="Times New Roman" w:eastAsia="黑体" w:cs="Times New Roman"/>
          <w:b/>
          <w:bCs/>
          <w:sz w:val="21"/>
          <w:szCs w:val="24"/>
        </w:rPr>
        <w:t>4.10.6</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沟头防护应布设在上方有坡面天然集流槽，且暴雨产生的径流由集流槽泄入沟头，引起沟头前进的区域。</w:t>
      </w:r>
    </w:p>
    <w:p w14:paraId="7CF9E2C4">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4.10.7</w:t>
      </w:r>
      <w:r>
        <w:rPr>
          <w:rFonts w:ascii="Times New Roman" w:hAnsi="Times New Roman" w:cs="Times New Roman"/>
          <w:sz w:val="21"/>
          <w:szCs w:val="24"/>
        </w:rPr>
        <w:t xml:space="preserve">  </w:t>
      </w:r>
      <w:r>
        <w:rPr>
          <w:rFonts w:ascii="Times New Roman" w:hAnsi="Times New Roman" w:cs="Times New Roman"/>
          <w:sz w:val="21"/>
          <w:szCs w:val="21"/>
        </w:rPr>
        <w:t>谷坊、护坡、削坡、填埋修复和侵蚀沟地下排水等措施，应布设在沟壑侵蚀发育的沟段。</w:t>
      </w:r>
    </w:p>
    <w:p w14:paraId="3B460813">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4.10.8</w:t>
      </w:r>
      <w:r>
        <w:rPr>
          <w:rFonts w:ascii="Times New Roman" w:hAnsi="Times New Roman" w:cs="Times New Roman"/>
          <w:sz w:val="21"/>
          <w:szCs w:val="24"/>
        </w:rPr>
        <w:t xml:space="preserve">  </w:t>
      </w:r>
      <w:r>
        <w:rPr>
          <w:rFonts w:ascii="Times New Roman" w:hAnsi="Times New Roman" w:cs="Times New Roman"/>
          <w:sz w:val="21"/>
          <w:szCs w:val="21"/>
        </w:rPr>
        <w:t>谷坊布置应符合下列规定：</w:t>
      </w:r>
    </w:p>
    <w:p w14:paraId="2A6502EB">
      <w:pPr>
        <w:snapToGrid w:val="0"/>
        <w:spacing w:line="360" w:lineRule="auto"/>
        <w:ind w:firstLine="401" w:firstLineChars="190"/>
        <w:rPr>
          <w:rFonts w:ascii="Times New Roman" w:hAnsi="Times New Roman" w:cs="Times New Roman"/>
          <w:sz w:val="21"/>
          <w:szCs w:val="24"/>
        </w:rPr>
      </w:pPr>
      <w:r>
        <w:rPr>
          <w:rFonts w:ascii="Times New Roman" w:hAnsi="Times New Roman" w:eastAsia="黑体" w:cs="Times New Roman"/>
          <w:b/>
          <w:bCs/>
          <w:sz w:val="21"/>
          <w:szCs w:val="24"/>
        </w:rPr>
        <w:t>1</w:t>
      </w:r>
      <w:r>
        <w:rPr>
          <w:rFonts w:ascii="Times New Roman" w:hAnsi="Times New Roman" w:cs="Times New Roman"/>
          <w:sz w:val="21"/>
          <w:szCs w:val="21"/>
        </w:rPr>
        <w:t xml:space="preserve">  </w:t>
      </w:r>
      <w:r>
        <w:rPr>
          <w:rFonts w:ascii="Times New Roman" w:hAnsi="Times New Roman" w:cs="Times New Roman"/>
          <w:sz w:val="21"/>
          <w:szCs w:val="24"/>
        </w:rPr>
        <w:t>应修建在沟底比降5%</w:t>
      </w:r>
      <w:r>
        <w:rPr>
          <w:rFonts w:ascii="Times New Roman" w:hAnsi="Times New Roman" w:cs="Times New Roman"/>
          <w:b/>
          <w:kern w:val="0"/>
          <w:sz w:val="21"/>
          <w:szCs w:val="21"/>
        </w:rPr>
        <w:t>～</w:t>
      </w:r>
      <w:r>
        <w:rPr>
          <w:rFonts w:ascii="Times New Roman" w:hAnsi="Times New Roman" w:cs="Times New Roman"/>
          <w:sz w:val="21"/>
          <w:szCs w:val="24"/>
        </w:rPr>
        <w:t>15%、沟底下切剧烈发展的沟段。</w:t>
      </w:r>
    </w:p>
    <w:p w14:paraId="1618E45A">
      <w:pPr>
        <w:snapToGrid w:val="0"/>
        <w:spacing w:line="360" w:lineRule="auto"/>
        <w:ind w:firstLine="403" w:firstLineChars="191"/>
        <w:rPr>
          <w:rFonts w:ascii="Times New Roman" w:hAnsi="Times New Roman" w:cs="Times New Roman"/>
          <w:sz w:val="21"/>
          <w:szCs w:val="24"/>
        </w:rPr>
      </w:pPr>
      <w:r>
        <w:rPr>
          <w:rFonts w:ascii="Times New Roman" w:hAnsi="Times New Roman" w:eastAsia="黑体" w:cs="Times New Roman"/>
          <w:b/>
          <w:bCs/>
          <w:sz w:val="21"/>
          <w:szCs w:val="24"/>
        </w:rPr>
        <w:t>2</w:t>
      </w:r>
      <w:r>
        <w:rPr>
          <w:rFonts w:ascii="Times New Roman" w:hAnsi="Times New Roman" w:cs="Times New Roman"/>
          <w:sz w:val="21"/>
          <w:szCs w:val="24"/>
        </w:rPr>
        <w:t xml:space="preserve">  应按“顶底相照”的原则，从下而上布设谷坊。</w:t>
      </w:r>
    </w:p>
    <w:p w14:paraId="12B62046">
      <w:pPr>
        <w:snapToGri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bCs/>
          <w:sz w:val="21"/>
          <w:szCs w:val="24"/>
        </w:rPr>
        <w:t>3</w:t>
      </w:r>
      <w:r>
        <w:rPr>
          <w:rFonts w:ascii="Times New Roman" w:hAnsi="Times New Roman" w:cs="Times New Roman"/>
          <w:sz w:val="21"/>
          <w:szCs w:val="24"/>
        </w:rPr>
        <w:t xml:space="preserve">  谷坊选址应符合下列要求：“口小肚大”，工程量小，库容大；沟底与岸坡地形、地质条件较好，无孔洞或破碎地层及不易清除的乱石、杂物；取用建筑材料比较方便。</w:t>
      </w:r>
    </w:p>
    <w:p w14:paraId="567284E1">
      <w:pPr>
        <w:keepNext/>
        <w:keepLines/>
        <w:spacing w:before="260" w:after="260"/>
        <w:jc w:val="center"/>
        <w:outlineLvl w:val="2"/>
        <w:rPr>
          <w:rFonts w:ascii="Times New Roman" w:hAnsi="Times New Roman" w:eastAsia="黑体" w:cs="Times New Roman"/>
          <w:bCs/>
          <w:sz w:val="24"/>
          <w:szCs w:val="24"/>
        </w:rPr>
      </w:pPr>
      <w:bookmarkStart w:id="270" w:name="_Toc310525431"/>
      <w:bookmarkStart w:id="271" w:name="_Toc324287590"/>
      <w:bookmarkStart w:id="272" w:name="_Toc360526279"/>
      <w:bookmarkStart w:id="273" w:name="_Toc324282298"/>
      <w:bookmarkStart w:id="274" w:name="_Toc360519999"/>
      <w:bookmarkStart w:id="275" w:name="_Toc319591678"/>
      <w:bookmarkStart w:id="276" w:name="_Toc319512937"/>
      <w:bookmarkStart w:id="277" w:name="_Toc360528873"/>
      <w:bookmarkStart w:id="278" w:name="_Toc323805640"/>
      <w:bookmarkStart w:id="279" w:name="_Toc324280263"/>
      <w:bookmarkStart w:id="280" w:name="_Toc310842221"/>
      <w:bookmarkStart w:id="281" w:name="_Toc323828676"/>
      <w:r>
        <w:rPr>
          <w:rFonts w:ascii="Times New Roman" w:hAnsi="Times New Roman" w:eastAsia="黑体" w:cs="Times New Roman"/>
          <w:bCs/>
          <w:sz w:val="24"/>
          <w:szCs w:val="24"/>
        </w:rPr>
        <w:t>Ⅲ 沟头防护设计</w:t>
      </w:r>
      <w:bookmarkEnd w:id="270"/>
      <w:bookmarkEnd w:id="271"/>
      <w:bookmarkEnd w:id="272"/>
      <w:bookmarkEnd w:id="273"/>
      <w:bookmarkEnd w:id="274"/>
      <w:bookmarkEnd w:id="275"/>
      <w:bookmarkEnd w:id="276"/>
      <w:bookmarkEnd w:id="277"/>
      <w:bookmarkEnd w:id="278"/>
      <w:bookmarkEnd w:id="279"/>
      <w:bookmarkEnd w:id="280"/>
      <w:bookmarkEnd w:id="281"/>
    </w:p>
    <w:p w14:paraId="2F161C61">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4.10.9</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蓄水型沟头防护设计应符合下列要求：</w:t>
      </w:r>
    </w:p>
    <w:p w14:paraId="20870810">
      <w:pPr>
        <w:snapToGrid w:val="0"/>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bCs/>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沟埂</w:t>
      </w:r>
      <w:r>
        <w:rPr>
          <w:rFonts w:ascii="Times New Roman" w:hAnsi="Times New Roman" w:cs="Times New Roman"/>
          <w:kern w:val="0"/>
          <w:sz w:val="21"/>
          <w:szCs w:val="21"/>
        </w:rPr>
        <w:t>位置应根据沟头深度确定，沟头深不宜大于10m，沟埂位置宜距沟头3m～5m。沟坡较陡时，应注意避开存在陷穴或垂直裂缝的沟坡。</w:t>
      </w:r>
    </w:p>
    <w:p w14:paraId="42F8C64B">
      <w:pPr>
        <w:snapToGrid w:val="0"/>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bCs/>
          <w:sz w:val="21"/>
          <w:szCs w:val="24"/>
        </w:rPr>
        <w:t>2</w:t>
      </w:r>
      <w:r>
        <w:rPr>
          <w:rFonts w:ascii="Times New Roman" w:hAnsi="Times New Roman" w:cs="Times New Roman"/>
          <w:kern w:val="0"/>
          <w:sz w:val="21"/>
          <w:szCs w:val="21"/>
        </w:rPr>
        <w:t xml:space="preserve">  沟埂应采取土质梯形断面，顶宽宜取0.4m～0.5m，</w:t>
      </w:r>
      <w:r>
        <w:rPr>
          <w:rFonts w:ascii="Times New Roman" w:hAnsi="Times New Roman" w:cs="Times New Roman"/>
          <w:sz w:val="21"/>
          <w:szCs w:val="21"/>
        </w:rPr>
        <w:t>埂高</w:t>
      </w:r>
      <w:r>
        <w:rPr>
          <w:rFonts w:ascii="Times New Roman" w:hAnsi="Times New Roman" w:cs="Times New Roman"/>
          <w:kern w:val="0"/>
          <w:sz w:val="21"/>
          <w:szCs w:val="21"/>
        </w:rPr>
        <w:t>宜取</w:t>
      </w:r>
      <w:r>
        <w:rPr>
          <w:rFonts w:ascii="Times New Roman" w:hAnsi="Times New Roman" w:cs="Times New Roman"/>
          <w:sz w:val="21"/>
          <w:szCs w:val="21"/>
        </w:rPr>
        <w:t>0.8m～1.0m，内外坡比</w:t>
      </w:r>
      <w:r>
        <w:rPr>
          <w:rFonts w:ascii="Times New Roman" w:hAnsi="Times New Roman" w:cs="Times New Roman"/>
          <w:kern w:val="0"/>
          <w:sz w:val="21"/>
          <w:szCs w:val="21"/>
        </w:rPr>
        <w:t>均宜为</w:t>
      </w:r>
      <w:r>
        <w:rPr>
          <w:rFonts w:ascii="Times New Roman" w:hAnsi="Times New Roman" w:cs="Times New Roman"/>
          <w:sz w:val="21"/>
          <w:szCs w:val="21"/>
        </w:rPr>
        <w:t>1:1，围埂高度应根据集水区来水量确定</w:t>
      </w:r>
      <w:r>
        <w:rPr>
          <w:rFonts w:ascii="Times New Roman" w:hAnsi="Times New Roman" w:cs="Times New Roman"/>
          <w:kern w:val="0"/>
          <w:sz w:val="21"/>
          <w:szCs w:val="21"/>
        </w:rPr>
        <w:t>。</w:t>
      </w:r>
    </w:p>
    <w:p w14:paraId="34ED9CAB">
      <w:pPr>
        <w:snapToGrid w:val="0"/>
        <w:spacing w:line="360" w:lineRule="auto"/>
        <w:ind w:firstLine="413" w:firstLineChars="196"/>
        <w:rPr>
          <w:rFonts w:ascii="Times New Roman" w:hAnsi="Times New Roman" w:cs="Times New Roman"/>
          <w:sz w:val="21"/>
          <w:szCs w:val="21"/>
        </w:rPr>
      </w:pPr>
      <w:r>
        <w:rPr>
          <w:rFonts w:ascii="Times New Roman" w:hAnsi="Times New Roman" w:eastAsia="黑体" w:cs="Times New Roman"/>
          <w:b/>
          <w:bCs/>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围埂蓄水量应按下式计算：</w:t>
      </w:r>
    </w:p>
    <w:p w14:paraId="5D928917">
      <w:pPr>
        <w:tabs>
          <w:tab w:val="left" w:pos="8222"/>
        </w:tabs>
        <w:wordWrap w:val="0"/>
        <w:snapToGrid w:val="0"/>
        <w:spacing w:line="360" w:lineRule="auto"/>
        <w:ind w:right="33" w:firstLine="485" w:firstLineChars="230"/>
        <w:jc w:val="right"/>
        <w:rPr>
          <w:rFonts w:ascii="Times New Roman" w:hAnsi="Times New Roman" w:cs="Times New Roman"/>
          <w:sz w:val="21"/>
          <w:szCs w:val="21"/>
        </w:rPr>
      </w:pPr>
      <w:r>
        <w:rPr>
          <w:rFonts w:ascii="Times New Roman" w:hAnsi="Times New Roman" w:cs="Times New Roman"/>
          <w:b/>
          <w:i/>
          <w:iCs/>
          <w:position w:val="-24"/>
          <w:sz w:val="21"/>
          <w:szCs w:val="21"/>
        </w:rPr>
        <w:object>
          <v:shape id="_x0000_i1072" o:spt="75" type="#_x0000_t75" style="height:25.2pt;width:76.2pt;" o:ole="t" filled="f" o:preferrelative="t" stroked="f" coordsize="21600,21600">
            <v:path/>
            <v:fill on="f" focussize="0,0"/>
            <v:stroke on="f" joinstyle="miter"/>
            <v:imagedata r:id="rId116" o:title=""/>
            <o:lock v:ext="edit" aspectratio="t"/>
            <w10:wrap type="none"/>
            <w10:anchorlock/>
          </v:shape>
          <o:OLEObject Type="Embed" ProgID="Equation.3" ShapeID="_x0000_i1072" DrawAspect="Content" ObjectID="_1468075768" r:id="rId115">
            <o:LockedField>false</o:LockedField>
          </o:OLEObject>
        </w:object>
      </w:r>
      <w:r>
        <w:rPr>
          <w:rFonts w:ascii="Times New Roman" w:hAnsi="Times New Roman" w:cs="Times New Roman"/>
          <w:i/>
          <w:iCs/>
          <w:sz w:val="21"/>
          <w:szCs w:val="21"/>
        </w:rPr>
        <w:t xml:space="preserve">                          </w:t>
      </w:r>
      <w:r>
        <w:rPr>
          <w:rFonts w:ascii="Times New Roman" w:hAnsi="Times New Roman" w:cs="Times New Roman"/>
          <w:kern w:val="0"/>
          <w:sz w:val="21"/>
          <w:szCs w:val="21"/>
        </w:rPr>
        <w:t>（4.10.9）</w:t>
      </w:r>
    </w:p>
    <w:p w14:paraId="776022C1">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V</w:t>
      </w:r>
      <w:r>
        <w:rPr>
          <w:rFonts w:ascii="Times New Roman" w:hAnsi="Times New Roman" w:cs="Times New Roman"/>
          <w:b/>
          <w:sz w:val="24"/>
          <w:szCs w:val="21"/>
        </w:rPr>
        <w:t>——</w:t>
      </w:r>
      <w:r>
        <w:rPr>
          <w:rFonts w:ascii="Times New Roman" w:hAnsi="Times New Roman" w:cs="Times New Roman"/>
          <w:sz w:val="21"/>
          <w:szCs w:val="21"/>
        </w:rPr>
        <w:t>围埂蓄水量（m</w:t>
      </w:r>
      <w:r>
        <w:rPr>
          <w:rFonts w:ascii="Times New Roman" w:hAnsi="Times New Roman" w:cs="Times New Roman"/>
          <w:sz w:val="21"/>
          <w:szCs w:val="21"/>
          <w:vertAlign w:val="superscript"/>
        </w:rPr>
        <w:t>3</w:t>
      </w:r>
      <w:r>
        <w:rPr>
          <w:rFonts w:ascii="Times New Roman" w:hAnsi="Times New Roman" w:cs="Times New Roman"/>
          <w:sz w:val="21"/>
          <w:szCs w:val="21"/>
        </w:rPr>
        <w:t>/s）；</w:t>
      </w:r>
    </w:p>
    <w:p w14:paraId="2DCA4D4F">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L</w:t>
      </w:r>
      <w:r>
        <w:rPr>
          <w:rFonts w:ascii="Times New Roman" w:hAnsi="Times New Roman" w:cs="Times New Roman"/>
          <w:b/>
          <w:sz w:val="24"/>
          <w:szCs w:val="21"/>
        </w:rPr>
        <w:t>——</w:t>
      </w:r>
      <w:r>
        <w:rPr>
          <w:rFonts w:ascii="Times New Roman" w:hAnsi="Times New Roman" w:cs="Times New Roman"/>
          <w:sz w:val="21"/>
          <w:szCs w:val="21"/>
        </w:rPr>
        <w:t>围埂长度（m）；</w:t>
      </w:r>
    </w:p>
    <w:p w14:paraId="536C58BC">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B</w:t>
      </w:r>
      <w:r>
        <w:rPr>
          <w:rFonts w:ascii="Times New Roman" w:hAnsi="Times New Roman" w:cs="Times New Roman"/>
          <w:b/>
          <w:sz w:val="24"/>
          <w:szCs w:val="21"/>
        </w:rPr>
        <w:t>——</w:t>
      </w:r>
      <w:r>
        <w:rPr>
          <w:rFonts w:ascii="Times New Roman" w:hAnsi="Times New Roman" w:cs="Times New Roman"/>
          <w:sz w:val="21"/>
          <w:szCs w:val="21"/>
        </w:rPr>
        <w:t>回水长度（m）；</w:t>
      </w:r>
    </w:p>
    <w:p w14:paraId="05EEABDF">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H</w:t>
      </w:r>
      <w:r>
        <w:rPr>
          <w:rFonts w:ascii="Times New Roman" w:hAnsi="Times New Roman" w:cs="Times New Roman"/>
          <w:b/>
          <w:sz w:val="24"/>
          <w:szCs w:val="21"/>
        </w:rPr>
        <w:t>——</w:t>
      </w:r>
      <w:r>
        <w:rPr>
          <w:rFonts w:ascii="Times New Roman" w:hAnsi="Times New Roman" w:cs="Times New Roman"/>
          <w:sz w:val="21"/>
          <w:szCs w:val="21"/>
        </w:rPr>
        <w:t>埂内蓄水深（m）；</w:t>
      </w:r>
    </w:p>
    <w:p w14:paraId="3982DDAE">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i</w:t>
      </w:r>
      <w:r>
        <w:rPr>
          <w:rFonts w:ascii="Times New Roman" w:hAnsi="Times New Roman" w:cs="Times New Roman"/>
          <w:b/>
          <w:sz w:val="24"/>
          <w:szCs w:val="21"/>
        </w:rPr>
        <w:t>——</w:t>
      </w:r>
      <w:r>
        <w:rPr>
          <w:rFonts w:ascii="Times New Roman" w:hAnsi="Times New Roman" w:cs="Times New Roman"/>
          <w:sz w:val="21"/>
          <w:szCs w:val="21"/>
        </w:rPr>
        <w:t xml:space="preserve">地面比降（%）。 </w:t>
      </w:r>
    </w:p>
    <w:p w14:paraId="638746FE">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sz w:val="21"/>
          <w:szCs w:val="21"/>
        </w:rPr>
        <w:t>围埂蓄水量示意图见图4.10.9</w:t>
      </w:r>
    </w:p>
    <w:p w14:paraId="4D6A6D34">
      <w:pPr>
        <w:snapToGrid w:val="0"/>
        <w:spacing w:line="360" w:lineRule="auto"/>
        <w:rPr>
          <w:rFonts w:ascii="Times New Roman" w:hAnsi="Times New Roman" w:cs="Times New Roman"/>
          <w:sz w:val="21"/>
          <w:szCs w:val="21"/>
        </w:rPr>
      </w:pPr>
      <w:r>
        <w:rPr>
          <w:rFonts w:ascii="Times New Roman" w:hAnsi="Times New Roman" w:cs="Times New Roman"/>
        </w:rPr>
        <w:drawing>
          <wp:inline distT="0" distB="0" distL="114300" distR="114300">
            <wp:extent cx="4758690" cy="1067435"/>
            <wp:effectExtent l="0" t="0" r="11430" b="1460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pic:cNvPicPr>
                  </pic:nvPicPr>
                  <pic:blipFill>
                    <a:blip r:embed="rId117"/>
                    <a:stretch>
                      <a:fillRect/>
                    </a:stretch>
                  </pic:blipFill>
                  <pic:spPr>
                    <a:xfrm>
                      <a:off x="0" y="0"/>
                      <a:ext cx="4758690" cy="1067435"/>
                    </a:xfrm>
                    <a:prstGeom prst="rect">
                      <a:avLst/>
                    </a:prstGeom>
                    <a:noFill/>
                    <a:ln>
                      <a:noFill/>
                    </a:ln>
                  </pic:spPr>
                </pic:pic>
              </a:graphicData>
            </a:graphic>
          </wp:inline>
        </w:drawing>
      </w:r>
    </w:p>
    <w:p w14:paraId="7DD89BDD">
      <w:pPr>
        <w:snapToGrid w:val="0"/>
        <w:spacing w:line="360" w:lineRule="auto"/>
        <w:jc w:val="center"/>
        <w:rPr>
          <w:rFonts w:ascii="黑体" w:hAnsi="黑体" w:eastAsia="黑体" w:cs="黑体"/>
          <w:sz w:val="18"/>
          <w:szCs w:val="18"/>
        </w:rPr>
      </w:pPr>
      <w:r>
        <w:rPr>
          <w:rFonts w:hint="eastAsia" w:ascii="黑体" w:hAnsi="黑体" w:eastAsia="黑体" w:cs="黑体"/>
          <w:sz w:val="18"/>
          <w:szCs w:val="18"/>
        </w:rPr>
        <w:t>图</w:t>
      </w:r>
      <w:r>
        <w:rPr>
          <w:rFonts w:ascii="Times New Roman" w:hAnsi="Times New Roman" w:eastAsia="黑体" w:cs="Times New Roman"/>
          <w:sz w:val="18"/>
          <w:szCs w:val="18"/>
        </w:rPr>
        <w:t>4.10.9</w:t>
      </w:r>
      <w:r>
        <w:rPr>
          <w:rFonts w:hint="eastAsia" w:ascii="黑体" w:hAnsi="黑体" w:eastAsia="黑体" w:cs="黑体"/>
          <w:sz w:val="18"/>
          <w:szCs w:val="18"/>
        </w:rPr>
        <w:t xml:space="preserve">  围埂蓄水量示意图</w:t>
      </w:r>
    </w:p>
    <w:p w14:paraId="02C137A1">
      <w:pPr>
        <w:autoSpaceDE w:val="0"/>
        <w:autoSpaceDN w:val="0"/>
        <w:adjustRightInd w:val="0"/>
        <w:snapToGrid w:val="0"/>
        <w:spacing w:line="360" w:lineRule="auto"/>
        <w:ind w:firstLine="413" w:firstLineChars="196"/>
        <w:jc w:val="left"/>
        <w:rPr>
          <w:rFonts w:ascii="Times New Roman" w:hAnsi="Times New Roman" w:cs="Times New Roman"/>
          <w:sz w:val="21"/>
          <w:szCs w:val="21"/>
        </w:rPr>
      </w:pPr>
      <w:r>
        <w:rPr>
          <w:rFonts w:ascii="Times New Roman" w:hAnsi="Times New Roman" w:eastAsia="黑体" w:cs="Times New Roman"/>
          <w:b/>
          <w:bCs/>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w:t>
      </w:r>
      <w:r>
        <w:rPr>
          <w:rFonts w:ascii="Times New Roman" w:hAnsi="Times New Roman" w:cs="Times New Roman"/>
          <w:kern w:val="0"/>
          <w:sz w:val="21"/>
          <w:szCs w:val="21"/>
        </w:rPr>
        <w:t>围埂内水深应根据单位围埂长来水量与每延米围埂蓄水容积比值合理确定，围埂高度偏大时应修正，围埂高度偏小时应加大围埂高度或增设第二道围埂。</w:t>
      </w:r>
      <w:r>
        <w:rPr>
          <w:rFonts w:ascii="Times New Roman" w:hAnsi="Times New Roman" w:cs="Times New Roman"/>
          <w:sz w:val="21"/>
          <w:szCs w:val="21"/>
        </w:rPr>
        <w:t>围埂安全超高可取0.3m～0.5m。</w:t>
      </w:r>
    </w:p>
    <w:p w14:paraId="47B6AF91">
      <w:pPr>
        <w:autoSpaceDE w:val="0"/>
        <w:autoSpaceDN w:val="0"/>
        <w:adjustRightInd w:val="0"/>
        <w:snapToGrid w:val="0"/>
        <w:spacing w:line="360" w:lineRule="auto"/>
        <w:ind w:firstLine="413" w:firstLineChars="196"/>
        <w:jc w:val="left"/>
        <w:rPr>
          <w:rFonts w:ascii="Times New Roman" w:hAnsi="Times New Roman" w:cs="Times New Roman"/>
          <w:sz w:val="21"/>
          <w:szCs w:val="21"/>
        </w:rPr>
      </w:pPr>
      <w:r>
        <w:rPr>
          <w:rFonts w:ascii="Times New Roman" w:hAnsi="Times New Roman" w:eastAsia="黑体" w:cs="Times New Roman"/>
          <w:b/>
          <w:bCs/>
          <w:sz w:val="21"/>
          <w:szCs w:val="24"/>
        </w:rPr>
        <w:t>5</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当来水量大于蓄水量时，应在围埂上游设置蓄水池，蓄水池位置应距沟头10m以上。</w:t>
      </w:r>
    </w:p>
    <w:p w14:paraId="1303E5B8">
      <w:pPr>
        <w:autoSpaceDE w:val="0"/>
        <w:autoSpaceDN w:val="0"/>
        <w:adjustRightInd w:val="0"/>
        <w:snapToGrid w:val="0"/>
        <w:spacing w:line="360" w:lineRule="auto"/>
        <w:ind w:firstLine="413" w:firstLineChars="196"/>
        <w:jc w:val="left"/>
        <w:rPr>
          <w:rFonts w:ascii="Times New Roman" w:hAnsi="Times New Roman" w:eastAsia="黑体" w:cs="Times New Roman"/>
          <w:sz w:val="21"/>
          <w:szCs w:val="21"/>
        </w:rPr>
      </w:pPr>
      <w:r>
        <w:rPr>
          <w:rFonts w:ascii="Times New Roman" w:hAnsi="Times New Roman" w:eastAsia="黑体" w:cs="Times New Roman"/>
          <w:b/>
          <w:bCs/>
          <w:sz w:val="21"/>
          <w:szCs w:val="24"/>
        </w:rPr>
        <w:t>6</w:t>
      </w:r>
      <w:r>
        <w:rPr>
          <w:rFonts w:ascii="Times New Roman" w:hAnsi="Times New Roman" w:cs="Times New Roman"/>
          <w:sz w:val="21"/>
          <w:szCs w:val="21"/>
        </w:rPr>
        <w:t xml:space="preserve">  围埂顶部、边坡宜种植保土性能强的灌木或草。</w:t>
      </w:r>
    </w:p>
    <w:p w14:paraId="58ED1369">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4.10.10</w:t>
      </w:r>
      <w:r>
        <w:rPr>
          <w:rFonts w:ascii="Times New Roman" w:hAnsi="Times New Roman" w:cs="Times New Roman"/>
          <w:sz w:val="21"/>
          <w:szCs w:val="21"/>
        </w:rPr>
        <w:t xml:space="preserve">  排水型沟头防护设计应符合下列要求：</w:t>
      </w:r>
    </w:p>
    <w:p w14:paraId="0B70F7E9">
      <w:pPr>
        <w:autoSpaceDE w:val="0"/>
        <w:autoSpaceDN w:val="0"/>
        <w:adjustRightInd w:val="0"/>
        <w:snapToGrid w:val="0"/>
        <w:spacing w:line="360" w:lineRule="auto"/>
        <w:ind w:firstLine="411" w:firstLineChars="195"/>
        <w:jc w:val="left"/>
        <w:rPr>
          <w:rFonts w:ascii="Times New Roman" w:hAnsi="Times New Roman" w:cs="Times New Roman"/>
          <w:sz w:val="21"/>
          <w:szCs w:val="21"/>
        </w:rPr>
      </w:pPr>
      <w:r>
        <w:rPr>
          <w:rFonts w:ascii="Times New Roman" w:hAnsi="Times New Roman" w:eastAsia="黑体" w:cs="Times New Roman"/>
          <w:b/>
          <w:bCs/>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设计流量应按本标准附录A计算。</w:t>
      </w:r>
    </w:p>
    <w:p w14:paraId="47FFF05D">
      <w:pPr>
        <w:autoSpaceDE w:val="0"/>
        <w:autoSpaceDN w:val="0"/>
        <w:adjustRightInd w:val="0"/>
        <w:snapToGrid w:val="0"/>
        <w:spacing w:line="360" w:lineRule="auto"/>
        <w:ind w:firstLine="411" w:firstLineChars="195"/>
        <w:jc w:val="left"/>
        <w:rPr>
          <w:rFonts w:ascii="Times New Roman" w:hAnsi="Times New Roman" w:cs="Times New Roman"/>
          <w:kern w:val="0"/>
          <w:sz w:val="21"/>
          <w:szCs w:val="21"/>
        </w:rPr>
      </w:pPr>
      <w:r>
        <w:rPr>
          <w:rFonts w:ascii="Times New Roman" w:hAnsi="Times New Roman" w:eastAsia="黑体" w:cs="Times New Roman"/>
          <w:b/>
          <w:bCs/>
          <w:sz w:val="21"/>
          <w:szCs w:val="24"/>
        </w:rPr>
        <w:t>2</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w:t>
      </w:r>
      <w:r>
        <w:rPr>
          <w:rFonts w:ascii="Times New Roman" w:hAnsi="Times New Roman" w:cs="Times New Roman"/>
          <w:sz w:val="21"/>
          <w:szCs w:val="21"/>
        </w:rPr>
        <w:t>跌水式沟头防护建筑物应由进水口（宽顶堰）、陡坡（或多级跌水）消力池、出口海漫等组成，</w:t>
      </w:r>
      <w:r>
        <w:rPr>
          <w:rFonts w:ascii="Times New Roman" w:hAnsi="Times New Roman" w:cs="Times New Roman"/>
          <w:kern w:val="0"/>
          <w:sz w:val="21"/>
          <w:szCs w:val="21"/>
        </w:rPr>
        <w:t>设计宜按渠道跌水有关规定执行。</w:t>
      </w:r>
    </w:p>
    <w:p w14:paraId="077A6D0F">
      <w:pPr>
        <w:snapToGrid w:val="0"/>
        <w:spacing w:line="360" w:lineRule="auto"/>
        <w:ind w:firstLine="413" w:firstLineChars="196"/>
        <w:rPr>
          <w:rFonts w:ascii="Times New Roman" w:hAnsi="Times New Roman" w:cs="Times New Roman"/>
          <w:kern w:val="0"/>
          <w:sz w:val="21"/>
          <w:szCs w:val="21"/>
        </w:rPr>
      </w:pPr>
      <w:r>
        <w:rPr>
          <w:rFonts w:ascii="Times New Roman" w:hAnsi="Times New Roman" w:eastAsia="黑体" w:cs="Times New Roman"/>
          <w:b/>
          <w:bCs/>
          <w:sz w:val="21"/>
          <w:szCs w:val="24"/>
        </w:rPr>
        <w:drawing>
          <wp:anchor distT="0" distB="0" distL="114300" distR="114300" simplePos="0" relativeHeight="251674624" behindDoc="0" locked="0" layoutInCell="1" allowOverlap="1">
            <wp:simplePos x="0" y="0"/>
            <wp:positionH relativeFrom="column">
              <wp:posOffset>2035175</wp:posOffset>
            </wp:positionH>
            <wp:positionV relativeFrom="paragraph">
              <wp:posOffset>511810</wp:posOffset>
            </wp:positionV>
            <wp:extent cx="723900" cy="241300"/>
            <wp:effectExtent l="0" t="0" r="7620" b="2540"/>
            <wp:wrapNone/>
            <wp:docPr id="204" name="图片 874" descr="公示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874" descr="公示6"/>
                    <pic:cNvPicPr>
                      <a:picLocks noChangeAspect="1"/>
                    </pic:cNvPicPr>
                  </pic:nvPicPr>
                  <pic:blipFill>
                    <a:blip r:embed="rId118"/>
                    <a:stretch>
                      <a:fillRect/>
                    </a:stretch>
                  </pic:blipFill>
                  <pic:spPr>
                    <a:xfrm>
                      <a:off x="0" y="0"/>
                      <a:ext cx="723900" cy="241300"/>
                    </a:xfrm>
                    <a:prstGeom prst="rect">
                      <a:avLst/>
                    </a:prstGeom>
                    <a:noFill/>
                    <a:ln>
                      <a:noFill/>
                    </a:ln>
                  </pic:spPr>
                </pic:pic>
              </a:graphicData>
            </a:graphic>
          </wp:anchor>
        </w:drawing>
      </w:r>
      <w:r>
        <w:rPr>
          <w:rFonts w:ascii="Times New Roman" w:hAnsi="Times New Roman" w:eastAsia="黑体" w:cs="Times New Roman"/>
          <w:b/>
          <w:bCs/>
          <w:sz w:val="21"/>
          <w:szCs w:val="24"/>
        </w:rPr>
        <w:t>3</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w:t>
      </w:r>
      <w:r>
        <w:rPr>
          <w:rFonts w:ascii="Times New Roman" w:hAnsi="Times New Roman" w:cs="Times New Roman"/>
          <w:sz w:val="21"/>
          <w:szCs w:val="21"/>
        </w:rPr>
        <w:t>悬臂式沟头防护建筑物主要用于沟头为垂直陡壁、高3m～5m的情况，应由引水渠、挑流槽、支架及消能设施组成。</w:t>
      </w:r>
      <w:r>
        <w:rPr>
          <w:rFonts w:ascii="Times New Roman" w:hAnsi="Times New Roman" w:cs="Times New Roman"/>
          <w:kern w:val="0"/>
          <w:sz w:val="21"/>
          <w:szCs w:val="21"/>
        </w:rPr>
        <w:t>排水管（槽）断面尺寸可按下式计算确定：</w:t>
      </w:r>
    </w:p>
    <w:p w14:paraId="6582FBC0">
      <w:pPr>
        <w:wordWrap w:val="0"/>
        <w:snapToGrid w:val="0"/>
        <w:spacing w:line="360" w:lineRule="auto"/>
        <w:ind w:right="5" w:firstLine="424" w:firstLineChars="202"/>
        <w:jc w:val="right"/>
        <w:rPr>
          <w:rFonts w:ascii="Times New Roman" w:hAnsi="Times New Roman" w:cs="Times New Roman"/>
          <w:kern w:val="0"/>
          <w:sz w:val="21"/>
          <w:szCs w:val="21"/>
        </w:rPr>
      </w:pPr>
      <w:r>
        <w:rPr>
          <w:rFonts w:ascii="Times New Roman" w:hAnsi="Times New Roman" w:cs="Times New Roman"/>
          <w:sz w:val="21"/>
          <w:szCs w:val="21"/>
        </w:rPr>
        <w:t xml:space="preserve">                      </w:t>
      </w:r>
      <w:r>
        <w:rPr>
          <w:rFonts w:ascii="Times New Roman" w:hAnsi="Times New Roman" w:cs="Times New Roman"/>
          <w:kern w:val="0"/>
          <w:sz w:val="21"/>
          <w:szCs w:val="21"/>
        </w:rPr>
        <w:t>（4.10.10）</w:t>
      </w:r>
    </w:p>
    <w:p w14:paraId="0FADD289">
      <w:pPr>
        <w:spacing w:before="62" w:beforeLines="20" w:after="62" w:afterLines="20" w:line="360" w:lineRule="auto"/>
        <w:rPr>
          <w:rFonts w:ascii="Times New Roman" w:hAnsi="Times New Roman" w:cs="Times New Roman"/>
          <w:kern w:val="0"/>
          <w:sz w:val="21"/>
          <w:szCs w:val="21"/>
        </w:rPr>
      </w:pPr>
      <w:r>
        <w:rPr>
          <w:rFonts w:ascii="Times New Roman" w:hAnsi="Times New Roman" w:cs="Times New Roman"/>
          <w:kern w:val="0"/>
          <w:sz w:val="21"/>
          <w:szCs w:val="21"/>
        </w:rPr>
        <w:t>式中：</w:t>
      </w:r>
      <w:r>
        <w:rPr>
          <w:rFonts w:ascii="Times New Roman" w:hAnsi="Times New Roman" w:cs="Times New Roman"/>
          <w:i/>
          <w:kern w:val="0"/>
          <w:sz w:val="21"/>
          <w:szCs w:val="21"/>
        </w:rPr>
        <w:t>A</w:t>
      </w:r>
      <w:r>
        <w:rPr>
          <w:rFonts w:ascii="Times New Roman" w:hAnsi="Times New Roman" w:cs="Times New Roman"/>
          <w:b/>
          <w:sz w:val="24"/>
          <w:szCs w:val="21"/>
        </w:rPr>
        <w:t>——</w:t>
      </w:r>
      <w:r>
        <w:rPr>
          <w:rFonts w:ascii="Times New Roman" w:hAnsi="Times New Roman" w:cs="Times New Roman"/>
          <w:kern w:val="0"/>
          <w:sz w:val="21"/>
          <w:szCs w:val="21"/>
        </w:rPr>
        <w:t>系数，取决于管内充水程度，管内水深宜取0.75d，此时A=0.91；</w:t>
      </w:r>
    </w:p>
    <w:p w14:paraId="6A28C892">
      <w:pPr>
        <w:snapToGrid w:val="0"/>
        <w:spacing w:line="360" w:lineRule="auto"/>
        <w:ind w:firstLine="630" w:firstLineChars="300"/>
        <w:rPr>
          <w:rFonts w:ascii="Times New Roman" w:hAnsi="Times New Roman" w:cs="Times New Roman"/>
          <w:kern w:val="0"/>
          <w:sz w:val="21"/>
          <w:szCs w:val="21"/>
        </w:rPr>
      </w:pPr>
      <w:r>
        <w:rPr>
          <w:rFonts w:ascii="Times New Roman" w:hAnsi="Times New Roman" w:cs="Times New Roman"/>
          <w:i/>
          <w:kern w:val="0"/>
          <w:sz w:val="21"/>
          <w:szCs w:val="21"/>
        </w:rPr>
        <w:t>K</w:t>
      </w:r>
      <w:r>
        <w:rPr>
          <w:rFonts w:ascii="Times New Roman" w:hAnsi="Times New Roman" w:cs="Times New Roman"/>
          <w:kern w:val="0"/>
          <w:sz w:val="21"/>
          <w:szCs w:val="21"/>
          <w:vertAlign w:val="subscript"/>
        </w:rPr>
        <w:t>0</w:t>
      </w:r>
      <w:r>
        <w:rPr>
          <w:rFonts w:ascii="Times New Roman" w:hAnsi="Times New Roman" w:cs="Times New Roman"/>
          <w:b/>
          <w:sz w:val="24"/>
          <w:szCs w:val="21"/>
        </w:rPr>
        <w:t>——</w:t>
      </w:r>
      <w:r>
        <w:rPr>
          <w:rFonts w:ascii="Times New Roman" w:hAnsi="Times New Roman" w:cs="Times New Roman"/>
          <w:sz w:val="21"/>
          <w:szCs w:val="21"/>
        </w:rPr>
        <w:t>管内完全充水时的特性流量</w:t>
      </w:r>
      <w:r>
        <w:rPr>
          <w:rFonts w:ascii="Times New Roman" w:hAnsi="Times New Roman" w:cs="Times New Roman"/>
          <w:kern w:val="0"/>
          <w:sz w:val="21"/>
          <w:szCs w:val="21"/>
        </w:rPr>
        <w:t>（m/s）；</w:t>
      </w:r>
    </w:p>
    <w:p w14:paraId="386B4ABC">
      <w:pPr>
        <w:snapToGrid w:val="0"/>
        <w:spacing w:line="360" w:lineRule="auto"/>
        <w:ind w:firstLine="630" w:firstLineChars="300"/>
        <w:rPr>
          <w:rFonts w:ascii="Times New Roman" w:hAnsi="Times New Roman" w:cs="Times New Roman"/>
          <w:kern w:val="0"/>
          <w:sz w:val="21"/>
          <w:szCs w:val="21"/>
        </w:rPr>
      </w:pPr>
      <w:r>
        <w:rPr>
          <w:rFonts w:ascii="Times New Roman" w:hAnsi="Times New Roman" w:cs="Times New Roman"/>
          <w:i/>
          <w:kern w:val="0"/>
          <w:sz w:val="21"/>
          <w:szCs w:val="21"/>
        </w:rPr>
        <w:t>i</w:t>
      </w:r>
      <w:r>
        <w:rPr>
          <w:rFonts w:ascii="Times New Roman" w:hAnsi="Times New Roman" w:cs="Times New Roman"/>
          <w:b/>
          <w:sz w:val="24"/>
          <w:szCs w:val="21"/>
        </w:rPr>
        <w:t>——</w:t>
      </w:r>
      <w:r>
        <w:rPr>
          <w:rFonts w:ascii="Times New Roman" w:hAnsi="Times New Roman" w:cs="Times New Roman"/>
          <w:sz w:val="21"/>
          <w:szCs w:val="21"/>
        </w:rPr>
        <w:t>排水</w:t>
      </w:r>
      <w:r>
        <w:rPr>
          <w:rFonts w:ascii="Times New Roman" w:hAnsi="Times New Roman" w:cs="Times New Roman"/>
          <w:kern w:val="0"/>
          <w:sz w:val="21"/>
          <w:szCs w:val="21"/>
        </w:rPr>
        <w:t>管</w:t>
      </w:r>
      <w:r>
        <w:rPr>
          <w:rFonts w:ascii="Times New Roman" w:hAnsi="Times New Roman" w:cs="Times New Roman"/>
          <w:sz w:val="21"/>
          <w:szCs w:val="21"/>
        </w:rPr>
        <w:t>（槽）</w:t>
      </w:r>
      <w:r>
        <w:rPr>
          <w:rFonts w:ascii="Times New Roman" w:hAnsi="Times New Roman" w:cs="Times New Roman"/>
          <w:kern w:val="0"/>
          <w:sz w:val="21"/>
          <w:szCs w:val="21"/>
        </w:rPr>
        <w:t>坡降，可取1/50～1/100。</w:t>
      </w:r>
    </w:p>
    <w:p w14:paraId="01658545">
      <w:pPr>
        <w:keepNext/>
        <w:keepLines/>
        <w:spacing w:before="260" w:after="260"/>
        <w:jc w:val="center"/>
        <w:outlineLvl w:val="2"/>
        <w:rPr>
          <w:rFonts w:ascii="Times New Roman" w:hAnsi="Times New Roman" w:eastAsia="黑体" w:cs="Times New Roman"/>
          <w:bCs/>
          <w:sz w:val="24"/>
          <w:szCs w:val="24"/>
        </w:rPr>
      </w:pPr>
      <w:bookmarkStart w:id="282" w:name="_Toc360528874"/>
      <w:bookmarkStart w:id="283" w:name="_Toc324282299"/>
      <w:bookmarkStart w:id="284" w:name="_Toc323805641"/>
      <w:bookmarkStart w:id="285" w:name="_Toc323828677"/>
      <w:bookmarkStart w:id="286" w:name="_Toc324287591"/>
      <w:bookmarkStart w:id="287" w:name="_Toc360526280"/>
      <w:bookmarkStart w:id="288" w:name="_Toc324280264"/>
      <w:bookmarkStart w:id="289" w:name="_Toc360520000"/>
      <w:r>
        <w:rPr>
          <w:rFonts w:ascii="Times New Roman" w:hAnsi="Times New Roman" w:eastAsia="黑体" w:cs="Times New Roman"/>
          <w:bCs/>
          <w:sz w:val="24"/>
          <w:szCs w:val="24"/>
        </w:rPr>
        <w:t>Ⅳ 谷坊设计</w:t>
      </w:r>
      <w:bookmarkEnd w:id="282"/>
      <w:bookmarkEnd w:id="283"/>
      <w:bookmarkEnd w:id="284"/>
      <w:bookmarkEnd w:id="285"/>
      <w:bookmarkEnd w:id="286"/>
      <w:bookmarkEnd w:id="287"/>
      <w:bookmarkEnd w:id="288"/>
      <w:bookmarkEnd w:id="289"/>
    </w:p>
    <w:p w14:paraId="28C10ED7">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4.10.11</w:t>
      </w:r>
      <w:r>
        <w:rPr>
          <w:rFonts w:ascii="Times New Roman" w:hAnsi="Times New Roman" w:eastAsia="黑体" w:cs="Times New Roman"/>
          <w:sz w:val="21"/>
          <w:szCs w:val="24"/>
        </w:rPr>
        <w:t xml:space="preserve">  </w:t>
      </w:r>
      <w:r>
        <w:rPr>
          <w:rFonts w:ascii="Times New Roman" w:hAnsi="Times New Roman" w:cs="Times New Roman"/>
          <w:sz w:val="21"/>
          <w:szCs w:val="21"/>
        </w:rPr>
        <w:t>谷坊间距应按下式计算：</w:t>
      </w:r>
    </w:p>
    <w:p w14:paraId="5EE4FD52">
      <w:pPr>
        <w:wordWrap w:val="0"/>
        <w:snapToGrid w:val="0"/>
        <w:spacing w:line="360" w:lineRule="auto"/>
        <w:ind w:firstLine="409" w:firstLineChars="195"/>
        <w:jc w:val="right"/>
        <w:rPr>
          <w:rFonts w:ascii="Times New Roman" w:hAnsi="Times New Roman" w:cs="Times New Roman"/>
          <w:sz w:val="21"/>
          <w:szCs w:val="21"/>
        </w:rPr>
      </w:pPr>
      <w:r>
        <w:rPr>
          <w:rFonts w:ascii="Times New Roman" w:hAnsi="Times New Roman" w:cs="Times New Roman"/>
          <w:i/>
          <w:sz w:val="21"/>
          <w:szCs w:val="21"/>
        </w:rPr>
        <w:t>L</w:t>
      </w:r>
      <w:r>
        <w:rPr>
          <w:rFonts w:ascii="Times New Roman" w:hAnsi="Times New Roman" w:cs="Times New Roman"/>
          <w:sz w:val="21"/>
          <w:szCs w:val="21"/>
        </w:rPr>
        <w:t>=</w:t>
      </w:r>
      <w:r>
        <w:rPr>
          <w:rFonts w:ascii="Times New Roman" w:hAnsi="Times New Roman" w:cs="Times New Roman"/>
          <w:i/>
          <w:sz w:val="21"/>
          <w:szCs w:val="21"/>
        </w:rPr>
        <w:t>H</w:t>
      </w:r>
      <w:r>
        <w:rPr>
          <w:rFonts w:ascii="Times New Roman" w:hAnsi="Times New Roman" w:cs="Times New Roman"/>
          <w:sz w:val="21"/>
          <w:szCs w:val="21"/>
        </w:rPr>
        <w:t>/(</w:t>
      </w:r>
      <w:r>
        <w:rPr>
          <w:rFonts w:ascii="Times New Roman" w:hAnsi="Times New Roman" w:cs="Times New Roman"/>
          <w:i/>
          <w:sz w:val="21"/>
          <w:szCs w:val="21"/>
        </w:rPr>
        <w:t>i</w:t>
      </w:r>
      <w:r>
        <w:rPr>
          <w:rFonts w:ascii="Times New Roman" w:hAnsi="Times New Roman" w:cs="Times New Roman"/>
          <w:sz w:val="21"/>
          <w:szCs w:val="21"/>
        </w:rPr>
        <w:t>-</w:t>
      </w:r>
      <w:r>
        <w:rPr>
          <w:rFonts w:ascii="Times New Roman" w:hAnsi="Times New Roman" w:cs="Times New Roman"/>
          <w:i/>
          <w:sz w:val="21"/>
          <w:szCs w:val="21"/>
        </w:rPr>
        <w:t>i</w:t>
      </w:r>
      <w:r>
        <w:rPr>
          <w:rFonts w:ascii="Times New Roman" w:hAnsi="Times New Roman" w:cs="Times New Roman"/>
          <w:sz w:val="21"/>
          <w:szCs w:val="21"/>
          <w:vertAlign w:val="superscript"/>
        </w:rPr>
        <w:t>ˊ</w:t>
      </w:r>
      <w:r>
        <w:rPr>
          <w:rFonts w:ascii="Times New Roman" w:hAnsi="Times New Roman" w:cs="Times New Roman"/>
          <w:sz w:val="21"/>
          <w:szCs w:val="21"/>
        </w:rPr>
        <w:t>)                               （4.10.11）</w:t>
      </w:r>
    </w:p>
    <w:p w14:paraId="76008E56">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L</w:t>
      </w:r>
      <w:r>
        <w:rPr>
          <w:rFonts w:ascii="Times New Roman" w:hAnsi="Times New Roman" w:cs="Times New Roman"/>
          <w:sz w:val="21"/>
          <w:szCs w:val="21"/>
        </w:rPr>
        <w:t>——谷坊间距（m）；</w:t>
      </w:r>
    </w:p>
    <w:p w14:paraId="60A388ED">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H</w:t>
      </w:r>
      <w:r>
        <w:rPr>
          <w:rFonts w:ascii="Times New Roman" w:hAnsi="Times New Roman" w:cs="Times New Roman"/>
          <w:sz w:val="21"/>
          <w:szCs w:val="21"/>
        </w:rPr>
        <w:t>——谷坊底到溢水口底高度（m）；</w:t>
      </w:r>
    </w:p>
    <w:p w14:paraId="74616CBA">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i</w:t>
      </w:r>
      <w:r>
        <w:rPr>
          <w:rFonts w:ascii="Times New Roman" w:hAnsi="Times New Roman" w:cs="Times New Roman"/>
          <w:sz w:val="21"/>
          <w:szCs w:val="21"/>
        </w:rPr>
        <w:t>——原沟床比降（%）；</w:t>
      </w:r>
    </w:p>
    <w:p w14:paraId="2587F7C2">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i</w:t>
      </w:r>
      <w:r>
        <w:rPr>
          <w:rFonts w:ascii="Times New Roman" w:hAnsi="Times New Roman" w:cs="Times New Roman"/>
          <w:sz w:val="21"/>
          <w:szCs w:val="21"/>
          <w:vertAlign w:val="superscript"/>
        </w:rPr>
        <w:t>ˊ</w:t>
      </w:r>
      <w:r>
        <w:rPr>
          <w:rFonts w:ascii="Times New Roman" w:hAnsi="Times New Roman" w:cs="Times New Roman"/>
          <w:sz w:val="21"/>
          <w:szCs w:val="21"/>
        </w:rPr>
        <w:t>——谷坊淤满后不冲比降（%）。</w:t>
      </w:r>
    </w:p>
    <w:p w14:paraId="74C57D14">
      <w:pPr>
        <w:snapToGrid w:val="0"/>
        <w:spacing w:line="360" w:lineRule="auto"/>
        <w:ind w:firstLine="298" w:firstLineChars="142"/>
        <w:rPr>
          <w:rFonts w:ascii="Times New Roman" w:hAnsi="Times New Roman" w:cs="Times New Roman"/>
          <w:sz w:val="21"/>
          <w:szCs w:val="21"/>
        </w:rPr>
      </w:pPr>
      <w:r>
        <w:rPr>
          <w:rFonts w:ascii="Times New Roman" w:hAnsi="Times New Roman" w:cs="Times New Roman"/>
          <w:sz w:val="21"/>
          <w:szCs w:val="21"/>
        </w:rPr>
        <w:t>不同淤积物质淤满后形成的不冲比降应符合表4.10.11的规定。</w:t>
      </w:r>
    </w:p>
    <w:p w14:paraId="1C930939">
      <w:pPr>
        <w:jc w:val="center"/>
        <w:rPr>
          <w:rFonts w:ascii="Times New Roman" w:hAnsi="Times New Roman" w:eastAsia="黑体" w:cs="Times New Roman"/>
          <w:sz w:val="18"/>
          <w:szCs w:val="18"/>
        </w:rPr>
      </w:pPr>
      <w:r>
        <w:rPr>
          <w:rFonts w:ascii="Times New Roman" w:hAnsi="Times New Roman" w:eastAsia="黑体" w:cs="Times New Roman"/>
          <w:sz w:val="18"/>
          <w:szCs w:val="18"/>
        </w:rPr>
        <w:t>表4.10.11  淤积物淤满后不冲比降</w:t>
      </w:r>
    </w:p>
    <w:tbl>
      <w:tblPr>
        <w:tblStyle w:val="10"/>
        <w:tblW w:w="501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660"/>
        <w:gridCol w:w="1660"/>
        <w:gridCol w:w="1660"/>
        <w:gridCol w:w="1661"/>
      </w:tblGrid>
      <w:tr w14:paraId="347FC2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000" w:type="pct"/>
            <w:vAlign w:val="center"/>
          </w:tcPr>
          <w:p w14:paraId="1601110F">
            <w:pPr>
              <w:snapToGrid w:val="0"/>
              <w:jc w:val="center"/>
              <w:rPr>
                <w:rFonts w:ascii="Times New Roman" w:hAnsi="Times New Roman" w:cs="Times New Roman"/>
                <w:sz w:val="15"/>
                <w:szCs w:val="15"/>
              </w:rPr>
            </w:pPr>
            <w:r>
              <w:rPr>
                <w:rFonts w:ascii="Times New Roman" w:hAnsi="Times New Roman" w:cs="Times New Roman"/>
                <w:sz w:val="15"/>
                <w:szCs w:val="15"/>
              </w:rPr>
              <w:t>淤积物</w:t>
            </w:r>
          </w:p>
        </w:tc>
        <w:tc>
          <w:tcPr>
            <w:tcW w:w="1000" w:type="pct"/>
            <w:vAlign w:val="center"/>
          </w:tcPr>
          <w:p w14:paraId="2C3E0035">
            <w:pPr>
              <w:snapToGrid w:val="0"/>
              <w:jc w:val="center"/>
              <w:rPr>
                <w:rFonts w:ascii="Times New Roman" w:hAnsi="Times New Roman" w:cs="Times New Roman"/>
                <w:sz w:val="15"/>
                <w:szCs w:val="15"/>
              </w:rPr>
            </w:pPr>
            <w:r>
              <w:rPr>
                <w:rFonts w:ascii="Times New Roman" w:hAnsi="Times New Roman" w:cs="Times New Roman"/>
                <w:sz w:val="15"/>
                <w:szCs w:val="15"/>
              </w:rPr>
              <w:t>粗沙（夹砾石）</w:t>
            </w:r>
          </w:p>
        </w:tc>
        <w:tc>
          <w:tcPr>
            <w:tcW w:w="1000" w:type="pct"/>
            <w:vAlign w:val="center"/>
          </w:tcPr>
          <w:p w14:paraId="4614764D">
            <w:pPr>
              <w:snapToGrid w:val="0"/>
              <w:jc w:val="center"/>
              <w:rPr>
                <w:rFonts w:ascii="Times New Roman" w:hAnsi="Times New Roman" w:cs="Times New Roman"/>
                <w:sz w:val="15"/>
                <w:szCs w:val="15"/>
              </w:rPr>
            </w:pPr>
            <w:r>
              <w:rPr>
                <w:rFonts w:ascii="Times New Roman" w:hAnsi="Times New Roman" w:cs="Times New Roman"/>
                <w:sz w:val="15"/>
                <w:szCs w:val="15"/>
              </w:rPr>
              <w:t>粘土</w:t>
            </w:r>
          </w:p>
        </w:tc>
        <w:tc>
          <w:tcPr>
            <w:tcW w:w="1000" w:type="pct"/>
            <w:vAlign w:val="center"/>
          </w:tcPr>
          <w:p w14:paraId="4022CB6C">
            <w:pPr>
              <w:snapToGrid w:val="0"/>
              <w:jc w:val="center"/>
              <w:rPr>
                <w:rFonts w:ascii="Times New Roman" w:hAnsi="Times New Roman" w:cs="Times New Roman"/>
                <w:sz w:val="15"/>
                <w:szCs w:val="15"/>
              </w:rPr>
            </w:pPr>
            <w:r>
              <w:rPr>
                <w:rFonts w:ascii="Times New Roman" w:hAnsi="Times New Roman" w:cs="Times New Roman"/>
                <w:sz w:val="15"/>
                <w:szCs w:val="15"/>
              </w:rPr>
              <w:t>粘壤土</w:t>
            </w:r>
          </w:p>
        </w:tc>
        <w:tc>
          <w:tcPr>
            <w:tcW w:w="1000" w:type="pct"/>
            <w:vAlign w:val="center"/>
          </w:tcPr>
          <w:p w14:paraId="35A9D5B8">
            <w:pPr>
              <w:snapToGrid w:val="0"/>
              <w:jc w:val="center"/>
              <w:rPr>
                <w:rFonts w:ascii="Times New Roman" w:hAnsi="Times New Roman" w:cs="Times New Roman"/>
                <w:sz w:val="15"/>
                <w:szCs w:val="15"/>
              </w:rPr>
            </w:pPr>
            <w:r>
              <w:rPr>
                <w:rFonts w:ascii="Times New Roman" w:hAnsi="Times New Roman" w:cs="Times New Roman"/>
                <w:sz w:val="15"/>
                <w:szCs w:val="15"/>
              </w:rPr>
              <w:t>沙土</w:t>
            </w:r>
          </w:p>
        </w:tc>
      </w:tr>
      <w:tr w14:paraId="2DB2C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000" w:type="pct"/>
            <w:vAlign w:val="center"/>
          </w:tcPr>
          <w:p w14:paraId="6BF42BE5">
            <w:pPr>
              <w:snapToGrid w:val="0"/>
              <w:jc w:val="center"/>
              <w:rPr>
                <w:rFonts w:ascii="Times New Roman" w:hAnsi="Times New Roman" w:cs="Times New Roman"/>
                <w:sz w:val="15"/>
                <w:szCs w:val="15"/>
              </w:rPr>
            </w:pPr>
            <w:r>
              <w:rPr>
                <w:rFonts w:ascii="Times New Roman" w:hAnsi="Times New Roman" w:cs="Times New Roman"/>
                <w:sz w:val="15"/>
                <w:szCs w:val="15"/>
              </w:rPr>
              <w:t>比降（%）</w:t>
            </w:r>
          </w:p>
        </w:tc>
        <w:tc>
          <w:tcPr>
            <w:tcW w:w="1000" w:type="pct"/>
            <w:vAlign w:val="center"/>
          </w:tcPr>
          <w:p w14:paraId="58EFE04C">
            <w:pPr>
              <w:snapToGrid w:val="0"/>
              <w:jc w:val="center"/>
              <w:rPr>
                <w:rFonts w:ascii="Times New Roman" w:hAnsi="Times New Roman" w:cs="Times New Roman"/>
                <w:sz w:val="15"/>
                <w:szCs w:val="15"/>
              </w:rPr>
            </w:pPr>
            <w:r>
              <w:rPr>
                <w:rFonts w:ascii="Times New Roman" w:hAnsi="Times New Roman" w:cs="Times New Roman"/>
                <w:sz w:val="15"/>
                <w:szCs w:val="15"/>
              </w:rPr>
              <w:t>2.0</w:t>
            </w:r>
          </w:p>
        </w:tc>
        <w:tc>
          <w:tcPr>
            <w:tcW w:w="1000" w:type="pct"/>
            <w:vAlign w:val="center"/>
          </w:tcPr>
          <w:p w14:paraId="426C29FE">
            <w:pPr>
              <w:snapToGrid w:val="0"/>
              <w:jc w:val="center"/>
              <w:rPr>
                <w:rFonts w:ascii="Times New Roman" w:hAnsi="Times New Roman" w:cs="Times New Roman"/>
                <w:sz w:val="15"/>
                <w:szCs w:val="15"/>
              </w:rPr>
            </w:pPr>
            <w:r>
              <w:rPr>
                <w:rFonts w:ascii="Times New Roman" w:hAnsi="Times New Roman" w:cs="Times New Roman"/>
                <w:sz w:val="15"/>
                <w:szCs w:val="15"/>
              </w:rPr>
              <w:t>1.0</w:t>
            </w:r>
          </w:p>
        </w:tc>
        <w:tc>
          <w:tcPr>
            <w:tcW w:w="1000" w:type="pct"/>
            <w:vAlign w:val="center"/>
          </w:tcPr>
          <w:p w14:paraId="62B6AC83">
            <w:pPr>
              <w:snapToGrid w:val="0"/>
              <w:jc w:val="center"/>
              <w:rPr>
                <w:rFonts w:ascii="Times New Roman" w:hAnsi="Times New Roman" w:cs="Times New Roman"/>
                <w:sz w:val="15"/>
                <w:szCs w:val="15"/>
              </w:rPr>
            </w:pPr>
            <w:r>
              <w:rPr>
                <w:rFonts w:ascii="Times New Roman" w:hAnsi="Times New Roman" w:cs="Times New Roman"/>
                <w:sz w:val="15"/>
                <w:szCs w:val="15"/>
              </w:rPr>
              <w:t>0.8</w:t>
            </w:r>
          </w:p>
        </w:tc>
        <w:tc>
          <w:tcPr>
            <w:tcW w:w="1000" w:type="pct"/>
            <w:vAlign w:val="center"/>
          </w:tcPr>
          <w:p w14:paraId="4CFA3E7C">
            <w:pPr>
              <w:snapToGrid w:val="0"/>
              <w:jc w:val="center"/>
              <w:rPr>
                <w:rFonts w:ascii="Times New Roman" w:hAnsi="Times New Roman" w:cs="Times New Roman"/>
                <w:sz w:val="15"/>
                <w:szCs w:val="15"/>
              </w:rPr>
            </w:pPr>
            <w:r>
              <w:rPr>
                <w:rFonts w:ascii="Times New Roman" w:hAnsi="Times New Roman" w:cs="Times New Roman"/>
                <w:sz w:val="15"/>
                <w:szCs w:val="15"/>
              </w:rPr>
              <w:t>0.5</w:t>
            </w:r>
          </w:p>
        </w:tc>
      </w:tr>
    </w:tbl>
    <w:p w14:paraId="3D9810E0">
      <w:pPr>
        <w:snapToGrid w:val="0"/>
        <w:spacing w:before="156" w:beforeLines="50" w:line="360" w:lineRule="auto"/>
        <w:rPr>
          <w:rFonts w:ascii="Times New Roman" w:hAnsi="Times New Roman" w:cs="Times New Roman"/>
          <w:sz w:val="21"/>
          <w:szCs w:val="21"/>
        </w:rPr>
      </w:pPr>
      <w:r>
        <w:rPr>
          <w:rFonts w:ascii="Times New Roman" w:hAnsi="Times New Roman" w:eastAsia="黑体" w:cs="Times New Roman"/>
          <w:b/>
          <w:bCs/>
          <w:sz w:val="21"/>
          <w:szCs w:val="24"/>
        </w:rPr>
        <w:t>4.10.12</w:t>
      </w:r>
      <w:r>
        <w:rPr>
          <w:rFonts w:ascii="Times New Roman" w:hAnsi="Times New Roman" w:cs="Times New Roman"/>
          <w:sz w:val="21"/>
          <w:szCs w:val="21"/>
        </w:rPr>
        <w:t xml:space="preserve">  溢洪口矩形宽顶堰应按下式计算，梯形断面应经试算确定：</w:t>
      </w:r>
    </w:p>
    <w:p w14:paraId="720A77F1">
      <w:pPr>
        <w:wordWrap w:val="0"/>
        <w:snapToGrid w:val="0"/>
        <w:spacing w:line="360" w:lineRule="auto"/>
        <w:ind w:left="1" w:right="-58" w:firstLine="564" w:firstLineChars="269"/>
        <w:jc w:val="right"/>
        <w:rPr>
          <w:rFonts w:ascii="Times New Roman" w:hAnsi="Times New Roman" w:cs="Times New Roman"/>
          <w:sz w:val="21"/>
          <w:szCs w:val="21"/>
        </w:rPr>
      </w:pPr>
      <w:r>
        <w:rPr>
          <w:rFonts w:ascii="Times New Roman" w:hAnsi="Times New Roman" w:cs="Times New Roman"/>
          <w:i/>
          <w:kern w:val="0"/>
          <w:sz w:val="21"/>
          <w:szCs w:val="21"/>
        </w:rPr>
        <w:t>Q</w:t>
      </w:r>
      <w:r>
        <w:rPr>
          <w:rFonts w:ascii="Times New Roman" w:hAnsi="Times New Roman" w:cs="Times New Roman"/>
          <w:kern w:val="0"/>
          <w:sz w:val="21"/>
          <w:szCs w:val="21"/>
        </w:rPr>
        <w:t>=</w:t>
      </w:r>
      <w:r>
        <w:rPr>
          <w:rFonts w:ascii="Times New Roman" w:hAnsi="Times New Roman" w:cs="Times New Roman"/>
          <w:i/>
          <w:kern w:val="0"/>
          <w:sz w:val="21"/>
          <w:szCs w:val="21"/>
        </w:rPr>
        <w:t>Mbh</w:t>
      </w:r>
      <w:r>
        <w:rPr>
          <w:rFonts w:ascii="Times New Roman" w:hAnsi="Times New Roman" w:cs="Times New Roman"/>
          <w:kern w:val="0"/>
          <w:sz w:val="21"/>
          <w:szCs w:val="21"/>
          <w:vertAlign w:val="superscript"/>
        </w:rPr>
        <w:t>3/2</w:t>
      </w:r>
      <w:r>
        <w:rPr>
          <w:rFonts w:ascii="Times New Roman" w:hAnsi="Times New Roman" w:cs="Times New Roman"/>
          <w:kern w:val="0"/>
          <w:sz w:val="21"/>
          <w:szCs w:val="21"/>
        </w:rPr>
        <w:t xml:space="preserve">                             </w:t>
      </w:r>
      <w:r>
        <w:rPr>
          <w:rFonts w:ascii="Times New Roman" w:hAnsi="Times New Roman" w:cs="Times New Roman"/>
          <w:sz w:val="21"/>
          <w:szCs w:val="21"/>
        </w:rPr>
        <w:t>（4.10.12）</w:t>
      </w:r>
    </w:p>
    <w:p w14:paraId="48E8599D">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Q</w:t>
      </w:r>
      <w:r>
        <w:rPr>
          <w:rFonts w:ascii="Times New Roman" w:hAnsi="Times New Roman" w:cs="Times New Roman"/>
          <w:b/>
          <w:sz w:val="24"/>
          <w:szCs w:val="21"/>
        </w:rPr>
        <w:t>——</w:t>
      </w:r>
      <w:r>
        <w:rPr>
          <w:rFonts w:ascii="Times New Roman" w:hAnsi="Times New Roman" w:cs="Times New Roman"/>
          <w:sz w:val="21"/>
          <w:szCs w:val="21"/>
        </w:rPr>
        <w:t>设计流量（m</w:t>
      </w:r>
      <w:r>
        <w:rPr>
          <w:rFonts w:ascii="Times New Roman" w:hAnsi="Times New Roman" w:cs="Times New Roman"/>
          <w:sz w:val="21"/>
          <w:szCs w:val="21"/>
          <w:vertAlign w:val="superscript"/>
        </w:rPr>
        <w:t>3</w:t>
      </w:r>
      <w:r>
        <w:rPr>
          <w:rFonts w:ascii="Times New Roman" w:hAnsi="Times New Roman" w:cs="Times New Roman"/>
          <w:sz w:val="21"/>
          <w:szCs w:val="21"/>
        </w:rPr>
        <w:t>/s）；</w:t>
      </w:r>
    </w:p>
    <w:p w14:paraId="1A9CBBEE">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b</w:t>
      </w:r>
      <w:r>
        <w:rPr>
          <w:rFonts w:ascii="Times New Roman" w:hAnsi="Times New Roman" w:cs="Times New Roman"/>
          <w:b/>
          <w:sz w:val="24"/>
          <w:szCs w:val="21"/>
        </w:rPr>
        <w:t>——</w:t>
      </w:r>
      <w:r>
        <w:rPr>
          <w:rFonts w:ascii="Times New Roman" w:hAnsi="Times New Roman" w:cs="Times New Roman"/>
          <w:sz w:val="21"/>
          <w:szCs w:val="21"/>
        </w:rPr>
        <w:t>溢洪口底宽（m）；</w:t>
      </w:r>
    </w:p>
    <w:p w14:paraId="7129B6D8">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h</w:t>
      </w:r>
      <w:r>
        <w:rPr>
          <w:rFonts w:ascii="Times New Roman" w:hAnsi="Times New Roman" w:cs="Times New Roman"/>
          <w:b/>
          <w:sz w:val="24"/>
          <w:szCs w:val="21"/>
        </w:rPr>
        <w:t>——</w:t>
      </w:r>
      <w:r>
        <w:rPr>
          <w:rFonts w:ascii="Times New Roman" w:hAnsi="Times New Roman" w:cs="Times New Roman"/>
          <w:sz w:val="21"/>
          <w:szCs w:val="21"/>
        </w:rPr>
        <w:t>溢洪口水深（m）；</w:t>
      </w:r>
    </w:p>
    <w:p w14:paraId="6AC83922">
      <w:pPr>
        <w:snapToGrid w:val="0"/>
        <w:spacing w:line="360" w:lineRule="auto"/>
        <w:ind w:firstLine="630" w:firstLineChars="300"/>
        <w:rPr>
          <w:rFonts w:ascii="Times New Roman" w:hAnsi="Times New Roman" w:cs="Times New Roman"/>
          <w:b/>
          <w:sz w:val="24"/>
          <w:szCs w:val="24"/>
        </w:rPr>
      </w:pPr>
      <w:r>
        <w:rPr>
          <w:rFonts w:ascii="Times New Roman" w:hAnsi="Times New Roman" w:cs="Times New Roman"/>
          <w:i/>
          <w:sz w:val="21"/>
          <w:szCs w:val="21"/>
        </w:rPr>
        <w:t>M</w:t>
      </w:r>
      <w:r>
        <w:rPr>
          <w:rFonts w:ascii="Times New Roman" w:hAnsi="Times New Roman" w:cs="Times New Roman"/>
          <w:b/>
          <w:sz w:val="24"/>
          <w:szCs w:val="21"/>
        </w:rPr>
        <w:t>——</w:t>
      </w:r>
      <w:r>
        <w:rPr>
          <w:rFonts w:ascii="Times New Roman" w:hAnsi="Times New Roman" w:cs="Times New Roman"/>
          <w:sz w:val="21"/>
          <w:szCs w:val="21"/>
        </w:rPr>
        <w:t>流量系数，宜采用1.55。</w:t>
      </w:r>
    </w:p>
    <w:p w14:paraId="1334D075">
      <w:pPr>
        <w:snapToGrid w:val="0"/>
        <w:spacing w:before="156" w:beforeLines="50" w:line="360" w:lineRule="auto"/>
        <w:rPr>
          <w:rFonts w:ascii="Times New Roman" w:hAnsi="Times New Roman" w:cs="Times New Roman"/>
          <w:sz w:val="21"/>
          <w:szCs w:val="21"/>
        </w:rPr>
      </w:pPr>
      <w:r>
        <w:rPr>
          <w:rFonts w:ascii="Times New Roman" w:hAnsi="Times New Roman" w:eastAsia="黑体" w:cs="Times New Roman"/>
          <w:b/>
          <w:bCs/>
          <w:sz w:val="21"/>
          <w:szCs w:val="24"/>
        </w:rPr>
        <w:t>4.10.13</w:t>
      </w:r>
      <w:r>
        <w:rPr>
          <w:rFonts w:ascii="Times New Roman" w:hAnsi="Times New Roman" w:cs="Times New Roman"/>
          <w:sz w:val="21"/>
          <w:szCs w:val="24"/>
        </w:rPr>
        <w:t xml:space="preserve"> </w:t>
      </w:r>
      <w:r>
        <w:rPr>
          <w:rFonts w:ascii="Times New Roman" w:hAnsi="Times New Roman" w:cs="Times New Roman"/>
          <w:sz w:val="21"/>
          <w:szCs w:val="21"/>
        </w:rPr>
        <w:t xml:space="preserve"> 干砌石谷坊高度不宜大于3m，顶宽宜取0.8m～1.5m，上游边坡宜取1:1.25～1:1.75，下游边坡宜取1:1.0～1:1.5。</w:t>
      </w:r>
    </w:p>
    <w:p w14:paraId="5DA22743">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 xml:space="preserve">4.10.14 </w:t>
      </w:r>
      <w:r>
        <w:rPr>
          <w:rFonts w:ascii="Times New Roman" w:hAnsi="Times New Roman" w:cs="Times New Roman"/>
          <w:sz w:val="21"/>
          <w:szCs w:val="21"/>
        </w:rPr>
        <w:t xml:space="preserve"> 浆砌石、混凝土预制块谷坊高度不宜大于5m，顶宽宜取0.6m～1.0m，上游边坡宜取1:0.1，下游边坡宜取1:0.2～1:0.5。谷坊墙体应设置排水孔，孔径宜取0.05m～0.20m，孔距宜取0.5m～1.0m。</w:t>
      </w:r>
    </w:p>
    <w:p w14:paraId="2D44F398">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4.10.15</w:t>
      </w:r>
      <w:r>
        <w:rPr>
          <w:rFonts w:ascii="Times New Roman" w:hAnsi="Times New Roman" w:cs="Times New Roman"/>
          <w:sz w:val="21"/>
          <w:szCs w:val="21"/>
        </w:rPr>
        <w:t xml:space="preserve">  石笼谷坊高度不宜大于3m，顶宽宜取1.0m～1.5m，上游边坡宜取1:0.8～1:1.0，下游边坡宜取1:1.0～1:1.2。</w:t>
      </w:r>
    </w:p>
    <w:p w14:paraId="50BE1B53">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4.10.16</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土谷坊设计应符合下列要求：</w:t>
      </w:r>
    </w:p>
    <w:p w14:paraId="51D74016">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 xml:space="preserve">1  </w:t>
      </w:r>
      <w:r>
        <w:rPr>
          <w:rFonts w:ascii="Times New Roman" w:hAnsi="Times New Roman" w:cs="Times New Roman"/>
          <w:sz w:val="21"/>
          <w:szCs w:val="21"/>
        </w:rPr>
        <w:t>高宜取2m～5m，顶宽宜取1.5m～4.5m，上游边坡宜取1:1.5～1:2，下游边坡宜取1:1.25～1:1.75。</w:t>
      </w:r>
    </w:p>
    <w:p w14:paraId="3CF748FB">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坝顶作为交通道路时，应按交通要求确定坝顶宽度。谷坊能迅速淤满的，迎水坡比可与背水坡比一致。</w:t>
      </w:r>
    </w:p>
    <w:p w14:paraId="14230C76">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4.10.17</w:t>
      </w:r>
      <w:r>
        <w:rPr>
          <w:rFonts w:ascii="Times New Roman" w:hAnsi="Times New Roman" w:cs="Times New Roman"/>
          <w:sz w:val="21"/>
          <w:szCs w:val="24"/>
        </w:rPr>
        <w:t xml:space="preserve"> </w:t>
      </w:r>
      <w:r>
        <w:rPr>
          <w:rFonts w:ascii="Times New Roman" w:hAnsi="Times New Roman" w:cs="Times New Roman"/>
          <w:sz w:val="21"/>
          <w:szCs w:val="21"/>
        </w:rPr>
        <w:t xml:space="preserve"> 编织袋谷坊高不宜大于3m，顶宽宜取1.5m～2.0m，上游边坡宜取1</w:t>
      </w:r>
      <w:r>
        <w:rPr>
          <w:rFonts w:hint="eastAsia" w:ascii="Times New Roman" w:hAnsi="Times New Roman" w:cs="Times New Roman"/>
          <w:sz w:val="21"/>
          <w:szCs w:val="21"/>
        </w:rPr>
        <w:t>:</w:t>
      </w:r>
      <w:r>
        <w:rPr>
          <w:rFonts w:ascii="Times New Roman" w:hAnsi="Times New Roman" w:cs="Times New Roman"/>
          <w:sz w:val="21"/>
          <w:szCs w:val="21"/>
        </w:rPr>
        <w:t>1.1～1</w:t>
      </w:r>
      <w:r>
        <w:rPr>
          <w:rFonts w:hint="eastAsia" w:ascii="Times New Roman" w:hAnsi="Times New Roman" w:cs="Times New Roman"/>
          <w:sz w:val="21"/>
          <w:szCs w:val="21"/>
        </w:rPr>
        <w:t>:</w:t>
      </w:r>
      <w:r>
        <w:rPr>
          <w:rFonts w:ascii="Times New Roman" w:hAnsi="Times New Roman" w:cs="Times New Roman"/>
          <w:sz w:val="21"/>
          <w:szCs w:val="21"/>
        </w:rPr>
        <w:t>1.2，下游边坡宜取1</w:t>
      </w:r>
      <w:r>
        <w:rPr>
          <w:rFonts w:hint="eastAsia" w:ascii="Times New Roman" w:hAnsi="Times New Roman" w:cs="Times New Roman"/>
          <w:sz w:val="21"/>
          <w:szCs w:val="21"/>
        </w:rPr>
        <w:t>:</w:t>
      </w:r>
      <w:r>
        <w:rPr>
          <w:rFonts w:ascii="Times New Roman" w:hAnsi="Times New Roman" w:cs="Times New Roman"/>
          <w:sz w:val="21"/>
          <w:szCs w:val="21"/>
        </w:rPr>
        <w:t>3。</w:t>
      </w:r>
    </w:p>
    <w:p w14:paraId="522B77D2">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4.10.18</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多排密植型植物谷坊设计应符合下列要求：</w:t>
      </w:r>
    </w:p>
    <w:p w14:paraId="366CEA6C">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柳（或杨）杆长宜取1.5m～2.0m，埋深宜取0.5m～1.0m，露出地面高度宜取1.0m～1.5m。</w:t>
      </w:r>
    </w:p>
    <w:p w14:paraId="3BE66741">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每处谷坊柳（或杨）杆应大于5排，行距宜取1.0m，株距宜取0.3m～0.5m，埋杆直径宜取50mm～70mm。</w:t>
      </w:r>
    </w:p>
    <w:p w14:paraId="2ABBE66F">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4.10.19</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柳桩编篱型植物谷坊设计应符合下列要求：</w:t>
      </w:r>
    </w:p>
    <w:p w14:paraId="42F59124">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1</w:t>
      </w:r>
      <w:r>
        <w:rPr>
          <w:rFonts w:ascii="Times New Roman" w:hAnsi="Times New Roman" w:cs="Times New Roman"/>
          <w:sz w:val="21"/>
          <w:szCs w:val="21"/>
        </w:rPr>
        <w:t xml:space="preserve">  柳桩应布设4排～5排，排距宜取1.0m，桩距宜取0.3m，相邻两排柳桩呈“品”字型布置，桩长宜取1.5m～2.0m，埋深宜取0.5m～1.0m。</w:t>
      </w:r>
    </w:p>
    <w:p w14:paraId="3890C9C6">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2</w:t>
      </w:r>
      <w:r>
        <w:rPr>
          <w:rFonts w:ascii="Times New Roman" w:hAnsi="Times New Roman" w:cs="Times New Roman"/>
          <w:sz w:val="21"/>
          <w:szCs w:val="21"/>
        </w:rPr>
        <w:t xml:space="preserve">  排篱间应填入卵（块）石，并应用捆扎柳梢盖顶，相邻排树桩宜用铁丝固定绑牢。</w:t>
      </w:r>
    </w:p>
    <w:p w14:paraId="5D693F7B">
      <w:pPr>
        <w:keepNext/>
        <w:keepLines/>
        <w:spacing w:before="260" w:after="260"/>
        <w:jc w:val="center"/>
        <w:outlineLvl w:val="2"/>
        <w:rPr>
          <w:rFonts w:ascii="Times New Roman" w:hAnsi="Times New Roman" w:eastAsia="黑体" w:cs="Times New Roman"/>
          <w:bCs/>
          <w:sz w:val="24"/>
          <w:szCs w:val="24"/>
        </w:rPr>
      </w:pPr>
      <w:bookmarkStart w:id="290" w:name="_Toc360526281"/>
      <w:bookmarkStart w:id="291" w:name="_Toc324282300"/>
      <w:bookmarkStart w:id="292" w:name="_Toc323828678"/>
      <w:bookmarkStart w:id="293" w:name="_Toc323805642"/>
      <w:bookmarkStart w:id="294" w:name="_Toc360528875"/>
      <w:bookmarkStart w:id="295" w:name="_Toc324287592"/>
      <w:bookmarkStart w:id="296" w:name="_Toc324280265"/>
      <w:bookmarkStart w:id="297" w:name="_Toc360520001"/>
      <w:r>
        <w:rPr>
          <w:rFonts w:ascii="Times New Roman" w:hAnsi="Times New Roman" w:eastAsia="黑体" w:cs="Times New Roman"/>
          <w:bCs/>
          <w:sz w:val="24"/>
          <w:szCs w:val="24"/>
        </w:rPr>
        <w:t>Ⅴ 护坡设计</w:t>
      </w:r>
      <w:bookmarkEnd w:id="290"/>
      <w:bookmarkEnd w:id="291"/>
      <w:bookmarkEnd w:id="292"/>
      <w:bookmarkEnd w:id="293"/>
      <w:bookmarkEnd w:id="294"/>
      <w:bookmarkEnd w:id="295"/>
      <w:bookmarkEnd w:id="296"/>
      <w:bookmarkEnd w:id="297"/>
    </w:p>
    <w:p w14:paraId="682CEC59">
      <w:pPr>
        <w:widowControl/>
        <w:spacing w:line="360" w:lineRule="auto"/>
        <w:jc w:val="left"/>
        <w:rPr>
          <w:rFonts w:ascii="Times New Roman" w:hAnsi="Times New Roman" w:cs="Times New Roman"/>
          <w:bCs/>
          <w:kern w:val="0"/>
          <w:sz w:val="21"/>
          <w:szCs w:val="21"/>
        </w:rPr>
      </w:pPr>
      <w:r>
        <w:rPr>
          <w:rFonts w:ascii="Times New Roman" w:hAnsi="Times New Roman" w:eastAsia="黑体" w:cs="Times New Roman"/>
          <w:b/>
          <w:bCs/>
          <w:sz w:val="21"/>
          <w:szCs w:val="24"/>
        </w:rPr>
        <w:t>4.10.20</w:t>
      </w:r>
      <w:r>
        <w:rPr>
          <w:rFonts w:ascii="Times New Roman" w:hAnsi="Times New Roman" w:cs="Times New Roman"/>
          <w:bCs/>
          <w:kern w:val="0"/>
          <w:sz w:val="21"/>
          <w:szCs w:val="21"/>
        </w:rPr>
        <w:t xml:space="preserve">  护坡宜用于沟坡不稳定、沟底冲刷严重、沟道转弯及不具备削坡整形条件的沟段。</w:t>
      </w:r>
    </w:p>
    <w:p w14:paraId="705999E2">
      <w:pPr>
        <w:widowControl/>
        <w:spacing w:line="360" w:lineRule="auto"/>
        <w:jc w:val="left"/>
        <w:rPr>
          <w:rFonts w:ascii="Times New Roman" w:hAnsi="Times New Roman" w:cs="Times New Roman"/>
          <w:bCs/>
          <w:kern w:val="0"/>
          <w:sz w:val="21"/>
          <w:szCs w:val="21"/>
        </w:rPr>
      </w:pPr>
      <w:r>
        <w:rPr>
          <w:rFonts w:ascii="Times New Roman" w:hAnsi="Times New Roman" w:eastAsia="黑体" w:cs="Times New Roman"/>
          <w:b/>
          <w:bCs/>
          <w:sz w:val="21"/>
          <w:szCs w:val="24"/>
        </w:rPr>
        <w:t>4.10.21</w:t>
      </w:r>
      <w:r>
        <w:rPr>
          <w:rFonts w:ascii="Times New Roman" w:hAnsi="Times New Roman" w:cs="Times New Roman"/>
          <w:bCs/>
          <w:kern w:val="0"/>
          <w:sz w:val="21"/>
          <w:szCs w:val="21"/>
        </w:rPr>
        <w:t xml:space="preserve">  </w:t>
      </w:r>
      <w:r>
        <w:rPr>
          <w:rFonts w:ascii="Times New Roman" w:hAnsi="Times New Roman" w:cs="Times New Roman"/>
          <w:bCs/>
          <w:kern w:val="0"/>
          <w:sz w:val="21"/>
          <w:szCs w:val="21"/>
          <w:lang w:bidi="ar"/>
        </w:rPr>
        <w:t>护坡可采用生态护坡、石笼护坡、浆砌石护坡、</w:t>
      </w:r>
      <w:r>
        <w:rPr>
          <w:rFonts w:ascii="Times New Roman" w:hAnsi="Times New Roman" w:cs="Times New Roman"/>
          <w:bCs/>
          <w:kern w:val="0"/>
          <w:sz w:val="21"/>
          <w:szCs w:val="21"/>
        </w:rPr>
        <w:t>干砌石护坡</w:t>
      </w:r>
      <w:r>
        <w:rPr>
          <w:rFonts w:ascii="Times New Roman" w:hAnsi="Times New Roman" w:cs="Times New Roman"/>
          <w:bCs/>
          <w:kern w:val="0"/>
          <w:sz w:val="21"/>
          <w:szCs w:val="21"/>
          <w:lang w:bidi="ar"/>
        </w:rPr>
        <w:t>等。</w:t>
      </w:r>
    </w:p>
    <w:p w14:paraId="49A20ED6">
      <w:pPr>
        <w:widowControl/>
        <w:spacing w:line="360" w:lineRule="auto"/>
        <w:jc w:val="left"/>
        <w:rPr>
          <w:rFonts w:ascii="Times New Roman" w:hAnsi="Times New Roman" w:cs="Times New Roman"/>
          <w:bCs/>
          <w:kern w:val="0"/>
          <w:sz w:val="21"/>
          <w:szCs w:val="21"/>
        </w:rPr>
      </w:pPr>
      <w:r>
        <w:rPr>
          <w:rFonts w:ascii="Times New Roman" w:hAnsi="Times New Roman" w:eastAsia="黑体" w:cs="Times New Roman"/>
          <w:b/>
          <w:bCs/>
          <w:sz w:val="21"/>
          <w:szCs w:val="24"/>
        </w:rPr>
        <w:t>4.10.22</w:t>
      </w:r>
      <w:r>
        <w:rPr>
          <w:rFonts w:ascii="Times New Roman" w:hAnsi="Times New Roman" w:cs="Times New Roman"/>
          <w:bCs/>
          <w:kern w:val="0"/>
          <w:sz w:val="21"/>
          <w:szCs w:val="21"/>
        </w:rPr>
        <w:t xml:space="preserve">  坡面流量、流速不大和冲刷能力较弱的沟坡宜采用生态护坡。坡面流量、流速较大和冲刷能力较强的沟坡宜采用</w:t>
      </w:r>
      <w:r>
        <w:rPr>
          <w:rFonts w:ascii="Times New Roman" w:hAnsi="Times New Roman" w:cs="Times New Roman"/>
          <w:bCs/>
          <w:kern w:val="0"/>
          <w:sz w:val="21"/>
          <w:szCs w:val="21"/>
          <w:lang w:bidi="ar"/>
        </w:rPr>
        <w:t>石笼护坡、浆砌石护坡、</w:t>
      </w:r>
      <w:r>
        <w:rPr>
          <w:rFonts w:ascii="Times New Roman" w:hAnsi="Times New Roman" w:cs="Times New Roman"/>
          <w:bCs/>
          <w:kern w:val="0"/>
          <w:sz w:val="21"/>
          <w:szCs w:val="21"/>
        </w:rPr>
        <w:t>干砌石护坡等。</w:t>
      </w:r>
    </w:p>
    <w:p w14:paraId="4DA8EC9A">
      <w:pPr>
        <w:widowControl/>
        <w:snapToGrid w:val="0"/>
        <w:spacing w:line="360" w:lineRule="auto"/>
        <w:jc w:val="left"/>
        <w:rPr>
          <w:rFonts w:ascii="Times New Roman" w:hAnsi="Times New Roman" w:cs="Times New Roman"/>
          <w:b/>
          <w:sz w:val="24"/>
          <w:szCs w:val="21"/>
        </w:rPr>
      </w:pPr>
      <w:r>
        <w:rPr>
          <w:rFonts w:ascii="Times New Roman" w:hAnsi="Times New Roman" w:eastAsia="黑体" w:cs="Times New Roman"/>
          <w:b/>
          <w:bCs/>
          <w:sz w:val="21"/>
          <w:szCs w:val="24"/>
        </w:rPr>
        <w:t>4.10.23</w:t>
      </w:r>
      <w:r>
        <w:rPr>
          <w:rFonts w:ascii="Times New Roman" w:hAnsi="Times New Roman" w:cs="Times New Roman"/>
          <w:bCs/>
          <w:kern w:val="0"/>
          <w:sz w:val="21"/>
          <w:szCs w:val="21"/>
        </w:rPr>
        <w:t xml:space="preserve">  护坡宜与谷坊措施结合设计</w:t>
      </w:r>
      <w:r>
        <w:rPr>
          <w:rFonts w:ascii="Times New Roman" w:hAnsi="Times New Roman" w:cs="Times New Roman"/>
          <w:bCs/>
          <w:sz w:val="21"/>
          <w:szCs w:val="21"/>
        </w:rPr>
        <w:t>。</w:t>
      </w:r>
    </w:p>
    <w:p w14:paraId="323CDB42">
      <w:pPr>
        <w:keepNext/>
        <w:keepLines/>
        <w:spacing w:before="260" w:after="260"/>
        <w:jc w:val="center"/>
        <w:outlineLvl w:val="2"/>
        <w:rPr>
          <w:rFonts w:ascii="Times New Roman" w:hAnsi="Times New Roman" w:eastAsia="黑体" w:cs="Times New Roman"/>
          <w:bCs/>
          <w:sz w:val="24"/>
          <w:szCs w:val="24"/>
        </w:rPr>
      </w:pPr>
      <w:bookmarkStart w:id="298" w:name="_Toc324287593"/>
      <w:bookmarkStart w:id="299" w:name="_Toc360526282"/>
      <w:bookmarkStart w:id="300" w:name="_Toc324280266"/>
      <w:bookmarkStart w:id="301" w:name="_Toc360520002"/>
      <w:bookmarkStart w:id="302" w:name="_Toc324282301"/>
      <w:bookmarkStart w:id="303" w:name="_Toc360528876"/>
      <w:bookmarkStart w:id="304" w:name="_Toc323828679"/>
      <w:bookmarkStart w:id="305" w:name="_Toc323805643"/>
      <w:r>
        <w:rPr>
          <w:rFonts w:ascii="Times New Roman" w:hAnsi="Times New Roman" w:eastAsia="黑体" w:cs="Times New Roman"/>
          <w:bCs/>
          <w:sz w:val="24"/>
          <w:szCs w:val="24"/>
        </w:rPr>
        <w:t>Ⅵ 削坡设计</w:t>
      </w:r>
      <w:bookmarkEnd w:id="298"/>
      <w:bookmarkEnd w:id="299"/>
      <w:bookmarkEnd w:id="300"/>
      <w:bookmarkEnd w:id="301"/>
      <w:bookmarkEnd w:id="302"/>
      <w:bookmarkEnd w:id="303"/>
      <w:bookmarkEnd w:id="304"/>
      <w:bookmarkEnd w:id="305"/>
    </w:p>
    <w:p w14:paraId="32E4E428">
      <w:pPr>
        <w:widowControl/>
        <w:spacing w:line="360" w:lineRule="auto"/>
        <w:jc w:val="left"/>
        <w:rPr>
          <w:rFonts w:ascii="Times New Roman" w:hAnsi="Times New Roman" w:cs="Times New Roman"/>
          <w:b/>
          <w:bCs/>
          <w:kern w:val="0"/>
          <w:sz w:val="24"/>
          <w:szCs w:val="21"/>
        </w:rPr>
      </w:pPr>
      <w:r>
        <w:rPr>
          <w:rFonts w:ascii="Times New Roman" w:hAnsi="Times New Roman" w:eastAsia="黑体" w:cs="Times New Roman"/>
          <w:b/>
          <w:bCs/>
          <w:sz w:val="21"/>
          <w:szCs w:val="24"/>
        </w:rPr>
        <w:t>4.10.24</w:t>
      </w:r>
      <w:r>
        <w:rPr>
          <w:rFonts w:ascii="Times New Roman" w:hAnsi="Times New Roman" w:cs="Times New Roman"/>
          <w:bCs/>
          <w:kern w:val="0"/>
          <w:sz w:val="21"/>
          <w:szCs w:val="21"/>
        </w:rPr>
        <w:t xml:space="preserve">  削坡宜用于沟坡较陡、坡面破碎、稳定性差、局部有坍塌、冲蚀严重、植被覆盖率低，且具备施工条件的沟段。</w:t>
      </w:r>
    </w:p>
    <w:p w14:paraId="278CED63">
      <w:pPr>
        <w:widowControl/>
        <w:spacing w:line="360" w:lineRule="auto"/>
        <w:jc w:val="left"/>
        <w:rPr>
          <w:rFonts w:ascii="Times New Roman" w:hAnsi="Times New Roman" w:cs="Times New Roman"/>
          <w:b/>
          <w:bCs/>
          <w:kern w:val="0"/>
          <w:sz w:val="24"/>
          <w:szCs w:val="21"/>
        </w:rPr>
      </w:pPr>
      <w:r>
        <w:rPr>
          <w:rFonts w:ascii="Times New Roman" w:hAnsi="Times New Roman" w:eastAsia="黑体" w:cs="Times New Roman"/>
          <w:b/>
          <w:bCs/>
          <w:sz w:val="21"/>
          <w:szCs w:val="24"/>
        </w:rPr>
        <w:t>4.10.25</w:t>
      </w:r>
      <w:r>
        <w:rPr>
          <w:rFonts w:ascii="Times New Roman" w:hAnsi="Times New Roman" w:cs="Times New Roman"/>
          <w:bCs/>
          <w:kern w:val="0"/>
          <w:sz w:val="21"/>
          <w:szCs w:val="21"/>
        </w:rPr>
        <w:t xml:space="preserve">  削坡断面面积可按下式计算：</w:t>
      </w:r>
    </w:p>
    <w:p w14:paraId="0B8A3567">
      <w:pPr>
        <w:wordWrap w:val="0"/>
        <w:snapToGrid w:val="0"/>
        <w:spacing w:line="360" w:lineRule="auto"/>
        <w:ind w:right="33"/>
        <w:jc w:val="right"/>
        <w:rPr>
          <w:rFonts w:ascii="Times New Roman" w:hAnsi="Times New Roman" w:cs="Times New Roman"/>
          <w:sz w:val="21"/>
          <w:szCs w:val="21"/>
        </w:rPr>
      </w:pPr>
      <w:r>
        <w:rPr>
          <w:rFonts w:ascii="Times New Roman" w:hAnsi="Times New Roman" w:cs="Times New Roman"/>
          <w:i/>
          <w:sz w:val="21"/>
          <w:szCs w:val="21"/>
        </w:rPr>
        <w:t>A</w:t>
      </w:r>
      <w:r>
        <w:rPr>
          <w:rFonts w:ascii="Times New Roman" w:hAnsi="Times New Roman" w:cs="Times New Roman"/>
          <w:sz w:val="21"/>
          <w:szCs w:val="21"/>
        </w:rPr>
        <w:t>=</w:t>
      </w:r>
      <w:r>
        <w:rPr>
          <w:rFonts w:ascii="Times New Roman" w:hAnsi="Times New Roman" w:cs="Times New Roman"/>
          <w:i/>
          <w:sz w:val="21"/>
          <w:szCs w:val="21"/>
        </w:rPr>
        <w:t>S</w:t>
      </w:r>
      <w:r>
        <w:rPr>
          <w:rFonts w:ascii="Times New Roman" w:hAnsi="Times New Roman" w:cs="Times New Roman"/>
          <w:sz w:val="21"/>
          <w:szCs w:val="21"/>
          <w:vertAlign w:val="subscript"/>
        </w:rPr>
        <w:t>1</w:t>
      </w:r>
      <w:r>
        <w:rPr>
          <w:rFonts w:ascii="Times New Roman" w:hAnsi="Times New Roman" w:cs="Times New Roman"/>
          <w:sz w:val="21"/>
          <w:szCs w:val="21"/>
        </w:rPr>
        <w:t>-</w:t>
      </w:r>
      <w:r>
        <w:rPr>
          <w:rFonts w:ascii="Times New Roman" w:hAnsi="Times New Roman" w:cs="Times New Roman"/>
          <w:i/>
          <w:sz w:val="21"/>
          <w:szCs w:val="21"/>
        </w:rPr>
        <w:t>S</w:t>
      </w:r>
      <w:r>
        <w:rPr>
          <w:rFonts w:ascii="Times New Roman" w:hAnsi="Times New Roman" w:cs="Times New Roman"/>
          <w:sz w:val="21"/>
          <w:szCs w:val="21"/>
          <w:vertAlign w:val="subscript"/>
        </w:rPr>
        <w:t>2</w:t>
      </w:r>
      <w:r>
        <w:rPr>
          <w:rFonts w:ascii="Times New Roman" w:hAnsi="Times New Roman" w:cs="Times New Roman"/>
          <w:sz w:val="21"/>
          <w:szCs w:val="21"/>
        </w:rPr>
        <w:t xml:space="preserve">                               （4.10.25）</w:t>
      </w:r>
    </w:p>
    <w:p w14:paraId="2D8EA1C4">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式中：A——削坡断面面积（m</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56D237F2">
      <w:pPr>
        <w:snapToGrid w:val="0"/>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S</w:t>
      </w:r>
      <w:r>
        <w:rPr>
          <w:rFonts w:ascii="Times New Roman" w:hAnsi="Times New Roman" w:cs="Times New Roman"/>
          <w:sz w:val="21"/>
          <w:szCs w:val="21"/>
          <w:vertAlign w:val="subscript"/>
        </w:rPr>
        <w:t>1</w:t>
      </w:r>
      <w:r>
        <w:rPr>
          <w:rFonts w:ascii="Times New Roman" w:hAnsi="Times New Roman" w:cs="Times New Roman"/>
          <w:sz w:val="21"/>
          <w:szCs w:val="21"/>
        </w:rPr>
        <w:t>——削坡后梯形或近似梯形面积（m</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161E2182">
      <w:pPr>
        <w:snapToGrid w:val="0"/>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S</w:t>
      </w:r>
      <w:r>
        <w:rPr>
          <w:rFonts w:ascii="Times New Roman" w:hAnsi="Times New Roman" w:cs="Times New Roman"/>
          <w:sz w:val="21"/>
          <w:szCs w:val="21"/>
          <w:vertAlign w:val="subscript"/>
        </w:rPr>
        <w:t>2</w:t>
      </w:r>
      <w:r>
        <w:rPr>
          <w:rFonts w:ascii="Times New Roman" w:hAnsi="Times New Roman" w:cs="Times New Roman"/>
          <w:sz w:val="21"/>
          <w:szCs w:val="21"/>
        </w:rPr>
        <w:t>——削坡前沟道三角形或近似三角形面积（m</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2459E202">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4.10.26</w:t>
      </w:r>
      <w:r>
        <w:rPr>
          <w:rFonts w:ascii="Times New Roman" w:hAnsi="Times New Roman" w:cs="Times New Roman"/>
          <w:sz w:val="21"/>
          <w:szCs w:val="24"/>
        </w:rPr>
        <w:t xml:space="preserve"> </w:t>
      </w:r>
      <w:r>
        <w:rPr>
          <w:rFonts w:ascii="Times New Roman" w:hAnsi="Times New Roman" w:cs="Times New Roman"/>
          <w:sz w:val="21"/>
          <w:szCs w:val="21"/>
        </w:rPr>
        <w:t xml:space="preserve"> 削坡宽度可按下式计算：</w:t>
      </w:r>
    </w:p>
    <w:p w14:paraId="14A369A0">
      <w:pPr>
        <w:wordWrap w:val="0"/>
        <w:snapToGrid w:val="0"/>
        <w:spacing w:line="360" w:lineRule="auto"/>
        <w:ind w:right="19" w:firstLine="474" w:firstLineChars="226"/>
        <w:jc w:val="right"/>
        <w:rPr>
          <w:rFonts w:ascii="Times New Roman" w:hAnsi="Times New Roman" w:cs="Times New Roman"/>
          <w:sz w:val="21"/>
          <w:szCs w:val="21"/>
        </w:rPr>
      </w:pPr>
      <w:r>
        <w:rPr>
          <w:rFonts w:ascii="Times New Roman" w:hAnsi="Times New Roman" w:cs="Times New Roman"/>
          <w:i/>
          <w:sz w:val="21"/>
          <w:szCs w:val="21"/>
        </w:rPr>
        <w:t>d</w:t>
      </w:r>
      <w:r>
        <w:rPr>
          <w:rFonts w:ascii="Times New Roman" w:hAnsi="Times New Roman" w:cs="Times New Roman"/>
          <w:sz w:val="21"/>
          <w:szCs w:val="21"/>
        </w:rPr>
        <w:t>=</w:t>
      </w:r>
      <w:r>
        <w:rPr>
          <w:rFonts w:ascii="Times New Roman" w:hAnsi="Times New Roman" w:cs="Times New Roman"/>
          <w:i/>
          <w:sz w:val="21"/>
          <w:szCs w:val="21"/>
        </w:rPr>
        <w:t>H</w:t>
      </w:r>
      <w:r>
        <w:rPr>
          <w:rFonts w:ascii="Times New Roman" w:hAnsi="Times New Roman" w:cs="Times New Roman"/>
          <w:sz w:val="21"/>
          <w:szCs w:val="21"/>
        </w:rPr>
        <w:t>（cot</w:t>
      </w:r>
      <w:r>
        <w:rPr>
          <w:rFonts w:ascii="Times New Roman" w:hAnsi="Times New Roman" w:cs="Times New Roman"/>
          <w:i/>
          <w:sz w:val="21"/>
          <w:szCs w:val="21"/>
        </w:rPr>
        <w:t>β</w:t>
      </w:r>
      <w:r>
        <w:rPr>
          <w:rFonts w:ascii="Times New Roman" w:hAnsi="Times New Roman" w:cs="Times New Roman"/>
          <w:sz w:val="21"/>
          <w:szCs w:val="21"/>
        </w:rPr>
        <w:t>-cot</w:t>
      </w:r>
      <w:r>
        <w:rPr>
          <w:rFonts w:ascii="Times New Roman" w:hAnsi="Times New Roman" w:cs="Times New Roman"/>
          <w:i/>
          <w:sz w:val="21"/>
          <w:szCs w:val="21"/>
        </w:rPr>
        <w:t>α</w:t>
      </w:r>
      <w:r>
        <w:rPr>
          <w:rFonts w:ascii="Times New Roman" w:hAnsi="Times New Roman" w:cs="Times New Roman"/>
          <w:sz w:val="21"/>
          <w:szCs w:val="21"/>
        </w:rPr>
        <w:t>）                        （4.10.26）</w:t>
      </w:r>
    </w:p>
    <w:p w14:paraId="7BFB8554">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H</w:t>
      </w:r>
      <w:r>
        <w:rPr>
          <w:rFonts w:ascii="Times New Roman" w:hAnsi="Times New Roman" w:cs="Times New Roman"/>
          <w:sz w:val="21"/>
          <w:szCs w:val="21"/>
        </w:rPr>
        <w:t>——原沟深（m）；</w:t>
      </w:r>
    </w:p>
    <w:p w14:paraId="7207E443">
      <w:pPr>
        <w:snapToGrid w:val="0"/>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α</w:t>
      </w:r>
      <w:r>
        <w:rPr>
          <w:rFonts w:ascii="Times New Roman" w:hAnsi="Times New Roman" w:cs="Times New Roman"/>
          <w:sz w:val="21"/>
          <w:szCs w:val="21"/>
        </w:rPr>
        <w:t>——原坡角（°）；</w:t>
      </w:r>
    </w:p>
    <w:p w14:paraId="020A81BB">
      <w:pPr>
        <w:snapToGrid w:val="0"/>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β</w:t>
      </w:r>
      <w:r>
        <w:rPr>
          <w:rFonts w:ascii="Times New Roman" w:hAnsi="Times New Roman" w:cs="Times New Roman"/>
          <w:sz w:val="21"/>
          <w:szCs w:val="21"/>
        </w:rPr>
        <w:t>——削坡后坡角（°）。</w:t>
      </w:r>
    </w:p>
    <w:p w14:paraId="367DD4CC">
      <w:pPr>
        <w:rPr>
          <w:rFonts w:ascii="Times New Roman" w:hAnsi="Times New Roman" w:cs="Times New Roman"/>
          <w:b/>
          <w:sz w:val="21"/>
          <w:szCs w:val="21"/>
        </w:rPr>
      </w:pPr>
      <w:r>
        <w:rPr>
          <w:rFonts w:ascii="Times New Roman" w:hAnsi="Times New Roman" w:eastAsia="黑体" w:cs="Times New Roman"/>
          <w:b/>
          <w:bCs/>
          <w:sz w:val="21"/>
          <w:szCs w:val="24"/>
        </w:rPr>
        <w:t>4.10.27</w:t>
      </w:r>
      <w:r>
        <w:rPr>
          <w:rFonts w:ascii="Times New Roman" w:hAnsi="Times New Roman" w:cs="Times New Roman"/>
          <w:bCs/>
          <w:sz w:val="21"/>
          <w:szCs w:val="21"/>
        </w:rPr>
        <w:t xml:space="preserve">  削坡工程完成后，应及时布设边坡防护措施。</w:t>
      </w:r>
    </w:p>
    <w:p w14:paraId="6AFA6148">
      <w:pPr>
        <w:keepNext/>
        <w:keepLines/>
        <w:spacing w:before="260" w:after="260"/>
        <w:jc w:val="center"/>
        <w:outlineLvl w:val="2"/>
        <w:rPr>
          <w:rFonts w:ascii="Times New Roman" w:hAnsi="Times New Roman" w:eastAsia="黑体" w:cs="Times New Roman"/>
          <w:bCs/>
          <w:sz w:val="24"/>
          <w:szCs w:val="24"/>
        </w:rPr>
      </w:pPr>
      <w:bookmarkStart w:id="306" w:name="_Toc324287594"/>
      <w:bookmarkStart w:id="307" w:name="_Toc323805644"/>
      <w:bookmarkStart w:id="308" w:name="_Toc360528877"/>
      <w:bookmarkStart w:id="309" w:name="_Toc360526283"/>
      <w:bookmarkStart w:id="310" w:name="_Toc324280267"/>
      <w:bookmarkStart w:id="311" w:name="_Toc324282302"/>
      <w:bookmarkStart w:id="312" w:name="_Toc360520003"/>
      <w:bookmarkStart w:id="313" w:name="_Toc323828680"/>
      <w:r>
        <w:rPr>
          <w:rFonts w:ascii="Times New Roman" w:hAnsi="Times New Roman" w:eastAsia="黑体" w:cs="Times New Roman"/>
          <w:bCs/>
          <w:sz w:val="24"/>
          <w:szCs w:val="24"/>
        </w:rPr>
        <w:t>Ⅶ 填埋修复设计</w:t>
      </w:r>
      <w:bookmarkEnd w:id="306"/>
      <w:bookmarkEnd w:id="307"/>
      <w:bookmarkEnd w:id="308"/>
      <w:bookmarkEnd w:id="309"/>
      <w:bookmarkEnd w:id="310"/>
      <w:bookmarkEnd w:id="311"/>
      <w:bookmarkEnd w:id="312"/>
      <w:bookmarkEnd w:id="313"/>
    </w:p>
    <w:p w14:paraId="0CDDF1CA">
      <w:pPr>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4.10.28</w:t>
      </w:r>
      <w:r>
        <w:rPr>
          <w:rFonts w:ascii="Times New Roman" w:hAnsi="Times New Roman" w:cs="Times New Roman"/>
          <w:sz w:val="21"/>
          <w:szCs w:val="21"/>
        </w:rPr>
        <w:t xml:space="preserve">  填埋修复包括填埋复垦和半填覆绿。</w:t>
      </w:r>
    </w:p>
    <w:p w14:paraId="3A98E4A7">
      <w:pPr>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4.10.29</w:t>
      </w:r>
      <w:r>
        <w:rPr>
          <w:rFonts w:ascii="Times New Roman" w:hAnsi="Times New Roman" w:cs="Times New Roman"/>
          <w:sz w:val="21"/>
          <w:szCs w:val="21"/>
        </w:rPr>
        <w:t xml:space="preserve">  填埋复垦适用于坡耕地中沟道深度小于2m的中小型侵蚀沟，并符合下列规定：</w:t>
      </w:r>
    </w:p>
    <w:p w14:paraId="241F73B8">
      <w:pPr>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1</w:t>
      </w:r>
      <w:r>
        <w:rPr>
          <w:rFonts w:ascii="Times New Roman" w:hAnsi="Times New Roman" w:cs="Times New Roman"/>
          <w:sz w:val="21"/>
          <w:szCs w:val="21"/>
        </w:rPr>
        <w:t xml:space="preserve">  填埋复垦包括沟道整形、暗管铺设、秸秆打捆、秸秆铺设、表层覆土、截流埂和沟口防护等。填埋复垦布设见图4.10.29。</w:t>
      </w:r>
    </w:p>
    <w:tbl>
      <w:tblPr>
        <w:tblStyle w:val="10"/>
        <w:tblW w:w="0" w:type="auto"/>
        <w:tblInd w:w="0" w:type="dxa"/>
        <w:tblLayout w:type="autofit"/>
        <w:tblCellMar>
          <w:top w:w="0" w:type="dxa"/>
          <w:left w:w="108" w:type="dxa"/>
          <w:bottom w:w="0" w:type="dxa"/>
          <w:right w:w="108" w:type="dxa"/>
        </w:tblCellMar>
      </w:tblPr>
      <w:tblGrid>
        <w:gridCol w:w="3706"/>
        <w:gridCol w:w="4600"/>
      </w:tblGrid>
      <w:tr w14:paraId="0C20403C">
        <w:tblPrEx>
          <w:tblCellMar>
            <w:top w:w="0" w:type="dxa"/>
            <w:left w:w="108" w:type="dxa"/>
            <w:bottom w:w="0" w:type="dxa"/>
            <w:right w:w="108" w:type="dxa"/>
          </w:tblCellMar>
        </w:tblPrEx>
        <w:tc>
          <w:tcPr>
            <w:tcW w:w="3715" w:type="dxa"/>
            <w:shd w:val="clear" w:color="auto" w:fill="auto"/>
            <w:vAlign w:val="center"/>
          </w:tcPr>
          <w:p w14:paraId="16E6C9BF">
            <w:pPr>
              <w:spacing w:after="120"/>
              <w:ind w:firstLine="211" w:firstLineChars="100"/>
              <w:jc w:val="center"/>
              <w:rPr>
                <w:rFonts w:ascii="Times New Roman" w:hAnsi="Times New Roman" w:cs="Times New Roman"/>
                <w:sz w:val="21"/>
                <w:szCs w:val="21"/>
              </w:rPr>
            </w:pPr>
            <w:r>
              <w:rPr>
                <w:rFonts w:ascii="Times New Roman" w:hAnsi="Times New Roman" w:cs="Times New Roman"/>
                <w:b/>
                <w:sz w:val="21"/>
                <w:szCs w:val="21"/>
              </w:rPr>
              <w:drawing>
                <wp:inline distT="0" distB="0" distL="114300" distR="114300">
                  <wp:extent cx="1979930" cy="925830"/>
                  <wp:effectExtent l="0" t="0" r="0" b="3810"/>
                  <wp:docPr id="205"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141"/>
                          <pic:cNvPicPr>
                            <a:picLocks noChangeAspect="1"/>
                          </pic:cNvPicPr>
                        </pic:nvPicPr>
                        <pic:blipFill>
                          <a:blip r:embed="rId119"/>
                          <a:srcRect t="2895"/>
                          <a:stretch>
                            <a:fillRect/>
                          </a:stretch>
                        </pic:blipFill>
                        <pic:spPr>
                          <a:xfrm>
                            <a:off x="0" y="0"/>
                            <a:ext cx="1979930" cy="925830"/>
                          </a:xfrm>
                          <a:prstGeom prst="rect">
                            <a:avLst/>
                          </a:prstGeom>
                          <a:noFill/>
                          <a:ln>
                            <a:noFill/>
                          </a:ln>
                        </pic:spPr>
                      </pic:pic>
                    </a:graphicData>
                  </a:graphic>
                </wp:inline>
              </w:drawing>
            </w:r>
          </w:p>
        </w:tc>
        <w:tc>
          <w:tcPr>
            <w:tcW w:w="4581" w:type="dxa"/>
            <w:shd w:val="clear" w:color="auto" w:fill="auto"/>
            <w:vAlign w:val="center"/>
          </w:tcPr>
          <w:p w14:paraId="35DCBAE0">
            <w:pPr>
              <w:spacing w:after="120"/>
              <w:ind w:firstLine="211" w:firstLineChars="100"/>
              <w:jc w:val="center"/>
              <w:rPr>
                <w:rFonts w:ascii="Times New Roman" w:hAnsi="Times New Roman" w:cs="Times New Roman"/>
                <w:sz w:val="21"/>
                <w:szCs w:val="21"/>
              </w:rPr>
            </w:pPr>
            <w:r>
              <w:rPr>
                <w:rFonts w:ascii="Times New Roman" w:hAnsi="Times New Roman" w:cs="Times New Roman"/>
                <w:b/>
                <w:kern w:val="0"/>
                <w:sz w:val="21"/>
                <w:szCs w:val="21"/>
              </w:rPr>
              <w:drawing>
                <wp:inline distT="0" distB="0" distL="114300" distR="114300">
                  <wp:extent cx="2595245" cy="1118870"/>
                  <wp:effectExtent l="0" t="0" r="10795" b="8890"/>
                  <wp:docPr id="206"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142"/>
                          <pic:cNvPicPr>
                            <a:picLocks noChangeAspect="1"/>
                          </pic:cNvPicPr>
                        </pic:nvPicPr>
                        <pic:blipFill>
                          <a:blip r:embed="rId120"/>
                          <a:stretch>
                            <a:fillRect/>
                          </a:stretch>
                        </pic:blipFill>
                        <pic:spPr>
                          <a:xfrm>
                            <a:off x="0" y="0"/>
                            <a:ext cx="2595245" cy="1118870"/>
                          </a:xfrm>
                          <a:prstGeom prst="rect">
                            <a:avLst/>
                          </a:prstGeom>
                          <a:noFill/>
                          <a:ln>
                            <a:noFill/>
                          </a:ln>
                        </pic:spPr>
                      </pic:pic>
                    </a:graphicData>
                  </a:graphic>
                </wp:inline>
              </w:drawing>
            </w:r>
          </w:p>
        </w:tc>
      </w:tr>
      <w:tr w14:paraId="56EDAF2C">
        <w:tblPrEx>
          <w:tblCellMar>
            <w:top w:w="0" w:type="dxa"/>
            <w:left w:w="108" w:type="dxa"/>
            <w:bottom w:w="0" w:type="dxa"/>
            <w:right w:w="108" w:type="dxa"/>
          </w:tblCellMar>
        </w:tblPrEx>
        <w:tc>
          <w:tcPr>
            <w:tcW w:w="3715" w:type="dxa"/>
            <w:shd w:val="clear" w:color="auto" w:fill="auto"/>
            <w:vAlign w:val="center"/>
          </w:tcPr>
          <w:p w14:paraId="68BE1971">
            <w:pPr>
              <w:spacing w:after="120" w:line="360" w:lineRule="auto"/>
              <w:jc w:val="center"/>
              <w:rPr>
                <w:rFonts w:ascii="Times New Roman" w:hAnsi="Times New Roman" w:cs="Times New Roman"/>
                <w:sz w:val="21"/>
                <w:szCs w:val="21"/>
              </w:rPr>
            </w:pPr>
            <w:r>
              <w:rPr>
                <w:rFonts w:ascii="Times New Roman" w:hAnsi="Times New Roman" w:cs="Times New Roman"/>
                <w:sz w:val="13"/>
                <w:szCs w:val="13"/>
              </w:rPr>
              <w:t>a）横断面图</w:t>
            </w:r>
          </w:p>
        </w:tc>
        <w:tc>
          <w:tcPr>
            <w:tcW w:w="4581" w:type="dxa"/>
            <w:shd w:val="clear" w:color="auto" w:fill="auto"/>
            <w:vAlign w:val="center"/>
          </w:tcPr>
          <w:p w14:paraId="513D2724">
            <w:pPr>
              <w:spacing w:after="120" w:line="360" w:lineRule="auto"/>
              <w:jc w:val="center"/>
              <w:rPr>
                <w:rFonts w:ascii="Times New Roman" w:hAnsi="Times New Roman" w:cs="Times New Roman"/>
                <w:sz w:val="13"/>
                <w:szCs w:val="13"/>
              </w:rPr>
            </w:pPr>
            <w:r>
              <w:rPr>
                <w:rFonts w:ascii="Times New Roman" w:hAnsi="Times New Roman" w:cs="Times New Roman"/>
                <w:sz w:val="13"/>
                <w:szCs w:val="13"/>
              </w:rPr>
              <w:t>b）纵断面图</w:t>
            </w:r>
          </w:p>
        </w:tc>
      </w:tr>
    </w:tbl>
    <w:p w14:paraId="237564F2">
      <w:pPr>
        <w:spacing w:line="360" w:lineRule="auto"/>
        <w:jc w:val="center"/>
        <w:rPr>
          <w:rFonts w:ascii="Times New Roman" w:hAnsi="Times New Roman" w:cs="Times New Roman"/>
          <w:sz w:val="15"/>
          <w:szCs w:val="15"/>
        </w:rPr>
      </w:pPr>
      <w:r>
        <w:rPr>
          <w:rFonts w:ascii="Times New Roman" w:hAnsi="Times New Roman" w:cs="Times New Roman"/>
          <w:sz w:val="15"/>
          <w:szCs w:val="15"/>
        </w:rPr>
        <w:t>1 —秸秆捆；2 —暗管；3 —回填土；4 —碎石层；5 —石块；6 —截流埂；7 —沟头口防护</w:t>
      </w:r>
    </w:p>
    <w:p w14:paraId="05000C80">
      <w:pPr>
        <w:spacing w:line="360" w:lineRule="auto"/>
        <w:jc w:val="center"/>
        <w:rPr>
          <w:rFonts w:ascii="Times New Roman" w:hAnsi="Times New Roman" w:cs="Times New Roman"/>
          <w:sz w:val="21"/>
          <w:szCs w:val="21"/>
        </w:rPr>
      </w:pPr>
      <w:r>
        <w:rPr>
          <w:rFonts w:hint="eastAsia" w:ascii="黑体" w:hAnsi="黑体" w:eastAsia="黑体" w:cs="黑体"/>
          <w:sz w:val="18"/>
          <w:szCs w:val="18"/>
        </w:rPr>
        <w:t>图</w:t>
      </w:r>
      <w:r>
        <w:rPr>
          <w:rFonts w:ascii="Times New Roman" w:hAnsi="Times New Roman" w:eastAsia="黑体" w:cs="Times New Roman"/>
          <w:sz w:val="18"/>
          <w:szCs w:val="18"/>
        </w:rPr>
        <w:t>4.10.29</w:t>
      </w:r>
      <w:r>
        <w:rPr>
          <w:rFonts w:hint="eastAsia" w:ascii="黑体" w:hAnsi="黑体" w:eastAsia="黑体" w:cs="黑体"/>
          <w:sz w:val="18"/>
          <w:szCs w:val="18"/>
        </w:rPr>
        <w:t xml:space="preserve">  填埋复垦工程布设图</w:t>
      </w:r>
    </w:p>
    <w:p w14:paraId="4DAC2637">
      <w:pPr>
        <w:widowControl/>
        <w:spacing w:line="360" w:lineRule="auto"/>
        <w:ind w:firstLine="422" w:firstLineChars="200"/>
        <w:jc w:val="left"/>
        <w:rPr>
          <w:rFonts w:ascii="Times New Roman" w:hAnsi="Times New Roman" w:cs="Times New Roman"/>
          <w:sz w:val="21"/>
          <w:szCs w:val="21"/>
          <w:lang w:bidi="ar"/>
        </w:rPr>
      </w:pPr>
      <w:r>
        <w:rPr>
          <w:rFonts w:ascii="Times New Roman" w:hAnsi="Times New Roman" w:cs="Times New Roman"/>
          <w:b/>
          <w:bCs/>
          <w:sz w:val="21"/>
          <w:szCs w:val="21"/>
        </w:rPr>
        <w:t>2</w:t>
      </w:r>
      <w:r>
        <w:rPr>
          <w:rFonts w:ascii="Times New Roman" w:hAnsi="Times New Roman" w:cs="Times New Roman"/>
          <w:sz w:val="21"/>
          <w:szCs w:val="21"/>
        </w:rPr>
        <w:t xml:space="preserve">  防御标准按照10a一遇3~6h最大暴雨强度计算。</w:t>
      </w:r>
    </w:p>
    <w:p w14:paraId="7EF511A3">
      <w:pPr>
        <w:widowControl/>
        <w:spacing w:line="360" w:lineRule="auto"/>
        <w:jc w:val="left"/>
        <w:rPr>
          <w:rFonts w:ascii="Times New Roman" w:hAnsi="Times New Roman" w:cs="Times New Roman"/>
          <w:sz w:val="21"/>
          <w:szCs w:val="21"/>
          <w:lang w:bidi="ar"/>
        </w:rPr>
      </w:pPr>
      <w:r>
        <w:rPr>
          <w:rFonts w:ascii="Times New Roman" w:hAnsi="Times New Roman" w:eastAsia="黑体" w:cs="Times New Roman"/>
          <w:b/>
          <w:bCs/>
          <w:sz w:val="21"/>
          <w:szCs w:val="24"/>
        </w:rPr>
        <w:t>4.10.30</w:t>
      </w:r>
      <w:r>
        <w:rPr>
          <w:rFonts w:ascii="Times New Roman" w:hAnsi="Times New Roman" w:cs="Times New Roman"/>
          <w:sz w:val="21"/>
          <w:szCs w:val="21"/>
          <w:lang w:bidi="ar"/>
        </w:rPr>
        <w:t xml:space="preserve">  半填覆绿宜用于</w:t>
      </w:r>
      <w:r>
        <w:rPr>
          <w:rFonts w:ascii="Times New Roman" w:hAnsi="Times New Roman" w:cs="Times New Roman"/>
          <w:kern w:val="0"/>
          <w:sz w:val="21"/>
          <w:szCs w:val="21"/>
          <w:lang w:bidi="ar"/>
        </w:rPr>
        <w:t>沟深大于2m，表土层厚度不小于0.5m的侵蚀沟</w:t>
      </w:r>
      <w:r>
        <w:rPr>
          <w:rFonts w:ascii="Times New Roman" w:hAnsi="Times New Roman" w:cs="Times New Roman"/>
          <w:sz w:val="21"/>
          <w:szCs w:val="21"/>
          <w:lang w:bidi="ar"/>
        </w:rPr>
        <w:t>，并符合下列规定：</w:t>
      </w:r>
    </w:p>
    <w:p w14:paraId="15F38A86">
      <w:pPr>
        <w:spacing w:line="360" w:lineRule="auto"/>
        <w:ind w:firstLine="422" w:firstLineChars="200"/>
        <w:rPr>
          <w:rFonts w:ascii="Times New Roman" w:hAnsi="Times New Roman" w:cs="Times New Roman"/>
          <w:kern w:val="0"/>
          <w:sz w:val="21"/>
          <w:szCs w:val="21"/>
          <w:lang w:bidi="ar"/>
        </w:rPr>
      </w:pPr>
      <w:r>
        <w:rPr>
          <w:rFonts w:ascii="Times New Roman" w:hAnsi="Times New Roman" w:cs="Times New Roman"/>
          <w:b/>
          <w:bCs/>
          <w:sz w:val="21"/>
          <w:szCs w:val="21"/>
          <w:lang w:bidi="ar"/>
        </w:rPr>
        <w:t>1</w:t>
      </w:r>
      <w:r>
        <w:rPr>
          <w:rFonts w:ascii="Times New Roman" w:hAnsi="Times New Roman" w:cs="Times New Roman"/>
          <w:sz w:val="21"/>
          <w:szCs w:val="21"/>
          <w:lang w:bidi="ar"/>
        </w:rPr>
        <w:t xml:space="preserve">  </w:t>
      </w:r>
      <w:r>
        <w:rPr>
          <w:rFonts w:ascii="Times New Roman" w:hAnsi="Times New Roman" w:cs="Times New Roman"/>
          <w:kern w:val="0"/>
          <w:sz w:val="21"/>
          <w:szCs w:val="21"/>
          <w:lang w:bidi="ar"/>
        </w:rPr>
        <w:t>半填覆绿工程由沟道整形、秸杆填埋、覆土、谷坊、造林植草等组成。</w:t>
      </w:r>
    </w:p>
    <w:p w14:paraId="5B0EEE82">
      <w:pPr>
        <w:spacing w:line="360" w:lineRule="auto"/>
        <w:ind w:firstLine="422" w:firstLineChars="200"/>
        <w:jc w:val="left"/>
        <w:rPr>
          <w:rFonts w:ascii="Times New Roman" w:hAnsi="Times New Roman" w:cs="Times New Roman"/>
          <w:kern w:val="0"/>
          <w:sz w:val="21"/>
          <w:szCs w:val="21"/>
          <w:lang w:bidi="ar"/>
        </w:rPr>
      </w:pPr>
      <w:r>
        <w:rPr>
          <w:rFonts w:ascii="Times New Roman" w:hAnsi="Times New Roman" w:cs="Times New Roman"/>
          <w:b/>
          <w:bCs/>
          <w:kern w:val="0"/>
          <w:sz w:val="21"/>
          <w:szCs w:val="21"/>
          <w:lang w:bidi="ar"/>
        </w:rPr>
        <w:t>2</w:t>
      </w:r>
      <w:r>
        <w:rPr>
          <w:rFonts w:ascii="Times New Roman" w:hAnsi="Times New Roman" w:cs="Times New Roman"/>
          <w:kern w:val="0"/>
          <w:sz w:val="21"/>
          <w:szCs w:val="21"/>
          <w:lang w:bidi="ar"/>
        </w:rPr>
        <w:t xml:space="preserve">  半填覆绿工程的主要任务是抬高侵蚀基准面，对侵蚀沟两侧沟坡形成支撑，使坡面暴雨径流有控制地进入沟道，保护地面不被沟壑割切破坏。</w:t>
      </w:r>
    </w:p>
    <w:p w14:paraId="37C2D478">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Ⅷ 侵蚀沟地下排水设计</w:t>
      </w:r>
    </w:p>
    <w:p w14:paraId="6DA9B334">
      <w:pPr>
        <w:snapToGrid w:val="0"/>
        <w:spacing w:line="360" w:lineRule="auto"/>
        <w:rPr>
          <w:rFonts w:ascii="Times New Roman" w:hAnsi="Times New Roman" w:cs="Times New Roman"/>
          <w:kern w:val="0"/>
          <w:sz w:val="21"/>
          <w:szCs w:val="21"/>
          <w:lang w:bidi="ar"/>
        </w:rPr>
      </w:pPr>
      <w:r>
        <w:rPr>
          <w:rFonts w:ascii="Times New Roman" w:hAnsi="Times New Roman" w:eastAsia="黑体" w:cs="Times New Roman"/>
          <w:b/>
          <w:bCs/>
          <w:sz w:val="21"/>
          <w:szCs w:val="24"/>
        </w:rPr>
        <w:t>4.10.31</w:t>
      </w:r>
      <w:r>
        <w:rPr>
          <w:rFonts w:ascii="Times New Roman" w:hAnsi="Times New Roman" w:eastAsia="黑体" w:cs="Times New Roman"/>
          <w:sz w:val="21"/>
          <w:szCs w:val="24"/>
        </w:rPr>
        <w:t xml:space="preserve"> </w:t>
      </w:r>
      <w:r>
        <w:rPr>
          <w:rFonts w:ascii="Times New Roman" w:hAnsi="Times New Roman" w:cs="Times New Roman"/>
          <w:kern w:val="0"/>
          <w:sz w:val="21"/>
          <w:szCs w:val="21"/>
          <w:lang w:bidi="ar"/>
        </w:rPr>
        <w:t xml:space="preserve"> 暗管排水宜与填埋修复相结合。</w:t>
      </w:r>
    </w:p>
    <w:p w14:paraId="0663EBED">
      <w:pPr>
        <w:snapToGrid w:val="0"/>
        <w:spacing w:line="360" w:lineRule="auto"/>
        <w:rPr>
          <w:rFonts w:ascii="Times New Roman" w:hAnsi="Times New Roman" w:eastAsia="黑体" w:cs="Times New Roman"/>
          <w:sz w:val="21"/>
          <w:szCs w:val="24"/>
        </w:rPr>
      </w:pPr>
      <w:r>
        <w:rPr>
          <w:rFonts w:ascii="Times New Roman" w:hAnsi="Times New Roman" w:eastAsia="黑体" w:cs="Times New Roman"/>
          <w:b/>
          <w:bCs/>
          <w:sz w:val="21"/>
          <w:szCs w:val="24"/>
        </w:rPr>
        <w:t>4.10.32</w:t>
      </w:r>
      <w:r>
        <w:rPr>
          <w:rFonts w:ascii="Times New Roman" w:hAnsi="Times New Roman" w:cs="Times New Roman"/>
          <w:kern w:val="0"/>
          <w:sz w:val="21"/>
          <w:szCs w:val="21"/>
          <w:lang w:bidi="ar"/>
        </w:rPr>
        <w:t xml:space="preserve">  暗管管径应考虑地表径流、地下径流量等因素综合确定。 </w:t>
      </w:r>
    </w:p>
    <w:p w14:paraId="3E7B92BC">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4.10.33</w:t>
      </w:r>
      <w:r>
        <w:rPr>
          <w:rFonts w:ascii="Times New Roman" w:hAnsi="Times New Roman" w:cs="Times New Roman"/>
          <w:sz w:val="21"/>
          <w:szCs w:val="21"/>
        </w:rPr>
        <w:t xml:space="preserve">  地下径流应按下式计算。</w:t>
      </w:r>
    </w:p>
    <w:p w14:paraId="4D967BFE">
      <w:pPr>
        <w:wordWrap w:val="0"/>
        <w:snapToGrid w:val="0"/>
        <w:spacing w:line="360" w:lineRule="auto"/>
        <w:jc w:val="right"/>
        <w:rPr>
          <w:rFonts w:ascii="Times New Roman" w:hAnsi="Times New Roman" w:cs="Times New Roman"/>
          <w:sz w:val="21"/>
          <w:szCs w:val="21"/>
        </w:rPr>
      </w:pPr>
      <w:r>
        <w:rPr>
          <w:rFonts w:ascii="Times New Roman" w:hAnsi="Times New Roman" w:cs="Times New Roman"/>
          <w:position w:val="-10"/>
          <w:sz w:val="21"/>
          <w:szCs w:val="21"/>
        </w:rPr>
        <w:object>
          <v:shape id="_x0000_i1073" o:spt="75" type="#_x0000_t75" style="height:16.2pt;width:54pt;" o:ole="t" filled="f" o:preferrelative="t" stroked="f" coordsize="21600,21600">
            <v:path/>
            <v:fill on="f" focussize="0,0"/>
            <v:stroke on="f" joinstyle="miter"/>
            <v:imagedata r:id="rId122" o:title=""/>
            <o:lock v:ext="edit" aspectratio="t"/>
            <w10:wrap type="none"/>
            <w10:anchorlock/>
          </v:shape>
          <o:OLEObject Type="Embed" ProgID="Equation.3" ShapeID="_x0000_i1073" DrawAspect="Content" ObjectID="_1468075769" r:id="rId121">
            <o:LockedField>false</o:LockedField>
          </o:OLEObject>
        </w:object>
      </w:r>
      <w:r>
        <w:rPr>
          <w:rFonts w:ascii="Times New Roman" w:hAnsi="Times New Roman" w:cs="Times New Roman"/>
          <w:sz w:val="21"/>
          <w:szCs w:val="21"/>
        </w:rPr>
        <w:t xml:space="preserve">                            （4.10.33）</w:t>
      </w:r>
    </w:p>
    <w:p w14:paraId="051346F4">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Q</w:t>
      </w:r>
      <w:r>
        <w:rPr>
          <w:rFonts w:ascii="Times New Roman" w:hAnsi="Times New Roman" w:cs="Times New Roman"/>
          <w:sz w:val="21"/>
          <w:szCs w:val="21"/>
        </w:rPr>
        <w:t>——地下径流量（m</w:t>
      </w:r>
      <w:r>
        <w:rPr>
          <w:rFonts w:ascii="Times New Roman" w:hAnsi="Times New Roman" w:cs="Times New Roman"/>
          <w:sz w:val="21"/>
          <w:szCs w:val="21"/>
          <w:vertAlign w:val="superscript"/>
        </w:rPr>
        <w:t>3</w:t>
      </w:r>
      <w:r>
        <w:rPr>
          <w:rFonts w:ascii="Times New Roman" w:hAnsi="Times New Roman" w:cs="Times New Roman"/>
          <w:sz w:val="21"/>
          <w:szCs w:val="21"/>
        </w:rPr>
        <w:t>/d）；</w:t>
      </w:r>
    </w:p>
    <w:p w14:paraId="707B5BE1">
      <w:pPr>
        <w:snapToGrid w:val="0"/>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k</w:t>
      </w:r>
      <w:r>
        <w:rPr>
          <w:rFonts w:ascii="Times New Roman" w:hAnsi="Times New Roman" w:cs="Times New Roman"/>
          <w:sz w:val="21"/>
          <w:szCs w:val="21"/>
        </w:rPr>
        <w:t>——渗透系数（m/d）；</w:t>
      </w:r>
    </w:p>
    <w:p w14:paraId="5B87D7E8">
      <w:pPr>
        <w:snapToGrid w:val="0"/>
        <w:spacing w:line="360" w:lineRule="auto"/>
        <w:ind w:firstLine="609" w:firstLineChars="290"/>
        <w:rPr>
          <w:rFonts w:ascii="Times New Roman" w:hAnsi="Times New Roman" w:cs="Times New Roman"/>
          <w:sz w:val="21"/>
          <w:szCs w:val="21"/>
        </w:rPr>
      </w:pPr>
      <w:r>
        <w:rPr>
          <w:rFonts w:ascii="Times New Roman" w:hAnsi="Times New Roman" w:cs="Times New Roman"/>
          <w:i/>
          <w:sz w:val="21"/>
          <w:szCs w:val="21"/>
        </w:rPr>
        <w:t>I</w:t>
      </w:r>
      <w:r>
        <w:rPr>
          <w:rFonts w:ascii="Times New Roman" w:hAnsi="Times New Roman" w:cs="Times New Roman"/>
          <w:sz w:val="21"/>
          <w:szCs w:val="21"/>
        </w:rPr>
        <w:t>——地下水水力坡度，无量纲；</w:t>
      </w:r>
    </w:p>
    <w:p w14:paraId="79175876">
      <w:pPr>
        <w:snapToGrid w:val="0"/>
        <w:spacing w:line="360" w:lineRule="auto"/>
        <w:ind w:firstLine="558" w:firstLineChars="266"/>
        <w:rPr>
          <w:rFonts w:ascii="Times New Roman" w:hAnsi="Times New Roman" w:cs="Times New Roman"/>
          <w:sz w:val="21"/>
          <w:szCs w:val="21"/>
        </w:rPr>
      </w:pPr>
      <w:r>
        <w:rPr>
          <w:rFonts w:ascii="Times New Roman" w:hAnsi="Times New Roman" w:cs="Times New Roman"/>
          <w:i/>
          <w:sz w:val="21"/>
          <w:szCs w:val="21"/>
        </w:rPr>
        <w:t>B</w:t>
      </w:r>
      <w:r>
        <w:rPr>
          <w:rFonts w:ascii="Times New Roman" w:hAnsi="Times New Roman" w:cs="Times New Roman"/>
          <w:sz w:val="21"/>
          <w:szCs w:val="21"/>
        </w:rPr>
        <w:t>——计算断面宽度（m）；</w:t>
      </w:r>
    </w:p>
    <w:p w14:paraId="74008BB9">
      <w:pPr>
        <w:snapToGrid w:val="0"/>
        <w:spacing w:line="360" w:lineRule="auto"/>
        <w:ind w:firstLine="518" w:firstLineChars="247"/>
        <w:rPr>
          <w:rFonts w:ascii="Times New Roman" w:hAnsi="Times New Roman" w:cs="Times New Roman"/>
          <w:sz w:val="21"/>
          <w:szCs w:val="21"/>
        </w:rPr>
      </w:pPr>
      <w:r>
        <w:rPr>
          <w:rFonts w:ascii="Times New Roman" w:hAnsi="Times New Roman" w:cs="Times New Roman"/>
          <w:i/>
          <w:sz w:val="21"/>
          <w:szCs w:val="21"/>
        </w:rPr>
        <w:t>M</w:t>
      </w:r>
      <w:r>
        <w:rPr>
          <w:rFonts w:ascii="Times New Roman" w:hAnsi="Times New Roman" w:cs="Times New Roman"/>
          <w:sz w:val="21"/>
          <w:szCs w:val="21"/>
        </w:rPr>
        <w:t>——含水层厚度（m）。</w:t>
      </w:r>
    </w:p>
    <w:p w14:paraId="4F4E1320">
      <w:pPr>
        <w:snapToGrid w:val="0"/>
        <w:spacing w:line="360" w:lineRule="auto"/>
        <w:rPr>
          <w:rFonts w:ascii="Times New Roman" w:hAnsi="Times New Roman" w:cs="Times New Roman"/>
          <w:kern w:val="0"/>
          <w:sz w:val="21"/>
          <w:szCs w:val="21"/>
          <w:lang w:bidi="ar"/>
        </w:rPr>
      </w:pPr>
      <w:r>
        <w:rPr>
          <w:rFonts w:ascii="Times New Roman" w:hAnsi="Times New Roman" w:eastAsia="黑体" w:cs="Times New Roman"/>
          <w:b/>
          <w:bCs/>
          <w:sz w:val="21"/>
          <w:szCs w:val="24"/>
        </w:rPr>
        <w:t>4.10.34</w:t>
      </w:r>
      <w:r>
        <w:rPr>
          <w:rFonts w:ascii="Times New Roman" w:hAnsi="Times New Roman" w:cs="Times New Roman"/>
          <w:sz w:val="21"/>
          <w:szCs w:val="21"/>
        </w:rPr>
        <w:t xml:space="preserve">  排水管径应符合设计排渍流量要求，且不应形成满管出流。暗管设计流量应按满管时理论排水流量的90%设计。</w:t>
      </w:r>
    </w:p>
    <w:p w14:paraId="185822FC">
      <w:pPr>
        <w:keepNext/>
        <w:keepLines/>
        <w:spacing w:before="260" w:after="260" w:line="415" w:lineRule="auto"/>
        <w:jc w:val="center"/>
        <w:outlineLvl w:val="1"/>
        <w:rPr>
          <w:rFonts w:ascii="Times New Roman" w:hAnsi="Times New Roman" w:eastAsia="黑体" w:cs="Times New Roman"/>
          <w:bCs/>
          <w:sz w:val="30"/>
          <w:szCs w:val="32"/>
        </w:rPr>
      </w:pPr>
      <w:bookmarkStart w:id="314" w:name="_Toc6185"/>
      <w:bookmarkStart w:id="315" w:name="_Toc21932"/>
      <w:r>
        <w:rPr>
          <w:rFonts w:ascii="Times New Roman" w:hAnsi="Times New Roman" w:eastAsia="黑体" w:cs="Times New Roman"/>
          <w:bCs/>
          <w:sz w:val="30"/>
          <w:szCs w:val="32"/>
        </w:rPr>
        <w:t>4.11 小型蓄水工程</w:t>
      </w:r>
      <w:bookmarkEnd w:id="314"/>
      <w:bookmarkEnd w:id="315"/>
    </w:p>
    <w:p w14:paraId="5CA57D8B">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Ⅰ 一般规定</w:t>
      </w:r>
    </w:p>
    <w:p w14:paraId="667E9DF6">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kern w:val="0"/>
          <w:sz w:val="21"/>
          <w:szCs w:val="21"/>
        </w:rPr>
        <w:t xml:space="preserve">  小型蓄水工程包括水窖、蓄水池、沉沙池、涝池和雨水集蓄利用工程等类型。</w:t>
      </w:r>
    </w:p>
    <w:p w14:paraId="7311D28E">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b/>
          <w:kern w:val="0"/>
          <w:sz w:val="21"/>
          <w:szCs w:val="21"/>
        </w:rPr>
        <w:t xml:space="preserve"> </w:t>
      </w:r>
      <w:r>
        <w:rPr>
          <w:rFonts w:ascii="Times New Roman" w:hAnsi="Times New Roman" w:cs="Times New Roman"/>
          <w:kern w:val="0"/>
          <w:sz w:val="21"/>
          <w:szCs w:val="21"/>
        </w:rPr>
        <w:t xml:space="preserve"> 小型蓄水工程主要适用于山区、丘陵区坡面径流利用，应与截排水工程配套使用。</w:t>
      </w:r>
    </w:p>
    <w:p w14:paraId="5C35A938">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 xml:space="preserve">3 </w:t>
      </w:r>
      <w:r>
        <w:rPr>
          <w:rFonts w:ascii="Times New Roman" w:hAnsi="Times New Roman" w:cs="Times New Roman"/>
          <w:b/>
          <w:kern w:val="0"/>
          <w:sz w:val="21"/>
          <w:szCs w:val="21"/>
        </w:rPr>
        <w:t xml:space="preserve"> </w:t>
      </w:r>
      <w:r>
        <w:rPr>
          <w:rFonts w:ascii="Times New Roman" w:hAnsi="Times New Roman" w:cs="Times New Roman"/>
          <w:kern w:val="0"/>
          <w:sz w:val="21"/>
          <w:szCs w:val="21"/>
        </w:rPr>
        <w:t>小型蓄水工程设计应遵循下列原则：</w:t>
      </w:r>
    </w:p>
    <w:p w14:paraId="17F5442D">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1</w:t>
      </w:r>
      <w:r>
        <w:rPr>
          <w:rFonts w:ascii="Times New Roman" w:hAnsi="Times New Roman" w:cs="Times New Roman"/>
          <w:b/>
          <w:kern w:val="0"/>
          <w:sz w:val="21"/>
          <w:szCs w:val="21"/>
        </w:rPr>
        <w:t xml:space="preserve">  </w:t>
      </w:r>
      <w:r>
        <w:rPr>
          <w:rFonts w:ascii="Times New Roman" w:hAnsi="Times New Roman" w:cs="Times New Roman"/>
          <w:kern w:val="0"/>
          <w:sz w:val="21"/>
          <w:szCs w:val="21"/>
        </w:rPr>
        <w:t>应结合坡耕地改造、沟壑治理、农业耕作和造林种草措施统筹设计，配套实施。</w:t>
      </w:r>
    </w:p>
    <w:p w14:paraId="3BACE8FE">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工程规模、分布数量及类型应综合分析水土流失治理和需水要求确定。</w:t>
      </w:r>
    </w:p>
    <w:p w14:paraId="674756EF">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kern w:val="0"/>
          <w:sz w:val="21"/>
          <w:szCs w:val="21"/>
        </w:rPr>
        <w:t xml:space="preserve"> </w:t>
      </w:r>
      <w:r>
        <w:rPr>
          <w:rFonts w:ascii="Times New Roman" w:hAnsi="Times New Roman" w:cs="Times New Roman"/>
          <w:kern w:val="0"/>
          <w:sz w:val="21"/>
          <w:szCs w:val="21"/>
        </w:rPr>
        <w:t xml:space="preserve"> 小型蓄水工程</w:t>
      </w:r>
      <w:r>
        <w:rPr>
          <w:rFonts w:ascii="Times New Roman" w:hAnsi="Times New Roman" w:cs="Times New Roman"/>
          <w:sz w:val="21"/>
          <w:szCs w:val="21"/>
        </w:rPr>
        <w:t>设计应包括下列所需基本资料：</w:t>
      </w:r>
    </w:p>
    <w:p w14:paraId="5DEE6520">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1:1000～1:500地形图。</w:t>
      </w:r>
    </w:p>
    <w:p w14:paraId="4AA6778B">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2</w:t>
      </w:r>
      <w:r>
        <w:rPr>
          <w:rFonts w:ascii="Times New Roman" w:hAnsi="Times New Roman" w:cs="Times New Roman"/>
          <w:kern w:val="0"/>
          <w:sz w:val="21"/>
          <w:szCs w:val="21"/>
        </w:rPr>
        <w:t xml:space="preserve">  水文气象资料，包括降水、暴雨、气温等，雨水入渗工程应有相关区域滞水层及地下水分布、土壤类型及渗透系数等方面的资料。</w:t>
      </w:r>
    </w:p>
    <w:p w14:paraId="4D2B4B44">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3</w:t>
      </w:r>
      <w:r>
        <w:rPr>
          <w:rFonts w:ascii="Times New Roman" w:hAnsi="Times New Roman" w:cs="Times New Roman"/>
          <w:kern w:val="0"/>
          <w:sz w:val="21"/>
          <w:szCs w:val="21"/>
        </w:rPr>
        <w:t xml:space="preserve">  社会经济情况，包括灌溉面积（需水）分布情况和人畜饮用水需求情况。</w:t>
      </w:r>
    </w:p>
    <w:p w14:paraId="38176189">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 xml:space="preserve">4 </w:t>
      </w:r>
      <w:r>
        <w:rPr>
          <w:rFonts w:ascii="Times New Roman" w:hAnsi="Times New Roman" w:cs="Times New Roman"/>
          <w:kern w:val="0"/>
          <w:sz w:val="21"/>
          <w:szCs w:val="21"/>
        </w:rPr>
        <w:t xml:space="preserve"> 其他资料，包括项目区周边已建或主体工程设计的各类雨水集流面性质、面积、蓄水设施的种类、数量及容积；需灌溉养护植被类型、面积，以及相应需水定额等。</w:t>
      </w:r>
    </w:p>
    <w:p w14:paraId="2315B17D">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kern w:val="0"/>
          <w:sz w:val="21"/>
          <w:szCs w:val="21"/>
        </w:rPr>
        <w:t xml:space="preserve">  必要时蓄水工程应设置安全警示标志，以确保人畜安全。</w:t>
      </w:r>
    </w:p>
    <w:p w14:paraId="053E1755">
      <w:pPr>
        <w:autoSpaceDE w:val="0"/>
        <w:autoSpaceDN w:val="0"/>
        <w:adjustRightInd w:val="0"/>
        <w:spacing w:line="360" w:lineRule="auto"/>
        <w:rPr>
          <w:rFonts w:ascii="Times New Roman" w:hAnsi="Times New Roman" w:eastAsia="黑体"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eastAsia="黑体" w:cs="Times New Roman"/>
          <w:sz w:val="21"/>
          <w:szCs w:val="24"/>
        </w:rPr>
        <w:t xml:space="preserve">  </w:t>
      </w:r>
      <w:r>
        <w:rPr>
          <w:rFonts w:ascii="Times New Roman" w:hAnsi="Times New Roman" w:cs="Times New Roman"/>
          <w:kern w:val="0"/>
          <w:sz w:val="21"/>
          <w:szCs w:val="21"/>
        </w:rPr>
        <w:t>雨水集蓄利用工程设计应符合现行国家标准《雨水集蓄利用工程技术规范》GB/T 50596的有关规定。</w:t>
      </w:r>
    </w:p>
    <w:p w14:paraId="5B90F66A">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Ⅱ 工程布置</w:t>
      </w:r>
    </w:p>
    <w:p w14:paraId="14925EBC">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7</w:t>
      </w:r>
      <w:r>
        <w:rPr>
          <w:rFonts w:ascii="Times New Roman" w:hAnsi="Times New Roman" w:cs="Times New Roman"/>
          <w:b/>
          <w:kern w:val="0"/>
          <w:sz w:val="21"/>
          <w:szCs w:val="21"/>
        </w:rPr>
        <w:t xml:space="preserve"> </w:t>
      </w:r>
      <w:r>
        <w:rPr>
          <w:rFonts w:ascii="Times New Roman" w:hAnsi="Times New Roman" w:cs="Times New Roman"/>
          <w:kern w:val="0"/>
          <w:sz w:val="21"/>
          <w:szCs w:val="21"/>
        </w:rPr>
        <w:t xml:space="preserve"> 水窖的规划布置应符合下列规定:</w:t>
      </w:r>
    </w:p>
    <w:p w14:paraId="2D8B095E">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1</w:t>
      </w:r>
      <w:r>
        <w:rPr>
          <w:rFonts w:ascii="Times New Roman" w:hAnsi="Times New Roman" w:cs="Times New Roman"/>
          <w:kern w:val="0"/>
          <w:sz w:val="21"/>
          <w:szCs w:val="21"/>
        </w:rPr>
        <w:t xml:space="preserve">  水窖宜布设在村旁、路旁，且有足够地表径流汇集。窖址应具有深厚坚实的土层，距沟头、沟边20m以上，距大树根10m以上。石质山区水窖应布设在不透水基岩上。</w:t>
      </w:r>
    </w:p>
    <w:p w14:paraId="7ACAD649">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2</w:t>
      </w:r>
      <w:r>
        <w:rPr>
          <w:rFonts w:ascii="Times New Roman" w:hAnsi="Times New Roman" w:cs="Times New Roman"/>
          <w:kern w:val="0"/>
          <w:sz w:val="21"/>
          <w:szCs w:val="21"/>
        </w:rPr>
        <w:t xml:space="preserve">  井式水窖单窖容量宜取30m</w:t>
      </w:r>
      <w:r>
        <w:rPr>
          <w:rFonts w:ascii="Times New Roman" w:hAnsi="Times New Roman" w:cs="Times New Roman"/>
          <w:kern w:val="0"/>
          <w:sz w:val="21"/>
          <w:szCs w:val="21"/>
          <w:vertAlign w:val="superscript"/>
        </w:rPr>
        <w:t>3</w:t>
      </w:r>
      <w:r>
        <w:rPr>
          <w:rFonts w:ascii="Times New Roman" w:hAnsi="Times New Roman" w:cs="Times New Roman"/>
          <w:kern w:val="0"/>
          <w:sz w:val="21"/>
          <w:szCs w:val="21"/>
        </w:rPr>
        <w:t>～50m</w:t>
      </w:r>
      <w:r>
        <w:rPr>
          <w:rFonts w:ascii="Times New Roman" w:hAnsi="Times New Roman" w:cs="Times New Roman"/>
          <w:kern w:val="0"/>
          <w:sz w:val="21"/>
          <w:szCs w:val="21"/>
          <w:vertAlign w:val="superscript"/>
        </w:rPr>
        <w:t>3</w:t>
      </w:r>
      <w:r>
        <w:rPr>
          <w:rFonts w:ascii="Times New Roman" w:hAnsi="Times New Roman" w:cs="Times New Roman"/>
          <w:kern w:val="0"/>
          <w:sz w:val="21"/>
          <w:szCs w:val="21"/>
        </w:rPr>
        <w:t>；道路旁边有土质坚实崖坎且要求蓄水量较大的地方，可布设窑式水窖，单窖容量可大于100m</w:t>
      </w:r>
      <w:r>
        <w:rPr>
          <w:rFonts w:ascii="Times New Roman" w:hAnsi="Times New Roman" w:cs="Times New Roman"/>
          <w:kern w:val="0"/>
          <w:sz w:val="21"/>
          <w:szCs w:val="21"/>
          <w:vertAlign w:val="superscript"/>
        </w:rPr>
        <w:t>3</w:t>
      </w:r>
      <w:r>
        <w:rPr>
          <w:rFonts w:ascii="Times New Roman" w:hAnsi="Times New Roman" w:cs="Times New Roman"/>
          <w:kern w:val="0"/>
          <w:sz w:val="21"/>
          <w:szCs w:val="21"/>
        </w:rPr>
        <w:t>。</w:t>
      </w:r>
    </w:p>
    <w:p w14:paraId="1712AE17">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3</w:t>
      </w:r>
      <w:r>
        <w:rPr>
          <w:rFonts w:ascii="Times New Roman" w:hAnsi="Times New Roman" w:cs="Times New Roman"/>
          <w:kern w:val="0"/>
          <w:sz w:val="21"/>
          <w:szCs w:val="21"/>
        </w:rPr>
        <w:t xml:space="preserve">  水窖总容量应根据规划区人口数量，年人均需水量、总需水量，扣除其他水源可供水量等计算确定。</w:t>
      </w:r>
    </w:p>
    <w:p w14:paraId="465E9417">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8</w:t>
      </w:r>
      <w:r>
        <w:rPr>
          <w:rFonts w:ascii="Times New Roman" w:hAnsi="Times New Roman" w:cs="Times New Roman"/>
          <w:kern w:val="0"/>
          <w:sz w:val="21"/>
          <w:szCs w:val="21"/>
        </w:rPr>
        <w:t xml:space="preserve">  蓄水池与沉沙池规划布置应符合下列规定:</w:t>
      </w:r>
    </w:p>
    <w:p w14:paraId="0FD655F0">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蓄水池宜布设在坡脚或坡面局部低洼处，与排水沟相连。</w:t>
      </w:r>
    </w:p>
    <w:p w14:paraId="78F7CA65">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 xml:space="preserve">2 </w:t>
      </w:r>
      <w:r>
        <w:rPr>
          <w:rFonts w:ascii="Times New Roman" w:hAnsi="Times New Roman" w:cs="Times New Roman"/>
          <w:kern w:val="0"/>
          <w:sz w:val="21"/>
          <w:szCs w:val="21"/>
        </w:rPr>
        <w:t xml:space="preserve"> 蓄水池的分布与容量应根据坡面径流总量、蓄排关系，按经济合理、便于使用的原则确定。一个坡面可集中布设一个蓄水池，也可分散布设若干蓄水池。单池容量宜为10m</w:t>
      </w:r>
      <w:r>
        <w:rPr>
          <w:rFonts w:ascii="Times New Roman" w:hAnsi="Times New Roman" w:cs="Times New Roman"/>
          <w:kern w:val="0"/>
          <w:sz w:val="21"/>
          <w:szCs w:val="21"/>
          <w:vertAlign w:val="superscript"/>
        </w:rPr>
        <w:t>3</w:t>
      </w:r>
      <w:r>
        <w:rPr>
          <w:rFonts w:ascii="Times New Roman" w:hAnsi="Times New Roman" w:cs="Times New Roman"/>
          <w:kern w:val="0"/>
          <w:sz w:val="21"/>
          <w:szCs w:val="21"/>
        </w:rPr>
        <w:t>～500m</w:t>
      </w:r>
      <w:r>
        <w:rPr>
          <w:rFonts w:ascii="Times New Roman" w:hAnsi="Times New Roman" w:cs="Times New Roman"/>
          <w:kern w:val="0"/>
          <w:sz w:val="21"/>
          <w:szCs w:val="21"/>
          <w:vertAlign w:val="superscript"/>
        </w:rPr>
        <w:t>3</w:t>
      </w:r>
      <w:r>
        <w:rPr>
          <w:rFonts w:ascii="Times New Roman" w:hAnsi="Times New Roman" w:cs="Times New Roman"/>
          <w:kern w:val="0"/>
          <w:sz w:val="21"/>
          <w:szCs w:val="21"/>
        </w:rPr>
        <w:t>。</w:t>
      </w:r>
    </w:p>
    <w:p w14:paraId="5031FE55">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3</w:t>
      </w:r>
      <w:r>
        <w:rPr>
          <w:rFonts w:ascii="Times New Roman" w:hAnsi="Times New Roman" w:cs="Times New Roman"/>
          <w:b/>
          <w:kern w:val="0"/>
          <w:sz w:val="21"/>
          <w:szCs w:val="21"/>
        </w:rPr>
        <w:t xml:space="preserve"> </w:t>
      </w:r>
      <w:r>
        <w:rPr>
          <w:rFonts w:ascii="Times New Roman" w:hAnsi="Times New Roman" w:cs="Times New Roman"/>
          <w:kern w:val="0"/>
          <w:sz w:val="21"/>
          <w:szCs w:val="21"/>
        </w:rPr>
        <w:t xml:space="preserve"> 蓄水池应根据地形有利、便于利用、地质条件良好、蓄水容量大、工程量小、施工方便等条件确定其选址。</w:t>
      </w:r>
    </w:p>
    <w:p w14:paraId="09A45105">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kern w:val="0"/>
          <w:sz w:val="21"/>
          <w:szCs w:val="21"/>
        </w:rPr>
        <w:t xml:space="preserve">  蓄水池进水口的上游附近宜布设沉沙池，保证清水入池。</w:t>
      </w:r>
    </w:p>
    <w:p w14:paraId="23F69A54">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5</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沉沙池的具体位置应根据当地地形和工程条件确定。</w:t>
      </w:r>
    </w:p>
    <w:p w14:paraId="3DDCC4F9">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b/>
          <w:kern w:val="0"/>
          <w:sz w:val="21"/>
          <w:szCs w:val="21"/>
        </w:rPr>
        <w:t xml:space="preserve"> </w:t>
      </w:r>
      <w:r>
        <w:rPr>
          <w:rFonts w:ascii="Times New Roman" w:hAnsi="Times New Roman" w:cs="Times New Roman"/>
          <w:kern w:val="0"/>
          <w:sz w:val="21"/>
          <w:szCs w:val="21"/>
        </w:rPr>
        <w:t>涝池的规划布置应符合下列规定：</w:t>
      </w:r>
    </w:p>
    <w:p w14:paraId="54654741">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涝池蓄水总量应根据来水量与需水量进行水量供需平衡分析确定。</w:t>
      </w:r>
    </w:p>
    <w:p w14:paraId="1EF88899">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2</w:t>
      </w:r>
      <w:r>
        <w:rPr>
          <w:rFonts w:ascii="Times New Roman" w:hAnsi="Times New Roman" w:cs="Times New Roman"/>
          <w:kern w:val="0"/>
          <w:sz w:val="21"/>
          <w:szCs w:val="21"/>
        </w:rPr>
        <w:t xml:space="preserve">  涝池宜沿道路分散布设，一般涝池单池容量宜为100m</w:t>
      </w:r>
      <w:r>
        <w:rPr>
          <w:rFonts w:ascii="Times New Roman" w:hAnsi="Times New Roman" w:cs="Times New Roman"/>
          <w:kern w:val="0"/>
          <w:sz w:val="21"/>
          <w:szCs w:val="21"/>
          <w:vertAlign w:val="superscript"/>
        </w:rPr>
        <w:t>3</w:t>
      </w:r>
      <w:r>
        <w:rPr>
          <w:rFonts w:ascii="Times New Roman" w:hAnsi="Times New Roman" w:cs="Times New Roman"/>
          <w:kern w:val="0"/>
          <w:sz w:val="21"/>
          <w:szCs w:val="21"/>
        </w:rPr>
        <w:t>～500m</w:t>
      </w:r>
      <w:r>
        <w:rPr>
          <w:rFonts w:ascii="Times New Roman" w:hAnsi="Times New Roman" w:cs="Times New Roman"/>
          <w:kern w:val="0"/>
          <w:sz w:val="21"/>
          <w:szCs w:val="21"/>
          <w:vertAlign w:val="superscript"/>
        </w:rPr>
        <w:t>3</w:t>
      </w:r>
      <w:r>
        <w:rPr>
          <w:rFonts w:ascii="Times New Roman" w:hAnsi="Times New Roman" w:cs="Times New Roman"/>
          <w:kern w:val="0"/>
          <w:sz w:val="21"/>
          <w:szCs w:val="21"/>
        </w:rPr>
        <w:t>。大型涝池单池容量超过500m</w:t>
      </w:r>
      <w:r>
        <w:rPr>
          <w:rFonts w:ascii="Times New Roman" w:hAnsi="Times New Roman" w:cs="Times New Roman"/>
          <w:kern w:val="0"/>
          <w:sz w:val="21"/>
          <w:szCs w:val="21"/>
          <w:vertAlign w:val="superscript"/>
        </w:rPr>
        <w:t>3</w:t>
      </w:r>
      <w:r>
        <w:rPr>
          <w:rFonts w:ascii="Times New Roman" w:hAnsi="Times New Roman" w:cs="Times New Roman"/>
          <w:kern w:val="0"/>
          <w:sz w:val="21"/>
          <w:szCs w:val="21"/>
        </w:rPr>
        <w:t>。</w:t>
      </w:r>
    </w:p>
    <w:p w14:paraId="45CE41A3">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3</w:t>
      </w:r>
      <w:r>
        <w:rPr>
          <w:rFonts w:ascii="Times New Roman" w:hAnsi="Times New Roman" w:cs="Times New Roman"/>
          <w:b/>
          <w:kern w:val="0"/>
          <w:sz w:val="21"/>
          <w:szCs w:val="21"/>
        </w:rPr>
        <w:t xml:space="preserve"> </w:t>
      </w:r>
      <w:r>
        <w:rPr>
          <w:rFonts w:ascii="Times New Roman" w:hAnsi="Times New Roman" w:cs="Times New Roman"/>
          <w:kern w:val="0"/>
          <w:sz w:val="21"/>
          <w:szCs w:val="21"/>
        </w:rPr>
        <w:t xml:space="preserve"> 涝池选址应符合地势低洼、土质抗蚀性能较好、有足够地表径流流入的要求，距沟头、沟边不应小于10m。</w:t>
      </w:r>
    </w:p>
    <w:p w14:paraId="0C21CA6F">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Ⅲ 水窖设计</w:t>
      </w:r>
    </w:p>
    <w:p w14:paraId="590ABE0C">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10</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井式水窖（图4.11.10）设计应符合下列规定：</w:t>
      </w:r>
    </w:p>
    <w:p w14:paraId="7ADA02CE">
      <w:pPr>
        <w:autoSpaceDE w:val="0"/>
        <w:autoSpaceDN w:val="0"/>
        <w:adjustRightInd w:val="0"/>
        <w:spacing w:line="360" w:lineRule="auto"/>
        <w:ind w:firstLine="422" w:firstLineChars="200"/>
        <w:rPr>
          <w:rFonts w:ascii="Times New Roman" w:hAnsi="Times New Roman" w:cs="Times New Roman"/>
          <w:b/>
          <w:kern w:val="0"/>
          <w:sz w:val="24"/>
          <w:szCs w:val="24"/>
        </w:rPr>
      </w:pPr>
      <w:r>
        <w:rPr>
          <w:rFonts w:ascii="Times New Roman" w:hAnsi="Times New Roman" w:eastAsia="黑体" w:cs="Times New Roman"/>
          <w:b/>
          <w:sz w:val="21"/>
          <w:szCs w:val="24"/>
        </w:rPr>
        <w:t>1</w:t>
      </w:r>
      <w:r>
        <w:rPr>
          <w:rFonts w:ascii="Times New Roman" w:hAnsi="Times New Roman" w:cs="Times New Roman"/>
          <w:kern w:val="0"/>
          <w:sz w:val="21"/>
          <w:szCs w:val="24"/>
        </w:rPr>
        <w:t xml:space="preserve">  窖体由窖筒、旱窖、水窖三部分组成，各部分尺寸应符合下列规定：</w:t>
      </w:r>
    </w:p>
    <w:p w14:paraId="7FB47681">
      <w:pPr>
        <w:autoSpaceDE w:val="0"/>
        <w:autoSpaceDN w:val="0"/>
        <w:adjustRightInd w:val="0"/>
        <w:spacing w:line="360" w:lineRule="auto"/>
        <w:ind w:firstLine="624" w:firstLineChars="296"/>
        <w:rPr>
          <w:rFonts w:ascii="Times New Roman" w:hAnsi="Times New Roman" w:cs="Times New Roman"/>
          <w:b/>
          <w:kern w:val="0"/>
          <w:sz w:val="24"/>
          <w:szCs w:val="24"/>
        </w:rPr>
      </w:pPr>
      <w:r>
        <w:rPr>
          <w:rFonts w:ascii="Times New Roman" w:hAnsi="Times New Roman" w:eastAsia="黑体" w:cs="Times New Roman"/>
          <w:b/>
          <w:sz w:val="21"/>
          <w:szCs w:val="24"/>
        </w:rPr>
        <w:t>1</w:t>
      </w:r>
      <w:r>
        <w:rPr>
          <w:rFonts w:hint="eastAsia" w:ascii="宋体" w:hAnsi="宋体"/>
          <w:sz w:val="21"/>
          <w:szCs w:val="24"/>
        </w:rPr>
        <w:t>）</w:t>
      </w:r>
      <w:r>
        <w:rPr>
          <w:rFonts w:ascii="Times New Roman" w:hAnsi="Times New Roman" w:cs="Times New Roman"/>
          <w:kern w:val="0"/>
          <w:sz w:val="21"/>
          <w:szCs w:val="24"/>
        </w:rPr>
        <w:t>窖筒：直径0.6m～0.7m，深1.5m～2m；</w:t>
      </w:r>
    </w:p>
    <w:p w14:paraId="3D692BB7">
      <w:pPr>
        <w:autoSpaceDE w:val="0"/>
        <w:autoSpaceDN w:val="0"/>
        <w:adjustRightInd w:val="0"/>
        <w:spacing w:line="360" w:lineRule="auto"/>
        <w:ind w:firstLine="624" w:firstLineChars="296"/>
        <w:rPr>
          <w:rFonts w:ascii="Times New Roman" w:hAnsi="Times New Roman" w:cs="Times New Roman"/>
          <w:b/>
          <w:kern w:val="0"/>
          <w:sz w:val="24"/>
          <w:szCs w:val="24"/>
        </w:rPr>
      </w:pPr>
      <w:r>
        <w:rPr>
          <w:rFonts w:ascii="Times New Roman" w:hAnsi="Times New Roman" w:eastAsia="黑体" w:cs="Times New Roman"/>
          <w:b/>
          <w:sz w:val="21"/>
          <w:szCs w:val="24"/>
        </w:rPr>
        <w:t>2</w:t>
      </w:r>
      <w:r>
        <w:rPr>
          <w:rFonts w:hint="eastAsia" w:ascii="宋体" w:hAnsi="宋体"/>
          <w:sz w:val="21"/>
          <w:szCs w:val="24"/>
        </w:rPr>
        <w:t>）</w:t>
      </w:r>
      <w:r>
        <w:rPr>
          <w:rFonts w:ascii="Times New Roman" w:hAnsi="Times New Roman" w:cs="Times New Roman"/>
          <w:kern w:val="0"/>
          <w:sz w:val="21"/>
          <w:szCs w:val="24"/>
        </w:rPr>
        <w:t>旱窖：上部与窖筒相连，深2m～3m。直径向下逐步放大，到散盘处直径3m～4m；</w:t>
      </w:r>
    </w:p>
    <w:p w14:paraId="62051671">
      <w:pPr>
        <w:autoSpaceDE w:val="0"/>
        <w:autoSpaceDN w:val="0"/>
        <w:adjustRightInd w:val="0"/>
        <w:spacing w:line="360" w:lineRule="auto"/>
        <w:ind w:firstLine="624" w:firstLineChars="296"/>
        <w:rPr>
          <w:rFonts w:ascii="Times New Roman" w:hAnsi="Times New Roman" w:cs="Times New Roman"/>
          <w:b/>
          <w:kern w:val="0"/>
          <w:sz w:val="24"/>
          <w:szCs w:val="24"/>
        </w:rPr>
      </w:pPr>
      <w:r>
        <w:rPr>
          <w:rFonts w:ascii="Times New Roman" w:hAnsi="Times New Roman" w:eastAsia="黑体" w:cs="Times New Roman"/>
          <w:b/>
          <w:sz w:val="21"/>
          <w:szCs w:val="24"/>
        </w:rPr>
        <w:t>3</w:t>
      </w:r>
      <w:r>
        <w:rPr>
          <w:rFonts w:hint="eastAsia" w:ascii="宋体" w:hAnsi="宋体"/>
          <w:sz w:val="21"/>
          <w:szCs w:val="24"/>
        </w:rPr>
        <w:t>）</w:t>
      </w:r>
      <w:r>
        <w:rPr>
          <w:rFonts w:ascii="Times New Roman" w:hAnsi="Times New Roman" w:cs="Times New Roman"/>
          <w:kern w:val="0"/>
          <w:sz w:val="21"/>
          <w:szCs w:val="24"/>
        </w:rPr>
        <w:t>水窖：深3m～5m，从散盘处向下，直径逐步缩小，底部直径2m～3m。</w:t>
      </w:r>
    </w:p>
    <w:p w14:paraId="7C2087AC">
      <w:pPr>
        <w:autoSpaceDE w:val="0"/>
        <w:autoSpaceDN w:val="0"/>
        <w:adjustRightInd w:val="0"/>
        <w:snapToGrid w:val="0"/>
        <w:ind w:firstLine="472" w:firstLineChars="196"/>
        <w:jc w:val="center"/>
        <w:rPr>
          <w:rFonts w:ascii="Times New Roman" w:hAnsi="Times New Roman" w:cs="Times New Roman"/>
          <w:b/>
          <w:sz w:val="24"/>
          <w:szCs w:val="24"/>
        </w:rPr>
      </w:pPr>
      <w:r>
        <w:rPr>
          <w:rFonts w:ascii="Times New Roman" w:hAnsi="Times New Roman" w:cs="Times New Roman"/>
          <w:b/>
          <w:sz w:val="24"/>
          <w:szCs w:val="24"/>
        </w:rPr>
        <w:drawing>
          <wp:inline distT="0" distB="0" distL="114300" distR="114300">
            <wp:extent cx="2326640" cy="1514475"/>
            <wp:effectExtent l="0" t="0" r="5080" b="9525"/>
            <wp:docPr id="133" name="图片 116"/>
            <wp:cNvGraphicFramePr/>
            <a:graphic xmlns:a="http://schemas.openxmlformats.org/drawingml/2006/main">
              <a:graphicData uri="http://schemas.openxmlformats.org/drawingml/2006/picture">
                <pic:pic xmlns:pic="http://schemas.openxmlformats.org/drawingml/2006/picture">
                  <pic:nvPicPr>
                    <pic:cNvPr id="133" name="图片 116"/>
                    <pic:cNvPicPr/>
                  </pic:nvPicPr>
                  <pic:blipFill>
                    <a:blip r:embed="rId123"/>
                    <a:srcRect l="3952" t="4642" r="1976" b="12930"/>
                    <a:stretch>
                      <a:fillRect/>
                    </a:stretch>
                  </pic:blipFill>
                  <pic:spPr>
                    <a:xfrm>
                      <a:off x="0" y="0"/>
                      <a:ext cx="2326640" cy="1514475"/>
                    </a:xfrm>
                    <a:prstGeom prst="rect">
                      <a:avLst/>
                    </a:prstGeom>
                    <a:noFill/>
                    <a:ln>
                      <a:noFill/>
                    </a:ln>
                  </pic:spPr>
                </pic:pic>
              </a:graphicData>
            </a:graphic>
          </wp:inline>
        </w:drawing>
      </w:r>
    </w:p>
    <w:p w14:paraId="16E90FFA">
      <w:pPr>
        <w:autoSpaceDE w:val="0"/>
        <w:autoSpaceDN w:val="0"/>
        <w:adjustRightInd w:val="0"/>
        <w:ind w:firstLine="352" w:firstLineChars="196"/>
        <w:jc w:val="center"/>
        <w:rPr>
          <w:rFonts w:ascii="Times New Roman" w:hAnsi="Times New Roman" w:eastAsia="黑体" w:cs="Times New Roman"/>
          <w:b/>
          <w:sz w:val="18"/>
          <w:szCs w:val="18"/>
        </w:rPr>
      </w:pPr>
      <w:r>
        <w:rPr>
          <w:rFonts w:ascii="Times New Roman" w:hAnsi="Times New Roman" w:eastAsia="黑体" w:cs="Times New Roman"/>
          <w:sz w:val="18"/>
          <w:szCs w:val="18"/>
        </w:rPr>
        <w:t>图4</w:t>
      </w:r>
      <w:r>
        <w:rPr>
          <w:rFonts w:ascii="Times New Roman" w:hAnsi="Times New Roman" w:cs="Times New Roman"/>
          <w:sz w:val="18"/>
          <w:szCs w:val="18"/>
        </w:rPr>
        <w:t>.</w:t>
      </w:r>
      <w:r>
        <w:rPr>
          <w:rFonts w:ascii="Times New Roman" w:hAnsi="Times New Roman" w:eastAsia="黑体" w:cs="Times New Roman"/>
          <w:sz w:val="18"/>
          <w:szCs w:val="18"/>
        </w:rPr>
        <w:t>11</w:t>
      </w:r>
      <w:r>
        <w:rPr>
          <w:rFonts w:ascii="Times New Roman" w:hAnsi="Times New Roman" w:cs="Times New Roman"/>
          <w:sz w:val="18"/>
          <w:szCs w:val="18"/>
        </w:rPr>
        <w:t>.</w:t>
      </w:r>
      <w:r>
        <w:rPr>
          <w:rFonts w:ascii="Times New Roman" w:hAnsi="Times New Roman" w:eastAsia="黑体" w:cs="Times New Roman"/>
          <w:sz w:val="18"/>
          <w:szCs w:val="18"/>
        </w:rPr>
        <w:t xml:space="preserve">10 </w:t>
      </w:r>
      <w:r>
        <w:rPr>
          <w:rFonts w:hint="eastAsia" w:ascii="Times New Roman" w:hAnsi="Times New Roman" w:eastAsia="黑体" w:cs="Times New Roman"/>
          <w:sz w:val="18"/>
          <w:szCs w:val="18"/>
        </w:rPr>
        <w:t xml:space="preserve"> </w:t>
      </w:r>
      <w:r>
        <w:rPr>
          <w:rFonts w:ascii="Times New Roman" w:hAnsi="Times New Roman" w:eastAsia="黑体" w:cs="Times New Roman"/>
          <w:sz w:val="18"/>
          <w:szCs w:val="18"/>
        </w:rPr>
        <w:t>井式水窖断面示意图</w:t>
      </w:r>
    </w:p>
    <w:p w14:paraId="10C7D641">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地面建筑物由窖口、沉沙池和进水管三部分组成，各部分尺寸</w:t>
      </w:r>
      <w:r>
        <w:rPr>
          <w:rFonts w:ascii="Times New Roman" w:hAnsi="Times New Roman" w:cs="Times New Roman"/>
          <w:kern w:val="0"/>
          <w:sz w:val="21"/>
          <w:szCs w:val="24"/>
        </w:rPr>
        <w:t>应符合下列规定</w:t>
      </w:r>
      <w:r>
        <w:rPr>
          <w:rFonts w:ascii="Times New Roman" w:hAnsi="Times New Roman" w:cs="Times New Roman"/>
          <w:kern w:val="0"/>
          <w:sz w:val="21"/>
          <w:szCs w:val="21"/>
        </w:rPr>
        <w:t>：</w:t>
      </w:r>
    </w:p>
    <w:p w14:paraId="144B99AA">
      <w:pPr>
        <w:autoSpaceDE w:val="0"/>
        <w:autoSpaceDN w:val="0"/>
        <w:adjustRightInd w:val="0"/>
        <w:spacing w:line="360" w:lineRule="auto"/>
        <w:ind w:firstLine="624" w:firstLineChars="296"/>
        <w:rPr>
          <w:rFonts w:ascii="Times New Roman" w:hAnsi="Times New Roman" w:cs="Times New Roman"/>
          <w:b/>
          <w:kern w:val="0"/>
          <w:sz w:val="24"/>
          <w:szCs w:val="24"/>
        </w:rPr>
      </w:pPr>
      <w:r>
        <w:rPr>
          <w:rFonts w:ascii="Times New Roman" w:hAnsi="Times New Roman" w:eastAsia="黑体" w:cs="Times New Roman"/>
          <w:b/>
          <w:sz w:val="21"/>
          <w:szCs w:val="24"/>
        </w:rPr>
        <w:t>1</w:t>
      </w:r>
      <w:r>
        <w:rPr>
          <w:rFonts w:hint="eastAsia" w:ascii="宋体" w:hAnsi="宋体"/>
          <w:sz w:val="21"/>
          <w:szCs w:val="24"/>
        </w:rPr>
        <w:t>）</w:t>
      </w:r>
      <w:r>
        <w:rPr>
          <w:rFonts w:ascii="Times New Roman" w:hAnsi="Times New Roman" w:cs="Times New Roman"/>
          <w:kern w:val="0"/>
          <w:sz w:val="21"/>
          <w:szCs w:val="24"/>
        </w:rPr>
        <w:t>窖口：直径0.6m～0.7m，用砖或块石砌成，高出地面0.3m～0.5m。</w:t>
      </w:r>
    </w:p>
    <w:p w14:paraId="4C6A110F">
      <w:pPr>
        <w:autoSpaceDE w:val="0"/>
        <w:autoSpaceDN w:val="0"/>
        <w:adjustRightInd w:val="0"/>
        <w:spacing w:line="360" w:lineRule="auto"/>
        <w:ind w:left="940" w:leftChars="225" w:right="112" w:rightChars="40" w:hanging="310" w:hangingChars="147"/>
        <w:rPr>
          <w:rFonts w:ascii="Times New Roman" w:hAnsi="Times New Roman" w:cs="Times New Roman"/>
          <w:b/>
          <w:kern w:val="0"/>
          <w:sz w:val="24"/>
          <w:szCs w:val="24"/>
        </w:rPr>
      </w:pPr>
      <w:r>
        <w:rPr>
          <w:rFonts w:ascii="Times New Roman" w:hAnsi="Times New Roman" w:eastAsia="黑体" w:cs="Times New Roman"/>
          <w:b/>
          <w:sz w:val="21"/>
          <w:szCs w:val="24"/>
        </w:rPr>
        <w:t>2</w:t>
      </w:r>
      <w:r>
        <w:rPr>
          <w:rFonts w:hint="eastAsia" w:ascii="宋体" w:hAnsi="宋体"/>
          <w:sz w:val="21"/>
          <w:szCs w:val="24"/>
        </w:rPr>
        <w:t>）</w:t>
      </w:r>
      <w:r>
        <w:rPr>
          <w:rFonts w:ascii="Times New Roman" w:hAnsi="Times New Roman" w:cs="Times New Roman"/>
          <w:kern w:val="0"/>
          <w:sz w:val="21"/>
          <w:szCs w:val="24"/>
        </w:rPr>
        <w:t>沉沙池：位于来水方向路旁，距窖口4m～6m。池体呈矩形，长2m～3m，宽1m～2m，深1.0m～1.5m，四周坡比1:1。</w:t>
      </w:r>
    </w:p>
    <w:p w14:paraId="5CA86EC8">
      <w:pPr>
        <w:autoSpaceDE w:val="0"/>
        <w:autoSpaceDN w:val="0"/>
        <w:adjustRightInd w:val="0"/>
        <w:spacing w:line="360" w:lineRule="auto"/>
        <w:ind w:left="959" w:leftChars="225" w:hanging="329" w:hangingChars="156"/>
        <w:rPr>
          <w:rFonts w:ascii="Times New Roman" w:hAnsi="Times New Roman" w:cs="Times New Roman"/>
          <w:b/>
          <w:kern w:val="0"/>
          <w:sz w:val="24"/>
          <w:szCs w:val="24"/>
        </w:rPr>
      </w:pPr>
      <w:r>
        <w:rPr>
          <w:rFonts w:ascii="Times New Roman" w:hAnsi="Times New Roman" w:eastAsia="黑体" w:cs="Times New Roman"/>
          <w:b/>
          <w:sz w:val="21"/>
          <w:szCs w:val="24"/>
        </w:rPr>
        <w:t>3</w:t>
      </w:r>
      <w:r>
        <w:rPr>
          <w:rFonts w:hint="eastAsia" w:ascii="宋体" w:hAnsi="宋体"/>
          <w:sz w:val="21"/>
          <w:szCs w:val="24"/>
        </w:rPr>
        <w:t>）</w:t>
      </w:r>
      <w:r>
        <w:rPr>
          <w:rFonts w:ascii="Times New Roman" w:hAnsi="Times New Roman" w:cs="Times New Roman"/>
          <w:kern w:val="0"/>
          <w:sz w:val="21"/>
          <w:szCs w:val="24"/>
        </w:rPr>
        <w:t>进水管：圆形，直径0.2m～0.3m，在沉沙池从地表向下深约2/3处，以1:1坡度向下与旱窖相连。</w:t>
      </w:r>
    </w:p>
    <w:p w14:paraId="51280966">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井式水窖结构形式根据当地使用情况可采用直立式简易结构。</w:t>
      </w:r>
    </w:p>
    <w:p w14:paraId="327903CD">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窑式水窖（图4.11.11）设计应符合下列规定：</w:t>
      </w:r>
    </w:p>
    <w:p w14:paraId="456D287E">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kern w:val="0"/>
          <w:sz w:val="21"/>
          <w:szCs w:val="21"/>
        </w:rPr>
        <w:t>窖体由水窑、窑顶、窑门三部分组成</w:t>
      </w:r>
      <w:r>
        <w:rPr>
          <w:rFonts w:ascii="Times New Roman" w:hAnsi="Times New Roman" w:cs="Times New Roman"/>
          <w:kern w:val="0"/>
          <w:sz w:val="21"/>
          <w:szCs w:val="24"/>
        </w:rPr>
        <w:t>，各部分</w:t>
      </w:r>
      <w:r>
        <w:rPr>
          <w:rFonts w:ascii="Times New Roman" w:hAnsi="Times New Roman" w:cs="Times New Roman"/>
          <w:kern w:val="0"/>
          <w:sz w:val="21"/>
          <w:szCs w:val="21"/>
        </w:rPr>
        <w:t>尺寸</w:t>
      </w:r>
      <w:r>
        <w:rPr>
          <w:rFonts w:ascii="Times New Roman" w:hAnsi="Times New Roman" w:cs="Times New Roman"/>
          <w:kern w:val="0"/>
          <w:sz w:val="21"/>
          <w:szCs w:val="24"/>
        </w:rPr>
        <w:t>应符合下列规定：</w:t>
      </w:r>
    </w:p>
    <w:p w14:paraId="22F3D360">
      <w:pPr>
        <w:autoSpaceDE w:val="0"/>
        <w:autoSpaceDN w:val="0"/>
        <w:adjustRightInd w:val="0"/>
        <w:spacing w:line="360" w:lineRule="auto"/>
        <w:ind w:left="959" w:leftChars="225" w:hanging="329" w:hangingChars="156"/>
        <w:rPr>
          <w:rFonts w:ascii="Times New Roman" w:hAnsi="Times New Roman" w:cs="Times New Roman"/>
          <w:b/>
          <w:kern w:val="0"/>
          <w:sz w:val="24"/>
          <w:szCs w:val="24"/>
        </w:rPr>
      </w:pPr>
      <w:r>
        <w:rPr>
          <w:rFonts w:ascii="Times New Roman" w:hAnsi="Times New Roman" w:eastAsia="黑体" w:cs="Times New Roman"/>
          <w:b/>
          <w:sz w:val="21"/>
          <w:szCs w:val="24"/>
        </w:rPr>
        <w:t>1</w:t>
      </w:r>
      <w:r>
        <w:rPr>
          <w:rFonts w:hint="eastAsia" w:ascii="宋体" w:hAnsi="宋体"/>
          <w:sz w:val="21"/>
          <w:szCs w:val="24"/>
        </w:rPr>
        <w:t>）</w:t>
      </w:r>
      <w:r>
        <w:rPr>
          <w:rFonts w:ascii="Times New Roman" w:hAnsi="Times New Roman" w:cs="Times New Roman"/>
          <w:kern w:val="0"/>
          <w:sz w:val="21"/>
          <w:szCs w:val="24"/>
        </w:rPr>
        <w:t>水窑：深3m～4m，长8m～10m，断面为上宽下窄的梯形，上部宽3m～4m，两侧坡比1:0.12左右。</w:t>
      </w:r>
    </w:p>
    <w:p w14:paraId="27AAD49B">
      <w:pPr>
        <w:autoSpaceDE w:val="0"/>
        <w:autoSpaceDN w:val="0"/>
        <w:adjustRightInd w:val="0"/>
        <w:snapToGrid w:val="0"/>
        <w:ind w:firstLine="590" w:firstLineChars="245"/>
        <w:jc w:val="center"/>
        <w:rPr>
          <w:rFonts w:ascii="Times New Roman" w:hAnsi="Times New Roman" w:cs="Times New Roman"/>
          <w:b/>
          <w:kern w:val="0"/>
          <w:sz w:val="24"/>
          <w:szCs w:val="24"/>
        </w:rPr>
      </w:pPr>
      <w:r>
        <w:rPr>
          <w:rFonts w:ascii="Times New Roman" w:hAnsi="Times New Roman" w:cs="Times New Roman"/>
          <w:b/>
          <w:sz w:val="24"/>
          <w:szCs w:val="24"/>
        </w:rPr>
        <w:drawing>
          <wp:inline distT="0" distB="0" distL="114300" distR="114300">
            <wp:extent cx="3657600" cy="1575435"/>
            <wp:effectExtent l="0" t="0" r="0" b="9525"/>
            <wp:docPr id="132" name="图片 117"/>
            <wp:cNvGraphicFramePr/>
            <a:graphic xmlns:a="http://schemas.openxmlformats.org/drawingml/2006/main">
              <a:graphicData uri="http://schemas.openxmlformats.org/drawingml/2006/picture">
                <pic:pic xmlns:pic="http://schemas.openxmlformats.org/drawingml/2006/picture">
                  <pic:nvPicPr>
                    <pic:cNvPr id="132" name="图片 117"/>
                    <pic:cNvPicPr/>
                  </pic:nvPicPr>
                  <pic:blipFill>
                    <a:blip r:embed="rId124"/>
                    <a:srcRect l="3914" t="981" r="2814" b="18652"/>
                    <a:stretch>
                      <a:fillRect/>
                    </a:stretch>
                  </pic:blipFill>
                  <pic:spPr>
                    <a:xfrm>
                      <a:off x="0" y="0"/>
                      <a:ext cx="3657600" cy="1575435"/>
                    </a:xfrm>
                    <a:prstGeom prst="rect">
                      <a:avLst/>
                    </a:prstGeom>
                    <a:noFill/>
                    <a:ln>
                      <a:noFill/>
                    </a:ln>
                  </pic:spPr>
                </pic:pic>
              </a:graphicData>
            </a:graphic>
          </wp:inline>
        </w:drawing>
      </w:r>
    </w:p>
    <w:p w14:paraId="7D2730AA">
      <w:pPr>
        <w:autoSpaceDE w:val="0"/>
        <w:autoSpaceDN w:val="0"/>
        <w:adjustRightInd w:val="0"/>
        <w:ind w:left="140" w:leftChars="50"/>
        <w:jc w:val="center"/>
        <w:rPr>
          <w:rFonts w:ascii="Times New Roman" w:hAnsi="Times New Roman" w:eastAsia="黑体" w:cs="Times New Roman"/>
          <w:b/>
          <w:sz w:val="18"/>
          <w:szCs w:val="18"/>
        </w:rPr>
      </w:pPr>
      <w:r>
        <w:rPr>
          <w:rFonts w:ascii="Times New Roman" w:hAnsi="Times New Roman" w:cs="Times New Roman"/>
          <w:kern w:val="0"/>
          <w:sz w:val="21"/>
          <w:szCs w:val="21"/>
        </w:rPr>
        <w:t>4.11.11</w:t>
      </w:r>
      <w:r>
        <w:rPr>
          <w:rFonts w:ascii="Times New Roman" w:hAnsi="Times New Roman" w:eastAsia="黑体" w:cs="Times New Roman"/>
          <w:sz w:val="18"/>
          <w:szCs w:val="18"/>
        </w:rPr>
        <w:t xml:space="preserve"> 窑式水窖断面示意图</w:t>
      </w:r>
    </w:p>
    <w:p w14:paraId="009D5C80">
      <w:pPr>
        <w:autoSpaceDE w:val="0"/>
        <w:autoSpaceDN w:val="0"/>
        <w:adjustRightInd w:val="0"/>
        <w:spacing w:line="360" w:lineRule="auto"/>
        <w:ind w:left="1042" w:leftChars="269" w:hanging="289" w:hangingChars="137"/>
        <w:rPr>
          <w:rFonts w:ascii="Times New Roman" w:hAnsi="Times New Roman" w:cs="Times New Roman"/>
          <w:b/>
          <w:kern w:val="0"/>
          <w:sz w:val="24"/>
          <w:szCs w:val="24"/>
        </w:rPr>
      </w:pPr>
      <w:r>
        <w:rPr>
          <w:rFonts w:ascii="Times New Roman" w:hAnsi="Times New Roman" w:eastAsia="黑体" w:cs="Times New Roman"/>
          <w:b/>
          <w:sz w:val="21"/>
          <w:szCs w:val="24"/>
        </w:rPr>
        <w:t>2</w:t>
      </w:r>
      <w:r>
        <w:rPr>
          <w:rFonts w:hint="eastAsia" w:ascii="宋体" w:hAnsi="宋体"/>
          <w:sz w:val="21"/>
          <w:szCs w:val="24"/>
        </w:rPr>
        <w:t>）</w:t>
      </w:r>
      <w:r>
        <w:rPr>
          <w:rFonts w:ascii="Times New Roman" w:hAnsi="Times New Roman" w:cs="Times New Roman"/>
          <w:kern w:val="0"/>
          <w:sz w:val="21"/>
          <w:szCs w:val="24"/>
        </w:rPr>
        <w:t>窑顶：长度与水窑一致，半圆拱形断面，直径3m～4m，与水窑上部宽度一致。</w:t>
      </w:r>
    </w:p>
    <w:p w14:paraId="14504E0B">
      <w:pPr>
        <w:autoSpaceDE w:val="0"/>
        <w:autoSpaceDN w:val="0"/>
        <w:adjustRightInd w:val="0"/>
        <w:spacing w:line="360" w:lineRule="auto"/>
        <w:ind w:left="1042" w:leftChars="269" w:hanging="289" w:hangingChars="137"/>
        <w:rPr>
          <w:rFonts w:ascii="Times New Roman" w:hAnsi="Times New Roman" w:cs="Times New Roman"/>
          <w:b/>
          <w:kern w:val="0"/>
          <w:sz w:val="24"/>
          <w:szCs w:val="24"/>
        </w:rPr>
      </w:pPr>
      <w:r>
        <w:rPr>
          <w:rFonts w:ascii="Times New Roman" w:hAnsi="Times New Roman" w:eastAsia="黑体" w:cs="Times New Roman"/>
          <w:b/>
          <w:sz w:val="21"/>
          <w:szCs w:val="24"/>
        </w:rPr>
        <w:t>3</w:t>
      </w:r>
      <w:r>
        <w:rPr>
          <w:rFonts w:hint="eastAsia" w:ascii="宋体" w:hAnsi="宋体"/>
          <w:sz w:val="21"/>
          <w:szCs w:val="24"/>
        </w:rPr>
        <w:t>）</w:t>
      </w:r>
      <w:r>
        <w:rPr>
          <w:rFonts w:ascii="Times New Roman" w:hAnsi="Times New Roman" w:cs="Times New Roman"/>
          <w:kern w:val="0"/>
          <w:sz w:val="21"/>
          <w:szCs w:val="24"/>
        </w:rPr>
        <w:t>窑门：下部梯形断面，尺寸与水窑部分一致，由浆砌石制成，厚0.6m～0.8m，密封不漏水。在离地面约0.5m处埋一水管，外装龙头，可自由放水。上部半圆形断面，尺寸与窑顶部分一致，由木板或其他材料制成。木板中部设1.0m×1.5m的小门。</w:t>
      </w:r>
    </w:p>
    <w:p w14:paraId="17B4CA88">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地面部分由取水口、沉沙池、进水管三部分组成，可按本标准第4.11.10条第2款设计，沉沙池的尺寸应根据来水量确定。</w:t>
      </w:r>
    </w:p>
    <w:p w14:paraId="5504313A">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Ⅳ 蓄水池设计</w:t>
      </w:r>
    </w:p>
    <w:p w14:paraId="79F08B86">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12</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蓄水池容量可按下式计算：</w:t>
      </w:r>
    </w:p>
    <w:p w14:paraId="123AAE56">
      <w:pPr>
        <w:autoSpaceDE w:val="0"/>
        <w:autoSpaceDN w:val="0"/>
        <w:adjustRightInd w:val="0"/>
        <w:spacing w:line="360" w:lineRule="auto"/>
        <w:jc w:val="right"/>
        <w:rPr>
          <w:rFonts w:ascii="Times New Roman" w:hAnsi="Times New Roman" w:cs="Times New Roman"/>
          <w:b/>
          <w:kern w:val="0"/>
          <w:sz w:val="24"/>
          <w:szCs w:val="21"/>
        </w:rPr>
      </w:pPr>
      <w:r>
        <w:rPr>
          <w:rFonts w:ascii="Times New Roman" w:hAnsi="Times New Roman" w:cs="Times New Roman"/>
          <w:i/>
          <w:snapToGrid w:val="0"/>
          <w:kern w:val="0"/>
          <w:sz w:val="21"/>
          <w:szCs w:val="21"/>
        </w:rPr>
        <w:t xml:space="preserve">   V=K（V</w:t>
      </w:r>
      <w:r>
        <w:rPr>
          <w:rFonts w:ascii="Times New Roman" w:hAnsi="Times New Roman" w:cs="Times New Roman"/>
          <w:i/>
          <w:snapToGrid w:val="0"/>
          <w:kern w:val="0"/>
          <w:sz w:val="21"/>
          <w:szCs w:val="21"/>
          <w:vertAlign w:val="subscript"/>
        </w:rPr>
        <w:t>w</w:t>
      </w:r>
      <w:r>
        <w:rPr>
          <w:rFonts w:ascii="Times New Roman" w:hAnsi="Times New Roman" w:cs="Times New Roman"/>
          <w:i/>
          <w:snapToGrid w:val="0"/>
          <w:kern w:val="0"/>
          <w:sz w:val="21"/>
          <w:szCs w:val="21"/>
        </w:rPr>
        <w:t>+V</w:t>
      </w:r>
      <w:r>
        <w:rPr>
          <w:rFonts w:ascii="Times New Roman" w:hAnsi="Times New Roman" w:cs="Times New Roman"/>
          <w:i/>
          <w:snapToGrid w:val="0"/>
          <w:kern w:val="0"/>
          <w:sz w:val="21"/>
          <w:szCs w:val="21"/>
          <w:vertAlign w:val="subscript"/>
        </w:rPr>
        <w:t>s</w:t>
      </w:r>
      <w:r>
        <w:rPr>
          <w:rFonts w:ascii="Times New Roman" w:hAnsi="Times New Roman" w:cs="Times New Roman"/>
          <w:i/>
          <w:snapToGrid w:val="0"/>
          <w:kern w:val="0"/>
          <w:sz w:val="21"/>
          <w:szCs w:val="21"/>
        </w:rPr>
        <w:t>）</w:t>
      </w:r>
      <w:r>
        <w:rPr>
          <w:rFonts w:ascii="Times New Roman" w:hAnsi="Times New Roman" w:cs="Times New Roman"/>
          <w:kern w:val="0"/>
          <w:sz w:val="21"/>
          <w:szCs w:val="21"/>
        </w:rPr>
        <w:t xml:space="preserve">                        （4.11.12）</w:t>
      </w:r>
    </w:p>
    <w:p w14:paraId="1598B8F1">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cs="Times New Roman"/>
          <w:kern w:val="0"/>
          <w:sz w:val="21"/>
          <w:szCs w:val="21"/>
        </w:rPr>
        <w:t>式中：</w:t>
      </w:r>
      <w:r>
        <w:rPr>
          <w:rFonts w:ascii="Times New Roman" w:hAnsi="Times New Roman" w:cs="Times New Roman"/>
          <w:i/>
          <w:kern w:val="0"/>
          <w:sz w:val="21"/>
          <w:szCs w:val="21"/>
        </w:rPr>
        <w:t>V</w:t>
      </w:r>
      <w:r>
        <w:rPr>
          <w:rFonts w:ascii="Times New Roman" w:hAnsi="Times New Roman" w:cs="Times New Roman"/>
          <w:b/>
          <w:sz w:val="24"/>
          <w:szCs w:val="21"/>
        </w:rPr>
        <w:t>——</w:t>
      </w:r>
      <w:r>
        <w:rPr>
          <w:rFonts w:ascii="Times New Roman" w:hAnsi="Times New Roman" w:cs="Times New Roman"/>
          <w:kern w:val="0"/>
          <w:sz w:val="21"/>
          <w:szCs w:val="21"/>
        </w:rPr>
        <w:t>蓄水池容量（m</w:t>
      </w:r>
      <w:r>
        <w:rPr>
          <w:rFonts w:ascii="Times New Roman" w:hAnsi="Times New Roman" w:cs="Times New Roman"/>
          <w:kern w:val="0"/>
          <w:sz w:val="21"/>
          <w:szCs w:val="21"/>
          <w:vertAlign w:val="superscript"/>
        </w:rPr>
        <w:t>3</w:t>
      </w:r>
      <w:r>
        <w:rPr>
          <w:rFonts w:ascii="Times New Roman" w:hAnsi="Times New Roman" w:cs="Times New Roman"/>
          <w:kern w:val="0"/>
          <w:sz w:val="21"/>
          <w:szCs w:val="21"/>
        </w:rPr>
        <w:t>）；</w:t>
      </w:r>
    </w:p>
    <w:p w14:paraId="541AC6CE">
      <w:pPr>
        <w:autoSpaceDE w:val="0"/>
        <w:autoSpaceDN w:val="0"/>
        <w:adjustRightInd w:val="0"/>
        <w:spacing w:line="360" w:lineRule="auto"/>
        <w:ind w:firstLine="630" w:firstLineChars="300"/>
        <w:rPr>
          <w:rFonts w:ascii="Times New Roman" w:hAnsi="Times New Roman" w:cs="Times New Roman"/>
          <w:b/>
          <w:kern w:val="0"/>
          <w:sz w:val="24"/>
          <w:szCs w:val="21"/>
        </w:rPr>
      </w:pPr>
      <w:r>
        <w:rPr>
          <w:rFonts w:ascii="Times New Roman" w:hAnsi="Times New Roman" w:cs="Times New Roman"/>
          <w:i/>
          <w:kern w:val="0"/>
          <w:sz w:val="21"/>
          <w:szCs w:val="21"/>
        </w:rPr>
        <w:t>V</w:t>
      </w:r>
      <w:r>
        <w:rPr>
          <w:rFonts w:ascii="Times New Roman" w:hAnsi="Times New Roman" w:cs="Times New Roman"/>
          <w:kern w:val="0"/>
          <w:sz w:val="21"/>
          <w:szCs w:val="21"/>
          <w:vertAlign w:val="subscript"/>
        </w:rPr>
        <w:t>w</w:t>
      </w:r>
      <w:r>
        <w:rPr>
          <w:rFonts w:ascii="Times New Roman" w:hAnsi="Times New Roman" w:cs="Times New Roman"/>
          <w:b/>
          <w:sz w:val="24"/>
          <w:szCs w:val="21"/>
        </w:rPr>
        <w:t>——</w:t>
      </w:r>
      <w:r>
        <w:rPr>
          <w:rFonts w:ascii="Times New Roman" w:hAnsi="Times New Roman" w:cs="Times New Roman"/>
          <w:kern w:val="0"/>
          <w:sz w:val="21"/>
          <w:szCs w:val="21"/>
        </w:rPr>
        <w:t>设计频率暴雨径流量（m</w:t>
      </w:r>
      <w:r>
        <w:rPr>
          <w:rFonts w:ascii="Times New Roman" w:hAnsi="Times New Roman" w:cs="Times New Roman"/>
          <w:kern w:val="0"/>
          <w:sz w:val="21"/>
          <w:szCs w:val="21"/>
          <w:vertAlign w:val="superscript"/>
        </w:rPr>
        <w:t>3</w:t>
      </w:r>
      <w:r>
        <w:rPr>
          <w:rFonts w:ascii="Times New Roman" w:hAnsi="Times New Roman" w:cs="Times New Roman"/>
          <w:kern w:val="0"/>
          <w:sz w:val="21"/>
          <w:szCs w:val="21"/>
        </w:rPr>
        <w:t>）；</w:t>
      </w:r>
    </w:p>
    <w:p w14:paraId="6E4BE61C">
      <w:pPr>
        <w:autoSpaceDE w:val="0"/>
        <w:autoSpaceDN w:val="0"/>
        <w:adjustRightInd w:val="0"/>
        <w:spacing w:line="360" w:lineRule="auto"/>
        <w:ind w:firstLine="630" w:firstLineChars="300"/>
        <w:rPr>
          <w:rFonts w:ascii="Times New Roman" w:hAnsi="Times New Roman" w:cs="Times New Roman"/>
          <w:b/>
          <w:kern w:val="0"/>
          <w:sz w:val="24"/>
          <w:szCs w:val="21"/>
        </w:rPr>
      </w:pPr>
      <w:r>
        <w:rPr>
          <w:rFonts w:ascii="Times New Roman" w:hAnsi="Times New Roman" w:cs="Times New Roman"/>
          <w:i/>
          <w:kern w:val="0"/>
          <w:sz w:val="21"/>
          <w:szCs w:val="21"/>
        </w:rPr>
        <w:t>V</w:t>
      </w:r>
      <w:r>
        <w:rPr>
          <w:rFonts w:ascii="Times New Roman" w:hAnsi="Times New Roman" w:cs="Times New Roman"/>
          <w:kern w:val="0"/>
          <w:sz w:val="21"/>
          <w:szCs w:val="21"/>
          <w:vertAlign w:val="subscript"/>
        </w:rPr>
        <w:t>s</w:t>
      </w:r>
      <w:r>
        <w:rPr>
          <w:rFonts w:ascii="Times New Roman" w:hAnsi="Times New Roman" w:cs="Times New Roman"/>
          <w:b/>
          <w:sz w:val="24"/>
          <w:szCs w:val="21"/>
        </w:rPr>
        <w:t>——</w:t>
      </w:r>
      <w:r>
        <w:rPr>
          <w:rFonts w:ascii="Times New Roman" w:hAnsi="Times New Roman" w:cs="Times New Roman"/>
          <w:kern w:val="0"/>
          <w:sz w:val="21"/>
          <w:szCs w:val="21"/>
        </w:rPr>
        <w:t>设计清淤年累计泥沙淤积量（m</w:t>
      </w:r>
      <w:r>
        <w:rPr>
          <w:rFonts w:ascii="Times New Roman" w:hAnsi="Times New Roman" w:cs="Times New Roman"/>
          <w:kern w:val="0"/>
          <w:sz w:val="21"/>
          <w:szCs w:val="21"/>
          <w:vertAlign w:val="superscript"/>
        </w:rPr>
        <w:t>3</w:t>
      </w:r>
      <w:r>
        <w:rPr>
          <w:rFonts w:ascii="Times New Roman" w:hAnsi="Times New Roman" w:cs="Times New Roman"/>
          <w:kern w:val="0"/>
          <w:sz w:val="21"/>
          <w:szCs w:val="21"/>
        </w:rPr>
        <w:t>）；</w:t>
      </w:r>
    </w:p>
    <w:p w14:paraId="12B8DD89">
      <w:pPr>
        <w:autoSpaceDE w:val="0"/>
        <w:autoSpaceDN w:val="0"/>
        <w:adjustRightInd w:val="0"/>
        <w:spacing w:line="360" w:lineRule="auto"/>
        <w:ind w:firstLine="630" w:firstLineChars="300"/>
        <w:rPr>
          <w:rFonts w:ascii="Times New Roman" w:hAnsi="Times New Roman" w:cs="Times New Roman"/>
          <w:b/>
          <w:kern w:val="0"/>
          <w:sz w:val="24"/>
          <w:szCs w:val="21"/>
        </w:rPr>
      </w:pPr>
      <w:r>
        <w:rPr>
          <w:rFonts w:ascii="Times New Roman" w:hAnsi="Times New Roman" w:cs="Times New Roman"/>
          <w:i/>
          <w:kern w:val="0"/>
          <w:sz w:val="21"/>
          <w:szCs w:val="21"/>
        </w:rPr>
        <w:t>K</w:t>
      </w:r>
      <w:r>
        <w:rPr>
          <w:rFonts w:ascii="Times New Roman" w:hAnsi="Times New Roman" w:cs="Times New Roman"/>
          <w:b/>
          <w:sz w:val="24"/>
          <w:szCs w:val="21"/>
        </w:rPr>
        <w:t>——</w:t>
      </w:r>
      <w:r>
        <w:rPr>
          <w:rFonts w:ascii="Times New Roman" w:hAnsi="Times New Roman" w:cs="Times New Roman"/>
          <w:kern w:val="0"/>
          <w:sz w:val="21"/>
          <w:szCs w:val="21"/>
        </w:rPr>
        <w:t>安全系数，可取1.2～1.3。</w:t>
      </w:r>
    </w:p>
    <w:p w14:paraId="0F51D80F">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蓄水池设计应符合下列规定：</w:t>
      </w:r>
    </w:p>
    <w:p w14:paraId="0ADD06F0">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kern w:val="0"/>
          <w:sz w:val="21"/>
          <w:szCs w:val="21"/>
        </w:rPr>
        <w:t xml:space="preserve"> 池体设计应根据当地地形和总容量，因地制宜地分别确定池的形状、面积、深度和周边角度。</w:t>
      </w:r>
    </w:p>
    <w:p w14:paraId="0720EF01">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 xml:space="preserve">2 </w:t>
      </w:r>
      <w:r>
        <w:rPr>
          <w:rFonts w:ascii="Times New Roman" w:hAnsi="Times New Roman" w:cs="Times New Roman"/>
          <w:kern w:val="0"/>
          <w:sz w:val="21"/>
          <w:szCs w:val="21"/>
        </w:rPr>
        <w:t xml:space="preserve"> 蓄水池应专设进水口与溢洪口；土质蓄水池的进水口和溢洪口应设衬砌。口宽宜取0.4m～0.6m，深宜取0.3m～0.4m，并应按下式校核过水断面：</w:t>
      </w:r>
    </w:p>
    <w:p w14:paraId="0C071833">
      <w:pPr>
        <w:autoSpaceDE w:val="0"/>
        <w:autoSpaceDN w:val="0"/>
        <w:adjustRightInd w:val="0"/>
        <w:snapToGrid w:val="0"/>
        <w:spacing w:line="360" w:lineRule="auto"/>
        <w:ind w:firstLine="622" w:firstLineChars="295"/>
        <w:jc w:val="right"/>
        <w:rPr>
          <w:rFonts w:ascii="Times New Roman" w:hAnsi="Times New Roman" w:cs="Times New Roman"/>
          <w:b/>
          <w:kern w:val="0"/>
          <w:sz w:val="24"/>
          <w:szCs w:val="21"/>
        </w:rPr>
      </w:pPr>
      <w:r>
        <w:rPr>
          <w:rFonts w:ascii="Times New Roman" w:hAnsi="Times New Roman" w:cs="Times New Roman"/>
          <w:b/>
          <w:kern w:val="0"/>
          <w:sz w:val="21"/>
          <w:szCs w:val="21"/>
        </w:rPr>
        <w:object>
          <v:shape id="_x0000_i1074" o:spt="75" type="#_x0000_t75" style="height:18.6pt;width:77.4pt;" o:ole="t" filled="f" o:preferrelative="t" stroked="f" coordsize="21600,21600">
            <v:path/>
            <v:fill on="f" focussize="0,0"/>
            <v:stroke on="f" joinstyle="miter"/>
            <v:imagedata r:id="rId126" embosscolor="#FFFFFF" o:title=""/>
            <o:lock v:ext="edit" aspectratio="t"/>
            <w10:wrap type="none"/>
            <w10:anchorlock/>
          </v:shape>
          <o:OLEObject Type="Embed" ProgID="Equation.DSMT4" ShapeID="_x0000_i1074" DrawAspect="Content" ObjectID="_1468075770" r:id="rId125">
            <o:LockedField>false</o:LockedField>
          </o:OLEObject>
        </w:object>
      </w:r>
      <w:r>
        <w:rPr>
          <w:rFonts w:ascii="Times New Roman" w:hAnsi="Times New Roman" w:cs="Times New Roman"/>
          <w:kern w:val="0"/>
          <w:sz w:val="21"/>
          <w:szCs w:val="21"/>
        </w:rPr>
        <w:t xml:space="preserve">                          （4.11.13）</w:t>
      </w:r>
    </w:p>
    <w:p w14:paraId="155F12B5">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cs="Times New Roman"/>
          <w:kern w:val="0"/>
          <w:sz w:val="21"/>
          <w:szCs w:val="21"/>
        </w:rPr>
        <w:t>式中：</w:t>
      </w:r>
      <w:r>
        <w:rPr>
          <w:rFonts w:ascii="Times New Roman" w:hAnsi="Times New Roman" w:cs="Times New Roman"/>
          <w:i/>
          <w:kern w:val="0"/>
          <w:sz w:val="21"/>
          <w:szCs w:val="21"/>
        </w:rPr>
        <w:t>Q</w:t>
      </w:r>
      <w:r>
        <w:rPr>
          <w:rFonts w:ascii="Times New Roman" w:hAnsi="Times New Roman" w:cs="Times New Roman"/>
          <w:b/>
          <w:sz w:val="24"/>
          <w:szCs w:val="21"/>
        </w:rPr>
        <w:t>——</w:t>
      </w:r>
      <w:r>
        <w:rPr>
          <w:rFonts w:ascii="Times New Roman" w:hAnsi="Times New Roman" w:cs="Times New Roman"/>
          <w:kern w:val="0"/>
          <w:sz w:val="21"/>
          <w:szCs w:val="21"/>
        </w:rPr>
        <w:t>进水（或溢洪）最大流量，单位为（m</w:t>
      </w:r>
      <w:r>
        <w:rPr>
          <w:rFonts w:ascii="Times New Roman" w:hAnsi="Times New Roman" w:cs="Times New Roman"/>
          <w:kern w:val="0"/>
          <w:sz w:val="21"/>
          <w:szCs w:val="21"/>
          <w:vertAlign w:val="superscript"/>
        </w:rPr>
        <w:t>3</w:t>
      </w:r>
      <w:r>
        <w:rPr>
          <w:rFonts w:ascii="Times New Roman" w:hAnsi="Times New Roman" w:cs="Times New Roman"/>
          <w:kern w:val="0"/>
          <w:sz w:val="21"/>
          <w:szCs w:val="21"/>
        </w:rPr>
        <w:t>/s）；</w:t>
      </w:r>
    </w:p>
    <w:p w14:paraId="4452BD16">
      <w:pPr>
        <w:autoSpaceDE w:val="0"/>
        <w:autoSpaceDN w:val="0"/>
        <w:adjustRightInd w:val="0"/>
        <w:spacing w:line="360" w:lineRule="auto"/>
        <w:ind w:firstLine="630" w:firstLineChars="300"/>
        <w:rPr>
          <w:rFonts w:ascii="Times New Roman" w:hAnsi="Times New Roman" w:cs="Times New Roman"/>
          <w:b/>
          <w:kern w:val="0"/>
          <w:sz w:val="24"/>
          <w:szCs w:val="21"/>
        </w:rPr>
      </w:pPr>
      <w:r>
        <w:rPr>
          <w:rFonts w:ascii="Times New Roman" w:hAnsi="Times New Roman" w:cs="Times New Roman"/>
          <w:i/>
          <w:kern w:val="0"/>
          <w:sz w:val="21"/>
          <w:szCs w:val="21"/>
        </w:rPr>
        <w:t>M</w:t>
      </w:r>
      <w:r>
        <w:rPr>
          <w:rFonts w:ascii="Times New Roman" w:hAnsi="Times New Roman" w:cs="Times New Roman"/>
          <w:b/>
          <w:sz w:val="24"/>
          <w:szCs w:val="21"/>
        </w:rPr>
        <w:t>——</w:t>
      </w:r>
      <w:r>
        <w:rPr>
          <w:rFonts w:ascii="Times New Roman" w:hAnsi="Times New Roman" w:cs="Times New Roman"/>
          <w:kern w:val="0"/>
          <w:sz w:val="21"/>
          <w:szCs w:val="21"/>
        </w:rPr>
        <w:t>流量系数，取0.35；</w:t>
      </w:r>
    </w:p>
    <w:p w14:paraId="6E84EA0F">
      <w:pPr>
        <w:autoSpaceDE w:val="0"/>
        <w:autoSpaceDN w:val="0"/>
        <w:adjustRightInd w:val="0"/>
        <w:spacing w:line="360" w:lineRule="auto"/>
        <w:ind w:firstLine="630" w:firstLineChars="300"/>
        <w:rPr>
          <w:rFonts w:ascii="Times New Roman" w:hAnsi="Times New Roman" w:cs="Times New Roman"/>
          <w:b/>
          <w:kern w:val="0"/>
          <w:sz w:val="24"/>
          <w:szCs w:val="21"/>
        </w:rPr>
      </w:pPr>
      <w:r>
        <w:rPr>
          <w:rFonts w:ascii="Times New Roman" w:hAnsi="Times New Roman" w:cs="Times New Roman"/>
          <w:i/>
          <w:kern w:val="0"/>
          <w:sz w:val="21"/>
          <w:szCs w:val="21"/>
        </w:rPr>
        <w:t>g</w:t>
      </w:r>
      <w:r>
        <w:rPr>
          <w:rFonts w:ascii="Times New Roman" w:hAnsi="Times New Roman" w:cs="Times New Roman"/>
          <w:b/>
          <w:sz w:val="24"/>
          <w:szCs w:val="21"/>
        </w:rPr>
        <w:t>——</w:t>
      </w:r>
      <w:r>
        <w:rPr>
          <w:rFonts w:ascii="Times New Roman" w:hAnsi="Times New Roman" w:cs="Times New Roman"/>
          <w:kern w:val="0"/>
          <w:sz w:val="21"/>
          <w:szCs w:val="21"/>
        </w:rPr>
        <w:t>重力加速度，9.81m/s</w:t>
      </w:r>
      <w:r>
        <w:rPr>
          <w:rFonts w:ascii="Times New Roman" w:hAnsi="Times New Roman" w:cs="Times New Roman"/>
          <w:kern w:val="0"/>
          <w:sz w:val="21"/>
          <w:szCs w:val="21"/>
          <w:vertAlign w:val="superscript"/>
        </w:rPr>
        <w:t>2</w:t>
      </w:r>
      <w:r>
        <w:rPr>
          <w:rFonts w:ascii="Times New Roman" w:hAnsi="Times New Roman" w:cs="Times New Roman"/>
          <w:kern w:val="0"/>
          <w:sz w:val="21"/>
          <w:szCs w:val="21"/>
        </w:rPr>
        <w:t>；</w:t>
      </w:r>
    </w:p>
    <w:p w14:paraId="2046483F">
      <w:pPr>
        <w:autoSpaceDE w:val="0"/>
        <w:autoSpaceDN w:val="0"/>
        <w:adjustRightInd w:val="0"/>
        <w:spacing w:line="360" w:lineRule="auto"/>
        <w:ind w:firstLine="630" w:firstLineChars="300"/>
        <w:rPr>
          <w:rFonts w:ascii="Times New Roman" w:hAnsi="Times New Roman" w:cs="Times New Roman"/>
          <w:b/>
          <w:kern w:val="0"/>
          <w:sz w:val="24"/>
          <w:szCs w:val="21"/>
        </w:rPr>
      </w:pPr>
      <w:r>
        <w:rPr>
          <w:rFonts w:ascii="Times New Roman" w:hAnsi="Times New Roman" w:cs="Times New Roman"/>
          <w:i/>
          <w:kern w:val="0"/>
          <w:sz w:val="21"/>
          <w:szCs w:val="21"/>
        </w:rPr>
        <w:t>b</w:t>
      </w:r>
      <w:r>
        <w:rPr>
          <w:rFonts w:ascii="Times New Roman" w:hAnsi="Times New Roman" w:cs="Times New Roman"/>
          <w:b/>
          <w:sz w:val="24"/>
          <w:szCs w:val="21"/>
        </w:rPr>
        <w:t>——</w:t>
      </w:r>
      <w:r>
        <w:rPr>
          <w:rFonts w:ascii="Times New Roman" w:hAnsi="Times New Roman" w:cs="Times New Roman"/>
          <w:kern w:val="0"/>
          <w:sz w:val="21"/>
          <w:szCs w:val="21"/>
        </w:rPr>
        <w:t>堰顶宽（口宽）（m）；</w:t>
      </w:r>
    </w:p>
    <w:p w14:paraId="385C0956">
      <w:pPr>
        <w:autoSpaceDE w:val="0"/>
        <w:autoSpaceDN w:val="0"/>
        <w:adjustRightInd w:val="0"/>
        <w:spacing w:line="360" w:lineRule="auto"/>
        <w:ind w:firstLine="630" w:firstLineChars="300"/>
        <w:rPr>
          <w:rFonts w:ascii="Times New Roman" w:hAnsi="Times New Roman" w:cs="Times New Roman"/>
          <w:b/>
          <w:kern w:val="0"/>
          <w:sz w:val="24"/>
          <w:szCs w:val="21"/>
        </w:rPr>
      </w:pPr>
      <w:r>
        <w:rPr>
          <w:rFonts w:ascii="Times New Roman" w:hAnsi="Times New Roman" w:cs="Times New Roman"/>
          <w:i/>
          <w:kern w:val="0"/>
          <w:sz w:val="21"/>
          <w:szCs w:val="21"/>
        </w:rPr>
        <w:t>h</w:t>
      </w:r>
      <w:r>
        <w:rPr>
          <w:rFonts w:ascii="Times New Roman" w:hAnsi="Times New Roman" w:cs="Times New Roman"/>
          <w:b/>
          <w:sz w:val="24"/>
          <w:szCs w:val="21"/>
        </w:rPr>
        <w:t>——</w:t>
      </w:r>
      <w:r>
        <w:rPr>
          <w:rFonts w:ascii="Times New Roman" w:hAnsi="Times New Roman" w:cs="Times New Roman"/>
          <w:kern w:val="0"/>
          <w:sz w:val="21"/>
          <w:szCs w:val="21"/>
        </w:rPr>
        <w:t>堰顶水深（m）。</w:t>
      </w:r>
    </w:p>
    <w:p w14:paraId="6F89873F">
      <w:pPr>
        <w:autoSpaceDE w:val="0"/>
        <w:autoSpaceDN w:val="0"/>
        <w:adjustRightInd w:val="0"/>
        <w:spacing w:line="360" w:lineRule="auto"/>
        <w:ind w:firstLine="422" w:firstLineChars="200"/>
        <w:rPr>
          <w:rFonts w:ascii="Times New Roman" w:hAnsi="Times New Roman" w:cs="Times New Roman"/>
          <w:b/>
          <w:kern w:val="0"/>
          <w:sz w:val="24"/>
          <w:szCs w:val="21"/>
        </w:rPr>
      </w:pPr>
      <w:r>
        <w:rPr>
          <w:rFonts w:ascii="Times New Roman" w:hAnsi="Times New Roman" w:eastAsia="黑体" w:cs="Times New Roman"/>
          <w:b/>
          <w:sz w:val="21"/>
          <w:szCs w:val="24"/>
        </w:rPr>
        <w:t>3</w:t>
      </w:r>
      <w:r>
        <w:rPr>
          <w:rFonts w:ascii="Times New Roman" w:hAnsi="Times New Roman" w:cs="Times New Roman"/>
          <w:kern w:val="0"/>
          <w:sz w:val="21"/>
          <w:szCs w:val="21"/>
        </w:rPr>
        <w:t xml:space="preserve">  当蓄水池进口不能直接与坡面排水沟相连时，应设引水渠；引水渠其断面和比降设计，可按坡面排水沟要求执行。</w:t>
      </w:r>
    </w:p>
    <w:p w14:paraId="09F9AADA">
      <w:pPr>
        <w:spacing w:line="360" w:lineRule="auto"/>
        <w:ind w:firstLine="422" w:firstLineChars="200"/>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kern w:val="0"/>
          <w:sz w:val="21"/>
          <w:szCs w:val="21"/>
        </w:rPr>
        <w:t xml:space="preserve">  蓄水池安全超高宜取0.2m。</w:t>
      </w:r>
    </w:p>
    <w:p w14:paraId="49704D87">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Ⅴ 沉沙池设计</w:t>
      </w:r>
    </w:p>
    <w:p w14:paraId="06C0F865">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14</w:t>
      </w:r>
      <w:r>
        <w:rPr>
          <w:rFonts w:ascii="Times New Roman" w:hAnsi="Times New Roman" w:cs="Times New Roman"/>
          <w:kern w:val="0"/>
          <w:sz w:val="21"/>
          <w:szCs w:val="21"/>
        </w:rPr>
        <w:t xml:space="preserve">  沉沙池宽宜取1m～2m，长宜取2m～4m，深宜取1.5m～2.0m。其宽度宜为相连排水沟宽度的2倍，长度宜为池体宽度的2倍。</w:t>
      </w:r>
    </w:p>
    <w:p w14:paraId="2CA9517A">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15</w:t>
      </w:r>
      <w:r>
        <w:rPr>
          <w:rFonts w:ascii="Times New Roman" w:hAnsi="Times New Roman" w:cs="Times New Roman"/>
          <w:b/>
          <w:kern w:val="0"/>
          <w:sz w:val="21"/>
          <w:szCs w:val="21"/>
        </w:rPr>
        <w:t xml:space="preserve"> </w:t>
      </w:r>
      <w:r>
        <w:rPr>
          <w:rFonts w:ascii="Times New Roman" w:hAnsi="Times New Roman" w:cs="Times New Roman"/>
          <w:kern w:val="0"/>
          <w:sz w:val="21"/>
          <w:szCs w:val="21"/>
        </w:rPr>
        <w:t xml:space="preserve"> 沉沙池的进水口和出水口设计可按本标准第4.11.13条设计。</w:t>
      </w:r>
    </w:p>
    <w:p w14:paraId="69EE518D">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Ⅵ 涝池设计</w:t>
      </w:r>
    </w:p>
    <w:p w14:paraId="57376F6C">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16</w:t>
      </w:r>
      <w:r>
        <w:rPr>
          <w:rFonts w:ascii="Times New Roman" w:hAnsi="Times New Roman" w:cs="Times New Roman"/>
          <w:b/>
          <w:kern w:val="0"/>
          <w:sz w:val="21"/>
          <w:szCs w:val="21"/>
        </w:rPr>
        <w:t xml:space="preserve"> </w:t>
      </w:r>
      <w:r>
        <w:rPr>
          <w:rFonts w:ascii="Times New Roman" w:hAnsi="Times New Roman" w:cs="Times New Roman"/>
          <w:kern w:val="0"/>
          <w:sz w:val="21"/>
          <w:szCs w:val="21"/>
        </w:rPr>
        <w:t xml:space="preserve"> 一般涝池深宜取1.0m～1.5m，形状依地形而异，圆形直径宜取10m～15m，矩形边长宜取10m～30m，涝池边坡宜取1:1。</w:t>
      </w:r>
    </w:p>
    <w:p w14:paraId="6E40B893">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17</w:t>
      </w:r>
      <w:r>
        <w:rPr>
          <w:rFonts w:ascii="Times New Roman" w:hAnsi="Times New Roman" w:cs="Times New Roman"/>
          <w:b/>
          <w:kern w:val="0"/>
          <w:sz w:val="21"/>
          <w:szCs w:val="21"/>
        </w:rPr>
        <w:t xml:space="preserve"> </w:t>
      </w:r>
      <w:r>
        <w:rPr>
          <w:rFonts w:ascii="Times New Roman" w:hAnsi="Times New Roman" w:cs="Times New Roman"/>
          <w:kern w:val="0"/>
          <w:sz w:val="21"/>
          <w:szCs w:val="21"/>
        </w:rPr>
        <w:t xml:space="preserve"> 大型涝池深宜取2m～3m，圆形直径宜取20m～30m，矩形边长宜取30m～100m。土质边坡坡比宜取1:1，料石（或砖、混凝土板）衬砌边坡坡比宜取1:0.3。涝池位置不在路旁的应布设引水渠，涝池进水口前应布设退水设施。</w:t>
      </w:r>
    </w:p>
    <w:p w14:paraId="1963BF90">
      <w:pPr>
        <w:autoSpaceDE w:val="0"/>
        <w:autoSpaceDN w:val="0"/>
        <w:adjustRightInd w:val="0"/>
        <w:spacing w:line="360" w:lineRule="auto"/>
        <w:rPr>
          <w:rFonts w:ascii="Times New Roman" w:hAnsi="Times New Roman" w:cs="Times New Roman"/>
          <w:b/>
          <w:kern w:val="0"/>
          <w:sz w:val="24"/>
          <w:szCs w:val="21"/>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cs="Times New Roman"/>
          <w:b/>
          <w:sz w:val="21"/>
          <w:szCs w:val="24"/>
        </w:rPr>
        <w:t>.</w:t>
      </w:r>
      <w:r>
        <w:rPr>
          <w:rFonts w:ascii="Times New Roman" w:hAnsi="Times New Roman" w:eastAsia="黑体" w:cs="Times New Roman"/>
          <w:b/>
          <w:sz w:val="21"/>
          <w:szCs w:val="24"/>
        </w:rPr>
        <w:t>18</w:t>
      </w:r>
      <w:r>
        <w:rPr>
          <w:rFonts w:ascii="Times New Roman" w:hAnsi="Times New Roman" w:cs="Times New Roman"/>
          <w:kern w:val="0"/>
          <w:sz w:val="21"/>
          <w:szCs w:val="21"/>
        </w:rPr>
        <w:t xml:space="preserve">  路壕蓄水堰，堰高宜取1m～5m，顶宽宜取1.5m～2.0m，上游坡宜取1:1.5，下游坡宜取1:1。</w:t>
      </w:r>
    </w:p>
    <w:p w14:paraId="6CDE4E7A">
      <w:pPr>
        <w:keepNext/>
        <w:keepLines/>
        <w:spacing w:before="260" w:after="260" w:line="415" w:lineRule="auto"/>
        <w:jc w:val="center"/>
        <w:outlineLvl w:val="1"/>
        <w:rPr>
          <w:rFonts w:ascii="Times New Roman" w:hAnsi="Times New Roman" w:eastAsia="黑体" w:cs="Times New Roman"/>
          <w:bCs/>
          <w:sz w:val="30"/>
          <w:szCs w:val="32"/>
        </w:rPr>
      </w:pPr>
      <w:bookmarkStart w:id="316" w:name="_Toc310842229"/>
      <w:bookmarkStart w:id="317" w:name="_Toc304365288"/>
      <w:bookmarkStart w:id="318" w:name="_Toc293906787"/>
      <w:bookmarkStart w:id="319" w:name="_Toc319591686"/>
      <w:bookmarkStart w:id="320" w:name="_Toc324282312"/>
      <w:bookmarkStart w:id="321" w:name="_Toc360520012"/>
      <w:bookmarkStart w:id="322" w:name="_Toc310525439"/>
      <w:bookmarkStart w:id="323" w:name="_Toc324287604"/>
      <w:bookmarkStart w:id="324" w:name="_Toc304387195"/>
      <w:bookmarkStart w:id="325" w:name="_Toc324280277"/>
      <w:bookmarkStart w:id="326" w:name="_Toc360526292"/>
      <w:bookmarkStart w:id="327" w:name="_Toc319512945"/>
      <w:bookmarkStart w:id="328" w:name="_Toc323805654"/>
      <w:bookmarkStart w:id="329" w:name="_Toc360528886"/>
      <w:bookmarkStart w:id="330" w:name="_Toc304365803"/>
      <w:bookmarkStart w:id="331" w:name="_Toc22093"/>
      <w:bookmarkStart w:id="332" w:name="_Toc19087"/>
      <w:bookmarkStart w:id="333" w:name="_Toc323828690"/>
      <w:bookmarkStart w:id="334" w:name="_Toc24530"/>
      <w:r>
        <w:rPr>
          <w:rFonts w:ascii="Times New Roman" w:hAnsi="Times New Roman" w:eastAsia="黑体" w:cs="Times New Roman"/>
          <w:bCs/>
          <w:sz w:val="30"/>
          <w:szCs w:val="32"/>
        </w:rPr>
        <w:t>4.12 农业耕作措施</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03FAA42C">
      <w:pPr>
        <w:keepNext/>
        <w:keepLines/>
        <w:spacing w:before="260" w:after="260"/>
        <w:jc w:val="center"/>
        <w:outlineLvl w:val="2"/>
        <w:rPr>
          <w:rFonts w:ascii="Times New Roman" w:hAnsi="Times New Roman" w:eastAsia="黑体" w:cs="Times New Roman"/>
          <w:bCs/>
          <w:sz w:val="24"/>
          <w:szCs w:val="24"/>
        </w:rPr>
      </w:pPr>
      <w:bookmarkStart w:id="335" w:name="_Toc324287605"/>
      <w:bookmarkStart w:id="336" w:name="_Toc304365804"/>
      <w:bookmarkStart w:id="337" w:name="_Toc360528887"/>
      <w:bookmarkStart w:id="338" w:name="_Toc319512946"/>
      <w:bookmarkStart w:id="339" w:name="_Toc310842230"/>
      <w:bookmarkStart w:id="340" w:name="_Toc323828691"/>
      <w:bookmarkStart w:id="341" w:name="_Toc360526293"/>
      <w:bookmarkStart w:id="342" w:name="_Toc293906789"/>
      <w:bookmarkStart w:id="343" w:name="_Toc324282313"/>
      <w:bookmarkStart w:id="344" w:name="_Toc310525440"/>
      <w:bookmarkStart w:id="345" w:name="_Toc360520013"/>
      <w:bookmarkStart w:id="346" w:name="_Toc304387196"/>
      <w:bookmarkStart w:id="347" w:name="_Toc307578945"/>
      <w:bookmarkStart w:id="348" w:name="_Toc323805655"/>
      <w:bookmarkStart w:id="349" w:name="_Toc319591687"/>
      <w:bookmarkStart w:id="350" w:name="_Toc324280278"/>
      <w:bookmarkStart w:id="351" w:name="_Toc304365289"/>
      <w:r>
        <w:rPr>
          <w:rFonts w:ascii="Times New Roman" w:hAnsi="Times New Roman" w:eastAsia="黑体" w:cs="Times New Roman"/>
          <w:bCs/>
          <w:sz w:val="24"/>
          <w:szCs w:val="24"/>
        </w:rPr>
        <w:t>Ⅰ 一般规定</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252070E5">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4.12.1</w:t>
      </w:r>
      <w:r>
        <w:rPr>
          <w:rFonts w:ascii="Times New Roman" w:hAnsi="Times New Roman" w:cs="Times New Roman"/>
          <w:sz w:val="21"/>
          <w:szCs w:val="21"/>
        </w:rPr>
        <w:t xml:space="preserve">  农业耕作措施应包括改变微地形、覆盖和改良土壤三类措施。</w:t>
      </w:r>
    </w:p>
    <w:p w14:paraId="7ABAA923">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4.12.2</w:t>
      </w:r>
      <w:r>
        <w:rPr>
          <w:rFonts w:ascii="Times New Roman" w:hAnsi="Times New Roman" w:cs="Times New Roman"/>
          <w:sz w:val="21"/>
          <w:szCs w:val="21"/>
        </w:rPr>
        <w:t xml:space="preserve">  改变微地形措施应包括等高耕作、地埂植物带、等高植物篱、沟垄种植、坑田（掏钵）种植等。沟垄种植又应包括水平沟、垄作区田、格网式垄作、蓄水聚肥改土耕作等。</w:t>
      </w:r>
    </w:p>
    <w:p w14:paraId="5F0270F8">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4.12.3</w:t>
      </w:r>
      <w:r>
        <w:rPr>
          <w:rFonts w:ascii="Times New Roman" w:hAnsi="Times New Roman" w:cs="Times New Roman"/>
          <w:sz w:val="21"/>
          <w:szCs w:val="21"/>
        </w:rPr>
        <w:t xml:space="preserve">  覆盖措施应包括草田轮作、间作、套种、带状间作、合理密植、休闲地种绿肥、覆盖种植、少耕免耕等。</w:t>
      </w:r>
    </w:p>
    <w:p w14:paraId="62755092">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4.12.4</w:t>
      </w:r>
      <w:r>
        <w:rPr>
          <w:rFonts w:ascii="Times New Roman" w:hAnsi="Times New Roman" w:cs="Times New Roman"/>
          <w:sz w:val="21"/>
          <w:szCs w:val="21"/>
        </w:rPr>
        <w:t xml:space="preserve">  改良土壤措施应包括深耕深松、增施有机肥、种植绿肥、留茬播种、少耕免耕等。</w:t>
      </w:r>
    </w:p>
    <w:p w14:paraId="5E87A4FF">
      <w:pPr>
        <w:keepNext/>
        <w:keepLines/>
        <w:spacing w:before="260" w:after="260"/>
        <w:jc w:val="center"/>
        <w:outlineLvl w:val="2"/>
        <w:rPr>
          <w:rFonts w:ascii="Times New Roman" w:hAnsi="Times New Roman" w:eastAsia="黑体" w:cs="Times New Roman"/>
          <w:bCs/>
          <w:sz w:val="24"/>
          <w:szCs w:val="24"/>
        </w:rPr>
      </w:pPr>
      <w:bookmarkStart w:id="352" w:name="_Toc310842231"/>
      <w:bookmarkStart w:id="353" w:name="_Toc310525441"/>
      <w:bookmarkStart w:id="354" w:name="_Toc360520014"/>
      <w:bookmarkStart w:id="355" w:name="_Toc324280279"/>
      <w:bookmarkStart w:id="356" w:name="_Toc324287606"/>
      <w:bookmarkStart w:id="357" w:name="_Toc307578946"/>
      <w:bookmarkStart w:id="358" w:name="_Toc360526294"/>
      <w:bookmarkStart w:id="359" w:name="_Toc319512947"/>
      <w:bookmarkStart w:id="360" w:name="_Toc323805656"/>
      <w:bookmarkStart w:id="361" w:name="_Toc304365805"/>
      <w:bookmarkStart w:id="362" w:name="_Toc304365290"/>
      <w:bookmarkStart w:id="363" w:name="_Toc323828692"/>
      <w:bookmarkStart w:id="364" w:name="_Toc324282314"/>
      <w:bookmarkStart w:id="365" w:name="_Toc304387197"/>
      <w:bookmarkStart w:id="366" w:name="_Toc360528888"/>
      <w:bookmarkStart w:id="367" w:name="_Toc319591688"/>
      <w:r>
        <w:rPr>
          <w:rFonts w:ascii="Times New Roman" w:hAnsi="Times New Roman" w:eastAsia="黑体" w:cs="Times New Roman"/>
          <w:bCs/>
          <w:sz w:val="24"/>
          <w:szCs w:val="24"/>
        </w:rPr>
        <w:t>Ⅱ 改变微地形措施</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5C88C3CF">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4.12.5</w:t>
      </w:r>
      <w:r>
        <w:rPr>
          <w:rFonts w:ascii="Times New Roman" w:hAnsi="Times New Roman" w:cs="Times New Roman"/>
          <w:sz w:val="21"/>
          <w:szCs w:val="21"/>
        </w:rPr>
        <w:t xml:space="preserve">  等高耕作设计应符合下列规定：</w:t>
      </w:r>
    </w:p>
    <w:p w14:paraId="52E908B4">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1</w:t>
      </w:r>
      <w:r>
        <w:rPr>
          <w:rFonts w:ascii="Times New Roman" w:hAnsi="Times New Roman" w:cs="Times New Roman"/>
          <w:sz w:val="21"/>
          <w:szCs w:val="21"/>
        </w:rPr>
        <w:t xml:space="preserve">  等高耕作可适用于25°以下坡地，最适宜于坡度不大于15°的缓坡地。</w:t>
      </w:r>
    </w:p>
    <w:p w14:paraId="2F8137C6">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2</w:t>
      </w:r>
      <w:r>
        <w:rPr>
          <w:rFonts w:ascii="Times New Roman" w:hAnsi="Times New Roman" w:cs="Times New Roman"/>
          <w:sz w:val="21"/>
          <w:szCs w:val="21"/>
        </w:rPr>
        <w:t xml:space="preserve">  应沿等高线起垄，并根据地形、坡度、土质等条件适当调整垄向。淮河以南地区，耕作方向宜与等高线呈1%~2%的比降。风蚀缓坡地区耕作方向宜与主风向垂直，斜交时与主风方向夹角宜小于45°。</w:t>
      </w:r>
    </w:p>
    <w:p w14:paraId="57F6309D">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3</w:t>
      </w:r>
      <w:r>
        <w:rPr>
          <w:rFonts w:ascii="Times New Roman" w:hAnsi="Times New Roman" w:cs="Times New Roman"/>
          <w:sz w:val="21"/>
          <w:szCs w:val="21"/>
        </w:rPr>
        <w:t xml:space="preserve">  坡地等高耕作应由下至上进行翻耕，垄高和垄间宽度视耕作机具和坡度确定。</w:t>
      </w:r>
    </w:p>
    <w:p w14:paraId="19659A4B">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4.12.6</w:t>
      </w:r>
      <w:r>
        <w:rPr>
          <w:rFonts w:ascii="Times New Roman" w:hAnsi="Times New Roman" w:cs="Times New Roman"/>
          <w:sz w:val="21"/>
          <w:szCs w:val="21"/>
        </w:rPr>
        <w:t xml:space="preserve">  地埂植物带设计应符合下列规定：</w:t>
      </w:r>
    </w:p>
    <w:p w14:paraId="2A87CEDB">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1</w:t>
      </w:r>
      <w:r>
        <w:rPr>
          <w:rFonts w:ascii="Times New Roman" w:hAnsi="Times New Roman" w:cs="Times New Roman"/>
          <w:sz w:val="21"/>
          <w:szCs w:val="21"/>
        </w:rPr>
        <w:t xml:space="preserve">  地埂植物带可应用于东北黑土区2°～6°的坡耕地，常与垄作区田配合使用，地埂分为单埂、双埂两种形式。</w:t>
      </w:r>
    </w:p>
    <w:p w14:paraId="7ECB74F5">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2</w:t>
      </w:r>
      <w:r>
        <w:rPr>
          <w:rFonts w:ascii="Times New Roman" w:hAnsi="Times New Roman" w:cs="Times New Roman"/>
          <w:sz w:val="21"/>
          <w:szCs w:val="21"/>
        </w:rPr>
        <w:t xml:space="preserve">  单埂可适用于平均坡度3°的坡耕地，埂间距可按表4.12.6确定并根据机耕播幅倍数及当地经验适当调整。单埂布置时埂顶宽宜取0.3m～0.5m，埂高宜取0.5m～0.6m，内外边坡比宜取1:0.5～1:1。当遇水线洼兜时，地埂应适当加高</w:t>
      </w:r>
      <w:r>
        <w:rPr>
          <w:rFonts w:hint="eastAsia" w:ascii="Times New Roman" w:hAnsi="Times New Roman" w:cs="Times New Roman"/>
          <w:sz w:val="21"/>
          <w:szCs w:val="21"/>
        </w:rPr>
        <w:t>、</w:t>
      </w:r>
      <w:r>
        <w:rPr>
          <w:rFonts w:ascii="Times New Roman" w:hAnsi="Times New Roman" w:cs="Times New Roman"/>
          <w:sz w:val="21"/>
          <w:szCs w:val="21"/>
        </w:rPr>
        <w:t>夯实。</w:t>
      </w:r>
    </w:p>
    <w:p w14:paraId="11B18C0F">
      <w:pPr>
        <w:snapToGrid w:val="0"/>
        <w:jc w:val="center"/>
        <w:rPr>
          <w:rFonts w:ascii="Times New Roman" w:hAnsi="Times New Roman" w:eastAsia="黑体" w:cs="Times New Roman"/>
          <w:sz w:val="18"/>
          <w:szCs w:val="18"/>
        </w:rPr>
      </w:pPr>
      <w:r>
        <w:rPr>
          <w:rFonts w:ascii="Times New Roman" w:hAnsi="Times New Roman" w:eastAsia="黑体" w:cs="Times New Roman"/>
          <w:sz w:val="18"/>
          <w:szCs w:val="18"/>
        </w:rPr>
        <w:t xml:space="preserve">表4.12.6 </w:t>
      </w:r>
      <w:r>
        <w:rPr>
          <w:rFonts w:hint="eastAsia" w:ascii="Times New Roman" w:hAnsi="Times New Roman" w:eastAsia="黑体" w:cs="Times New Roman"/>
          <w:sz w:val="18"/>
          <w:szCs w:val="18"/>
        </w:rPr>
        <w:t xml:space="preserve"> </w:t>
      </w:r>
      <w:r>
        <w:rPr>
          <w:rFonts w:ascii="Times New Roman" w:hAnsi="Times New Roman" w:eastAsia="黑体" w:cs="Times New Roman"/>
          <w:sz w:val="18"/>
          <w:szCs w:val="18"/>
        </w:rPr>
        <w:t>单埂间距参考数值表</w:t>
      </w:r>
    </w:p>
    <w:tbl>
      <w:tblPr>
        <w:tblStyle w:val="10"/>
        <w:tblW w:w="852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29"/>
        <w:gridCol w:w="2132"/>
        <w:gridCol w:w="2132"/>
        <w:gridCol w:w="2132"/>
      </w:tblGrid>
      <w:tr w14:paraId="707C2B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2129" w:type="dxa"/>
            <w:vAlign w:val="center"/>
          </w:tcPr>
          <w:p w14:paraId="375EC8C4">
            <w:pPr>
              <w:snapToGrid w:val="0"/>
              <w:jc w:val="center"/>
              <w:rPr>
                <w:rFonts w:ascii="Times New Roman" w:hAnsi="Times New Roman" w:cs="Times New Roman"/>
                <w:sz w:val="15"/>
                <w:szCs w:val="15"/>
              </w:rPr>
            </w:pPr>
            <w:r>
              <w:rPr>
                <w:rFonts w:ascii="Times New Roman" w:hAnsi="Times New Roman" w:cs="Times New Roman"/>
                <w:sz w:val="15"/>
                <w:szCs w:val="15"/>
              </w:rPr>
              <w:t>降水量（mm）</w:t>
            </w:r>
          </w:p>
        </w:tc>
        <w:tc>
          <w:tcPr>
            <w:tcW w:w="2132" w:type="dxa"/>
            <w:vAlign w:val="center"/>
          </w:tcPr>
          <w:p w14:paraId="049CDF86">
            <w:pPr>
              <w:snapToGrid w:val="0"/>
              <w:jc w:val="center"/>
              <w:rPr>
                <w:rFonts w:ascii="Times New Roman" w:hAnsi="Times New Roman" w:cs="Times New Roman"/>
                <w:sz w:val="15"/>
                <w:szCs w:val="15"/>
              </w:rPr>
            </w:pPr>
            <w:r>
              <w:rPr>
                <w:rFonts w:ascii="Times New Roman" w:hAnsi="Times New Roman" w:cs="Times New Roman"/>
                <w:sz w:val="15"/>
                <w:szCs w:val="15"/>
              </w:rPr>
              <w:t>＜300</w:t>
            </w:r>
          </w:p>
        </w:tc>
        <w:tc>
          <w:tcPr>
            <w:tcW w:w="2132" w:type="dxa"/>
            <w:vAlign w:val="center"/>
          </w:tcPr>
          <w:p w14:paraId="1ADB9BED">
            <w:pPr>
              <w:snapToGrid w:val="0"/>
              <w:jc w:val="center"/>
              <w:rPr>
                <w:rFonts w:ascii="Times New Roman" w:hAnsi="Times New Roman" w:cs="Times New Roman"/>
                <w:sz w:val="15"/>
                <w:szCs w:val="15"/>
              </w:rPr>
            </w:pPr>
            <w:r>
              <w:rPr>
                <w:rFonts w:ascii="Times New Roman" w:hAnsi="Times New Roman" w:cs="Times New Roman"/>
                <w:sz w:val="15"/>
                <w:szCs w:val="15"/>
              </w:rPr>
              <w:t>300～500</w:t>
            </w:r>
          </w:p>
        </w:tc>
        <w:tc>
          <w:tcPr>
            <w:tcW w:w="2132" w:type="dxa"/>
            <w:vAlign w:val="center"/>
          </w:tcPr>
          <w:p w14:paraId="6A54315F">
            <w:pPr>
              <w:snapToGrid w:val="0"/>
              <w:jc w:val="center"/>
              <w:rPr>
                <w:rFonts w:ascii="Times New Roman" w:hAnsi="Times New Roman" w:cs="Times New Roman"/>
                <w:sz w:val="15"/>
                <w:szCs w:val="15"/>
              </w:rPr>
            </w:pPr>
            <w:r>
              <w:rPr>
                <w:rFonts w:ascii="Times New Roman" w:hAnsi="Times New Roman" w:cs="Times New Roman"/>
                <w:sz w:val="15"/>
                <w:szCs w:val="15"/>
              </w:rPr>
              <w:t>＞500</w:t>
            </w:r>
          </w:p>
        </w:tc>
      </w:tr>
      <w:tr w14:paraId="7950E3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2129" w:type="dxa"/>
            <w:vAlign w:val="center"/>
          </w:tcPr>
          <w:p w14:paraId="3124BBDE">
            <w:pPr>
              <w:snapToGrid w:val="0"/>
              <w:jc w:val="center"/>
              <w:rPr>
                <w:rFonts w:ascii="Times New Roman" w:hAnsi="Times New Roman" w:cs="Times New Roman"/>
                <w:sz w:val="15"/>
                <w:szCs w:val="15"/>
              </w:rPr>
            </w:pPr>
            <w:r>
              <w:rPr>
                <w:rFonts w:ascii="Times New Roman" w:hAnsi="Times New Roman" w:cs="Times New Roman"/>
                <w:sz w:val="15"/>
                <w:szCs w:val="15"/>
              </w:rPr>
              <w:t>埂间距（m）</w:t>
            </w:r>
          </w:p>
        </w:tc>
        <w:tc>
          <w:tcPr>
            <w:tcW w:w="2132" w:type="dxa"/>
            <w:vAlign w:val="center"/>
          </w:tcPr>
          <w:p w14:paraId="5474EEC8">
            <w:pPr>
              <w:snapToGrid w:val="0"/>
              <w:jc w:val="center"/>
              <w:rPr>
                <w:rFonts w:ascii="Times New Roman" w:hAnsi="Times New Roman" w:cs="Times New Roman"/>
                <w:sz w:val="15"/>
                <w:szCs w:val="15"/>
              </w:rPr>
            </w:pPr>
            <w:r>
              <w:rPr>
                <w:rFonts w:ascii="Times New Roman" w:hAnsi="Times New Roman" w:cs="Times New Roman"/>
                <w:sz w:val="15"/>
                <w:szCs w:val="15"/>
              </w:rPr>
              <w:t>60</w:t>
            </w:r>
          </w:p>
        </w:tc>
        <w:tc>
          <w:tcPr>
            <w:tcW w:w="2132" w:type="dxa"/>
            <w:vAlign w:val="center"/>
          </w:tcPr>
          <w:p w14:paraId="1483943E">
            <w:pPr>
              <w:snapToGrid w:val="0"/>
              <w:jc w:val="center"/>
              <w:rPr>
                <w:rFonts w:ascii="Times New Roman" w:hAnsi="Times New Roman" w:cs="Times New Roman"/>
                <w:sz w:val="15"/>
                <w:szCs w:val="15"/>
              </w:rPr>
            </w:pPr>
            <w:r>
              <w:rPr>
                <w:rFonts w:ascii="Times New Roman" w:hAnsi="Times New Roman" w:cs="Times New Roman"/>
                <w:sz w:val="15"/>
                <w:szCs w:val="15"/>
              </w:rPr>
              <w:t>50</w:t>
            </w:r>
          </w:p>
        </w:tc>
        <w:tc>
          <w:tcPr>
            <w:tcW w:w="2132" w:type="dxa"/>
            <w:vAlign w:val="center"/>
          </w:tcPr>
          <w:p w14:paraId="6F40D5B8">
            <w:pPr>
              <w:snapToGrid w:val="0"/>
              <w:jc w:val="center"/>
              <w:rPr>
                <w:rFonts w:ascii="Times New Roman" w:hAnsi="Times New Roman" w:cs="Times New Roman"/>
                <w:sz w:val="15"/>
                <w:szCs w:val="15"/>
              </w:rPr>
            </w:pPr>
            <w:r>
              <w:rPr>
                <w:rFonts w:ascii="Times New Roman" w:hAnsi="Times New Roman" w:cs="Times New Roman"/>
                <w:sz w:val="15"/>
                <w:szCs w:val="15"/>
              </w:rPr>
              <w:t>40</w:t>
            </w:r>
          </w:p>
        </w:tc>
      </w:tr>
    </w:tbl>
    <w:p w14:paraId="5DE03208">
      <w:pPr>
        <w:snapToGrid w:val="0"/>
        <w:spacing w:before="156" w:beforeLines="50"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3</w:t>
      </w:r>
      <w:r>
        <w:rPr>
          <w:rFonts w:ascii="Times New Roman" w:hAnsi="Times New Roman" w:cs="Times New Roman"/>
          <w:sz w:val="21"/>
          <w:szCs w:val="21"/>
        </w:rPr>
        <w:t xml:space="preserve">  双埂可适用于坡度大于5°坡耕地(图4.12.6)，双埂埂高、间距、埂顶宽应根据拦洪量和来洪量计算确定，设计洪水标准按10年一遇24h最大降水强度计算。</w:t>
      </w:r>
    </w:p>
    <w:p w14:paraId="5C7EA947">
      <w:pPr>
        <w:snapToGrid w:val="0"/>
        <w:spacing w:line="360" w:lineRule="auto"/>
        <w:jc w:val="center"/>
        <w:rPr>
          <w:rFonts w:ascii="Times New Roman" w:hAnsi="Times New Roman" w:cs="Times New Roman"/>
          <w:b/>
          <w:sz w:val="24"/>
          <w:szCs w:val="24"/>
        </w:rPr>
      </w:pPr>
      <w:r>
        <w:rPr>
          <w:rFonts w:ascii="Times New Roman" w:hAnsi="Times New Roman" w:cs="Times New Roman"/>
          <w:b/>
          <w:sz w:val="24"/>
          <w:szCs w:val="24"/>
        </w:rPr>
        <w:drawing>
          <wp:inline distT="0" distB="0" distL="114300" distR="114300">
            <wp:extent cx="3686175" cy="1069975"/>
            <wp:effectExtent l="0" t="0" r="1905" b="12065"/>
            <wp:docPr id="209" name="图片 147" descr="复式地埂断面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47" descr="复式地埂断面图"/>
                    <pic:cNvPicPr>
                      <a:picLocks noChangeAspect="1"/>
                    </pic:cNvPicPr>
                  </pic:nvPicPr>
                  <pic:blipFill>
                    <a:blip r:embed="rId127"/>
                    <a:stretch>
                      <a:fillRect/>
                    </a:stretch>
                  </pic:blipFill>
                  <pic:spPr>
                    <a:xfrm>
                      <a:off x="0" y="0"/>
                      <a:ext cx="3686175" cy="1069975"/>
                    </a:xfrm>
                    <a:prstGeom prst="rect">
                      <a:avLst/>
                    </a:prstGeom>
                    <a:noFill/>
                    <a:ln>
                      <a:noFill/>
                    </a:ln>
                  </pic:spPr>
                </pic:pic>
              </a:graphicData>
            </a:graphic>
          </wp:inline>
        </w:drawing>
      </w:r>
    </w:p>
    <w:p w14:paraId="38F7CF72">
      <w:pPr>
        <w:autoSpaceDE w:val="0"/>
        <w:autoSpaceDN w:val="0"/>
        <w:adjustRightInd w:val="0"/>
        <w:snapToGrid w:val="0"/>
        <w:spacing w:line="360" w:lineRule="auto"/>
        <w:jc w:val="center"/>
        <w:rPr>
          <w:rFonts w:ascii="Times New Roman" w:hAnsi="Times New Roman" w:eastAsia="黑体" w:cs="Times New Roman"/>
          <w:sz w:val="18"/>
          <w:szCs w:val="18"/>
        </w:rPr>
      </w:pPr>
      <w:r>
        <w:rPr>
          <w:rFonts w:ascii="Times New Roman" w:hAnsi="Times New Roman" w:eastAsia="黑体" w:cs="Times New Roman"/>
          <w:sz w:val="18"/>
          <w:szCs w:val="18"/>
        </w:rPr>
        <w:t>图4.12.6  双埂断面示意图</w:t>
      </w:r>
    </w:p>
    <w:p w14:paraId="52AE88DE">
      <w:pPr>
        <w:snapToGrid w:val="0"/>
        <w:spacing w:line="360" w:lineRule="auto"/>
        <w:ind w:firstLine="632" w:firstLineChars="300"/>
        <w:rPr>
          <w:rFonts w:ascii="Times New Roman" w:hAnsi="Times New Roman" w:cs="Times New Roman"/>
          <w:sz w:val="21"/>
          <w:szCs w:val="21"/>
        </w:rPr>
      </w:pPr>
      <w:r>
        <w:rPr>
          <w:rFonts w:ascii="Times New Roman" w:hAnsi="Times New Roman" w:cs="Times New Roman"/>
          <w:b/>
          <w:bCs/>
          <w:sz w:val="21"/>
          <w:szCs w:val="21"/>
        </w:rPr>
        <w:t>1</w:t>
      </w:r>
      <w:r>
        <w:rPr>
          <w:rFonts w:ascii="Times New Roman" w:hAnsi="Times New Roman" w:cs="Times New Roman"/>
          <w:sz w:val="21"/>
          <w:szCs w:val="21"/>
        </w:rPr>
        <w:t>）每延米双埂拦洪量按下式计算：</w:t>
      </w:r>
    </w:p>
    <w:p w14:paraId="1A18F4E9">
      <w:pPr>
        <w:wordWrap w:val="0"/>
        <w:snapToGrid w:val="0"/>
        <w:spacing w:line="360" w:lineRule="auto"/>
        <w:ind w:right="-9" w:firstLine="840" w:firstLineChars="400"/>
        <w:jc w:val="right"/>
        <w:rPr>
          <w:rFonts w:ascii="Times New Roman" w:hAnsi="Times New Roman" w:cs="Times New Roman"/>
          <w:sz w:val="21"/>
          <w:szCs w:val="21"/>
          <w:lang w:val="pt-BR"/>
        </w:rPr>
      </w:pPr>
      <w:r>
        <w:rPr>
          <w:rFonts w:ascii="Times New Roman" w:hAnsi="Times New Roman" w:cs="Times New Roman"/>
          <w:i/>
          <w:sz w:val="21"/>
          <w:szCs w:val="21"/>
          <w:lang w:val="pt-BR"/>
        </w:rPr>
        <w:t>Q</w:t>
      </w:r>
      <w:r>
        <w:rPr>
          <w:rFonts w:ascii="Times New Roman" w:hAnsi="Times New Roman" w:cs="Times New Roman"/>
          <w:sz w:val="21"/>
          <w:szCs w:val="21"/>
          <w:vertAlign w:val="subscript"/>
          <w:lang w:val="pt-BR"/>
        </w:rPr>
        <w:t>1</w:t>
      </w:r>
      <w:r>
        <w:rPr>
          <w:rFonts w:ascii="Times New Roman" w:hAnsi="Times New Roman" w:cs="Times New Roman"/>
          <w:sz w:val="21"/>
          <w:szCs w:val="21"/>
          <w:lang w:val="pt-BR"/>
        </w:rPr>
        <w:t>=（</w:t>
      </w:r>
      <w:r>
        <w:rPr>
          <w:rFonts w:ascii="Times New Roman" w:hAnsi="Times New Roman" w:cs="Times New Roman"/>
          <w:i/>
          <w:sz w:val="21"/>
          <w:szCs w:val="21"/>
          <w:lang w:val="pt-BR"/>
        </w:rPr>
        <w:t>h</w:t>
      </w:r>
      <w:r>
        <w:rPr>
          <w:rFonts w:ascii="Times New Roman" w:hAnsi="Times New Roman" w:cs="Times New Roman"/>
          <w:sz w:val="21"/>
          <w:szCs w:val="21"/>
          <w:vertAlign w:val="superscript"/>
          <w:lang w:val="pt-BR"/>
        </w:rPr>
        <w:t>2</w:t>
      </w:r>
      <w:r>
        <w:rPr>
          <w:rFonts w:ascii="Times New Roman" w:hAnsi="Times New Roman" w:cs="Times New Roman"/>
          <w:sz w:val="21"/>
          <w:szCs w:val="21"/>
          <w:lang w:val="pt-BR"/>
        </w:rPr>
        <w:t>/sin</w:t>
      </w:r>
      <w:r>
        <w:rPr>
          <w:rFonts w:ascii="Times New Roman" w:hAnsi="Times New Roman" w:cs="Times New Roman"/>
          <w:i/>
          <w:sz w:val="21"/>
          <w:szCs w:val="21"/>
        </w:rPr>
        <w:t>θ</w:t>
      </w:r>
      <w:r>
        <w:rPr>
          <w:rFonts w:ascii="Times New Roman" w:hAnsi="Times New Roman" w:cs="Times New Roman"/>
          <w:sz w:val="21"/>
          <w:szCs w:val="21"/>
          <w:lang w:val="pt-BR"/>
        </w:rPr>
        <w:t>-</w:t>
      </w:r>
      <w:r>
        <w:rPr>
          <w:rFonts w:ascii="Times New Roman" w:hAnsi="Times New Roman" w:cs="Times New Roman"/>
          <w:i/>
          <w:sz w:val="21"/>
          <w:szCs w:val="21"/>
          <w:lang w:val="pt-BR"/>
        </w:rPr>
        <w:t>A</w:t>
      </w:r>
      <w:r>
        <w:rPr>
          <w:rFonts w:ascii="Times New Roman" w:hAnsi="Times New Roman" w:cs="Times New Roman"/>
          <w:sz w:val="21"/>
          <w:szCs w:val="21"/>
          <w:lang w:val="pt-BR"/>
        </w:rPr>
        <w:t>）/2+（</w:t>
      </w:r>
      <w:r>
        <w:rPr>
          <w:rFonts w:ascii="Times New Roman" w:hAnsi="Times New Roman" w:cs="Times New Roman"/>
          <w:i/>
          <w:sz w:val="21"/>
          <w:szCs w:val="21"/>
          <w:lang w:val="pt-BR"/>
        </w:rPr>
        <w:t>h</w:t>
      </w:r>
      <w:r>
        <w:rPr>
          <w:rFonts w:ascii="Times New Roman" w:hAnsi="Times New Roman" w:cs="Times New Roman"/>
          <w:sz w:val="21"/>
          <w:szCs w:val="21"/>
          <w:lang w:val="pt-BR"/>
        </w:rPr>
        <w:t>+</w:t>
      </w:r>
      <w:r>
        <w:rPr>
          <w:rFonts w:ascii="Times New Roman" w:hAnsi="Times New Roman" w:cs="Times New Roman"/>
          <w:i/>
          <w:sz w:val="21"/>
          <w:szCs w:val="21"/>
          <w:lang w:val="pt-BR"/>
        </w:rPr>
        <w:t>B</w:t>
      </w:r>
      <w:r>
        <w:rPr>
          <w:rFonts w:ascii="Times New Roman" w:hAnsi="Times New Roman" w:cs="Times New Roman"/>
          <w:sz w:val="21"/>
          <w:szCs w:val="21"/>
          <w:lang w:val="pt-BR"/>
        </w:rPr>
        <w:t>）</w:t>
      </w:r>
      <w:r>
        <w:rPr>
          <w:rFonts w:ascii="Times New Roman" w:hAnsi="Times New Roman" w:cs="Times New Roman"/>
          <w:i/>
          <w:sz w:val="21"/>
          <w:szCs w:val="21"/>
          <w:lang w:val="pt-BR"/>
        </w:rPr>
        <w:t>h</w:t>
      </w:r>
      <w:r>
        <w:rPr>
          <w:rFonts w:ascii="Times New Roman" w:hAnsi="Times New Roman" w:cs="Times New Roman"/>
          <w:sz w:val="21"/>
          <w:szCs w:val="21"/>
          <w:lang w:val="pt-BR"/>
        </w:rPr>
        <w:t xml:space="preserve">                 （</w:t>
      </w:r>
      <w:r>
        <w:rPr>
          <w:rFonts w:ascii="Times New Roman" w:hAnsi="Times New Roman" w:cs="Times New Roman"/>
          <w:sz w:val="21"/>
          <w:szCs w:val="21"/>
        </w:rPr>
        <w:t>4</w:t>
      </w:r>
      <w:r>
        <w:rPr>
          <w:rFonts w:ascii="Times New Roman" w:hAnsi="Times New Roman" w:cs="Times New Roman"/>
          <w:sz w:val="21"/>
          <w:szCs w:val="21"/>
          <w:lang w:val="pt-BR"/>
        </w:rPr>
        <w:t>.</w:t>
      </w:r>
      <w:r>
        <w:rPr>
          <w:rFonts w:ascii="Times New Roman" w:hAnsi="Times New Roman" w:cs="Times New Roman"/>
          <w:sz w:val="21"/>
          <w:szCs w:val="21"/>
        </w:rPr>
        <w:t>12</w:t>
      </w:r>
      <w:r>
        <w:rPr>
          <w:rFonts w:ascii="Times New Roman" w:hAnsi="Times New Roman" w:cs="Times New Roman"/>
          <w:sz w:val="21"/>
          <w:szCs w:val="21"/>
          <w:lang w:val="pt-BR"/>
        </w:rPr>
        <w:t>.</w:t>
      </w:r>
      <w:r>
        <w:rPr>
          <w:rFonts w:ascii="Times New Roman" w:hAnsi="Times New Roman" w:cs="Times New Roman"/>
          <w:sz w:val="21"/>
          <w:szCs w:val="21"/>
        </w:rPr>
        <w:t>6</w:t>
      </w:r>
      <w:r>
        <w:rPr>
          <w:rFonts w:ascii="Times New Roman" w:hAnsi="Times New Roman" w:cs="Times New Roman"/>
          <w:sz w:val="21"/>
          <w:szCs w:val="21"/>
          <w:lang w:val="pt-BR"/>
        </w:rPr>
        <w:t>-</w:t>
      </w:r>
      <w:r>
        <w:rPr>
          <w:rFonts w:ascii="Times New Roman" w:hAnsi="Times New Roman" w:cs="Times New Roman"/>
          <w:sz w:val="21"/>
          <w:szCs w:val="21"/>
        </w:rPr>
        <w:t>1</w:t>
      </w:r>
      <w:r>
        <w:rPr>
          <w:rFonts w:ascii="Times New Roman" w:hAnsi="Times New Roman" w:cs="Times New Roman"/>
          <w:sz w:val="21"/>
          <w:szCs w:val="21"/>
          <w:lang w:val="pt-BR"/>
        </w:rPr>
        <w:t>）</w:t>
      </w:r>
    </w:p>
    <w:p w14:paraId="1403A8AB">
      <w:pPr>
        <w:wordWrap w:val="0"/>
        <w:snapToGrid w:val="0"/>
        <w:spacing w:line="360" w:lineRule="auto"/>
        <w:ind w:right="420" w:firstLine="199" w:firstLineChars="95"/>
        <w:jc w:val="left"/>
        <w:rPr>
          <w:rFonts w:ascii="Times New Roman" w:hAnsi="Times New Roman" w:cs="Times New Roman"/>
          <w:sz w:val="21"/>
          <w:szCs w:val="21"/>
          <w:lang w:val="pt-BR"/>
        </w:rPr>
      </w:pPr>
      <w:r>
        <w:rPr>
          <w:rFonts w:ascii="Times New Roman" w:hAnsi="Times New Roman" w:cs="Times New Roman"/>
          <w:sz w:val="21"/>
          <w:szCs w:val="21"/>
        </w:rPr>
        <w:t>式中：</w:t>
      </w:r>
      <w:r>
        <w:rPr>
          <w:rFonts w:ascii="Times New Roman" w:hAnsi="Times New Roman" w:cs="Times New Roman"/>
          <w:i/>
          <w:sz w:val="21"/>
          <w:szCs w:val="21"/>
        </w:rPr>
        <w:t>Q</w:t>
      </w:r>
      <w:r>
        <w:rPr>
          <w:rFonts w:ascii="Times New Roman" w:hAnsi="Times New Roman" w:cs="Times New Roman"/>
          <w:sz w:val="21"/>
          <w:szCs w:val="21"/>
          <w:vertAlign w:val="subscript"/>
        </w:rPr>
        <w:t>1</w:t>
      </w:r>
      <w:r>
        <w:rPr>
          <w:rFonts w:ascii="Times New Roman" w:hAnsi="Times New Roman" w:cs="Times New Roman"/>
          <w:sz w:val="30"/>
          <w:szCs w:val="21"/>
        </w:rPr>
        <w:t>——</w:t>
      </w:r>
      <w:r>
        <w:rPr>
          <w:rFonts w:ascii="Times New Roman" w:hAnsi="Times New Roman" w:cs="Times New Roman"/>
          <w:sz w:val="21"/>
          <w:szCs w:val="21"/>
        </w:rPr>
        <w:t>每延长米双埂拦洪量，m</w:t>
      </w:r>
      <w:r>
        <w:rPr>
          <w:rFonts w:ascii="Times New Roman" w:hAnsi="Times New Roman" w:cs="Times New Roman"/>
          <w:sz w:val="21"/>
          <w:szCs w:val="21"/>
          <w:vertAlign w:val="superscript"/>
        </w:rPr>
        <w:t>3</w:t>
      </w:r>
      <w:r>
        <w:rPr>
          <w:rFonts w:ascii="Times New Roman" w:hAnsi="Times New Roman" w:cs="Times New Roman"/>
          <w:sz w:val="21"/>
          <w:szCs w:val="21"/>
        </w:rPr>
        <w:t>；</w:t>
      </w:r>
    </w:p>
    <w:p w14:paraId="2B69CF03">
      <w:pPr>
        <w:wordWrap w:val="0"/>
        <w:snapToGrid w:val="0"/>
        <w:spacing w:line="360" w:lineRule="auto"/>
        <w:ind w:right="420" w:firstLine="819" w:firstLineChars="390"/>
        <w:jc w:val="left"/>
        <w:rPr>
          <w:rFonts w:ascii="Times New Roman" w:hAnsi="Times New Roman" w:cs="Times New Roman"/>
          <w:sz w:val="21"/>
          <w:szCs w:val="21"/>
          <w:lang w:val="pt-BR"/>
        </w:rPr>
      </w:pPr>
      <w:r>
        <w:rPr>
          <w:rFonts w:ascii="Times New Roman" w:hAnsi="Times New Roman" w:cs="Times New Roman"/>
          <w:i/>
          <w:sz w:val="21"/>
          <w:szCs w:val="21"/>
          <w:lang w:val="pt-BR"/>
        </w:rPr>
        <w:t>A</w:t>
      </w:r>
      <w:r>
        <w:rPr>
          <w:rFonts w:ascii="Times New Roman" w:hAnsi="Times New Roman" w:cs="Times New Roman"/>
          <w:sz w:val="30"/>
          <w:szCs w:val="21"/>
          <w:lang w:val="pt-BR"/>
        </w:rPr>
        <w:t>——</w:t>
      </w:r>
      <w:r>
        <w:rPr>
          <w:rFonts w:ascii="Times New Roman" w:hAnsi="Times New Roman" w:cs="Times New Roman"/>
          <w:sz w:val="21"/>
          <w:szCs w:val="21"/>
        </w:rPr>
        <w:t>单埂断面面积</w:t>
      </w:r>
      <w:r>
        <w:rPr>
          <w:rFonts w:ascii="Times New Roman" w:hAnsi="Times New Roman" w:cs="Times New Roman"/>
          <w:sz w:val="21"/>
          <w:szCs w:val="21"/>
          <w:lang w:val="pt-BR"/>
        </w:rPr>
        <w:t>，m</w:t>
      </w:r>
      <w:r>
        <w:rPr>
          <w:rFonts w:ascii="Times New Roman" w:hAnsi="Times New Roman" w:cs="Times New Roman"/>
          <w:sz w:val="21"/>
          <w:szCs w:val="21"/>
          <w:vertAlign w:val="superscript"/>
          <w:lang w:val="pt-BR"/>
        </w:rPr>
        <w:t>2</w:t>
      </w:r>
      <w:r>
        <w:rPr>
          <w:rFonts w:ascii="Times New Roman" w:hAnsi="Times New Roman" w:cs="Times New Roman"/>
          <w:sz w:val="21"/>
          <w:szCs w:val="21"/>
          <w:lang w:val="pt-BR"/>
        </w:rPr>
        <w:t>；</w:t>
      </w:r>
    </w:p>
    <w:p w14:paraId="27DB767B">
      <w:pPr>
        <w:wordWrap w:val="0"/>
        <w:snapToGrid w:val="0"/>
        <w:spacing w:line="360" w:lineRule="auto"/>
        <w:ind w:right="420" w:firstLine="819" w:firstLineChars="390"/>
        <w:jc w:val="left"/>
        <w:rPr>
          <w:rFonts w:ascii="Times New Roman" w:hAnsi="Times New Roman" w:cs="Times New Roman"/>
          <w:sz w:val="21"/>
          <w:szCs w:val="21"/>
          <w:lang w:val="pt-BR"/>
        </w:rPr>
      </w:pPr>
      <w:r>
        <w:rPr>
          <w:rFonts w:ascii="Times New Roman" w:hAnsi="Times New Roman" w:cs="Times New Roman"/>
          <w:i/>
          <w:sz w:val="21"/>
          <w:szCs w:val="21"/>
        </w:rPr>
        <w:t>θ</w:t>
      </w:r>
      <w:r>
        <w:rPr>
          <w:rFonts w:ascii="Times New Roman" w:hAnsi="Times New Roman" w:cs="Times New Roman"/>
          <w:sz w:val="30"/>
          <w:szCs w:val="21"/>
          <w:lang w:val="pt-BR"/>
        </w:rPr>
        <w:t>——</w:t>
      </w:r>
      <w:r>
        <w:rPr>
          <w:rFonts w:ascii="Times New Roman" w:hAnsi="Times New Roman" w:cs="Times New Roman"/>
          <w:sz w:val="21"/>
          <w:szCs w:val="21"/>
        </w:rPr>
        <w:t>原地面坡度</w:t>
      </w:r>
      <w:r>
        <w:rPr>
          <w:rFonts w:ascii="Times New Roman" w:hAnsi="Times New Roman" w:cs="Times New Roman"/>
          <w:sz w:val="21"/>
          <w:szCs w:val="21"/>
          <w:lang w:val="pt-BR"/>
        </w:rPr>
        <w:t>，（</w:t>
      </w:r>
      <w:r>
        <w:rPr>
          <w:rFonts w:ascii="Times New Roman" w:hAnsi="Times New Roman" w:cs="Times New Roman"/>
          <w:b/>
          <w:sz w:val="21"/>
          <w:szCs w:val="21"/>
          <w:lang w:val="pt-BR"/>
        </w:rPr>
        <w:t>°</w:t>
      </w:r>
      <w:r>
        <w:rPr>
          <w:rFonts w:ascii="Times New Roman" w:hAnsi="Times New Roman" w:cs="Times New Roman"/>
          <w:sz w:val="21"/>
          <w:szCs w:val="21"/>
          <w:lang w:val="pt-BR"/>
        </w:rPr>
        <w:t>）；</w:t>
      </w:r>
    </w:p>
    <w:p w14:paraId="7A079117">
      <w:pPr>
        <w:wordWrap w:val="0"/>
        <w:snapToGrid w:val="0"/>
        <w:spacing w:line="360" w:lineRule="auto"/>
        <w:ind w:right="420" w:firstLine="819" w:firstLineChars="390"/>
        <w:jc w:val="left"/>
        <w:rPr>
          <w:rFonts w:ascii="Times New Roman" w:hAnsi="Times New Roman" w:cs="Times New Roman"/>
          <w:sz w:val="21"/>
          <w:szCs w:val="21"/>
          <w:lang w:val="pt-BR"/>
        </w:rPr>
      </w:pPr>
      <w:r>
        <w:rPr>
          <w:rFonts w:ascii="Times New Roman" w:hAnsi="Times New Roman" w:cs="Times New Roman"/>
          <w:i/>
          <w:sz w:val="21"/>
          <w:szCs w:val="21"/>
          <w:lang w:val="pt-BR"/>
        </w:rPr>
        <w:t>h</w:t>
      </w:r>
      <w:r>
        <w:rPr>
          <w:rFonts w:ascii="Times New Roman" w:hAnsi="Times New Roman" w:cs="Times New Roman"/>
          <w:sz w:val="30"/>
          <w:szCs w:val="21"/>
          <w:lang w:val="pt-BR"/>
        </w:rPr>
        <w:t>——</w:t>
      </w:r>
      <w:r>
        <w:rPr>
          <w:rFonts w:ascii="Times New Roman" w:hAnsi="Times New Roman" w:cs="Times New Roman"/>
          <w:sz w:val="21"/>
          <w:szCs w:val="21"/>
        </w:rPr>
        <w:t>埂高</w:t>
      </w:r>
      <w:r>
        <w:rPr>
          <w:rFonts w:ascii="Times New Roman" w:hAnsi="Times New Roman" w:cs="Times New Roman"/>
          <w:sz w:val="21"/>
          <w:szCs w:val="21"/>
          <w:lang w:val="pt-BR"/>
        </w:rPr>
        <w:t>，m；</w:t>
      </w:r>
    </w:p>
    <w:p w14:paraId="18790990">
      <w:pPr>
        <w:wordWrap w:val="0"/>
        <w:snapToGrid w:val="0"/>
        <w:spacing w:line="360" w:lineRule="auto"/>
        <w:ind w:right="420" w:firstLine="819" w:firstLineChars="390"/>
        <w:jc w:val="left"/>
        <w:rPr>
          <w:rFonts w:ascii="Times New Roman" w:hAnsi="Times New Roman" w:cs="Times New Roman"/>
          <w:sz w:val="21"/>
          <w:szCs w:val="21"/>
          <w:lang w:val="pt-BR"/>
        </w:rPr>
      </w:pPr>
      <w:r>
        <w:rPr>
          <w:rFonts w:ascii="Times New Roman" w:hAnsi="Times New Roman" w:cs="Times New Roman"/>
          <w:i/>
          <w:sz w:val="21"/>
          <w:szCs w:val="21"/>
          <w:lang w:val="pt-BR"/>
        </w:rPr>
        <w:t>B</w:t>
      </w:r>
      <w:r>
        <w:rPr>
          <w:rFonts w:ascii="Times New Roman" w:hAnsi="Times New Roman" w:cs="Times New Roman"/>
          <w:sz w:val="30"/>
          <w:szCs w:val="21"/>
          <w:lang w:val="pt-BR"/>
        </w:rPr>
        <w:t>——</w:t>
      </w:r>
      <w:r>
        <w:rPr>
          <w:rFonts w:ascii="Times New Roman" w:hAnsi="Times New Roman" w:cs="Times New Roman"/>
          <w:sz w:val="21"/>
          <w:szCs w:val="21"/>
        </w:rPr>
        <w:t>埂间距</w:t>
      </w:r>
      <w:r>
        <w:rPr>
          <w:rFonts w:ascii="Times New Roman" w:hAnsi="Times New Roman" w:cs="Times New Roman"/>
          <w:sz w:val="21"/>
          <w:szCs w:val="21"/>
          <w:lang w:val="pt-BR"/>
        </w:rPr>
        <w:t>，m</w:t>
      </w:r>
      <w:r>
        <w:rPr>
          <w:rFonts w:ascii="Times New Roman" w:hAnsi="Times New Roman" w:cs="Times New Roman"/>
          <w:sz w:val="21"/>
          <w:szCs w:val="21"/>
        </w:rPr>
        <w:t>。</w:t>
      </w:r>
    </w:p>
    <w:p w14:paraId="24CFCEF2">
      <w:pPr>
        <w:snapToGrid w:val="0"/>
        <w:spacing w:line="360" w:lineRule="auto"/>
        <w:ind w:firstLine="632" w:firstLineChars="300"/>
        <w:rPr>
          <w:rFonts w:ascii="Times New Roman" w:hAnsi="Times New Roman" w:cs="Times New Roman"/>
          <w:sz w:val="21"/>
          <w:szCs w:val="21"/>
        </w:rPr>
      </w:pPr>
      <w:r>
        <w:rPr>
          <w:rFonts w:ascii="Times New Roman" w:hAnsi="Times New Roman" w:cs="Times New Roman"/>
          <w:b/>
          <w:bCs/>
          <w:sz w:val="21"/>
          <w:szCs w:val="21"/>
        </w:rPr>
        <w:t>2</w:t>
      </w:r>
      <w:r>
        <w:rPr>
          <w:rFonts w:ascii="Times New Roman" w:hAnsi="Times New Roman" w:cs="Times New Roman"/>
          <w:sz w:val="21"/>
          <w:szCs w:val="21"/>
        </w:rPr>
        <w:t>）设计洪水总量按下式计算:</w:t>
      </w:r>
    </w:p>
    <w:p w14:paraId="1AA3DAD7">
      <w:pPr>
        <w:wordWrap w:val="0"/>
        <w:snapToGrid w:val="0"/>
        <w:spacing w:line="360" w:lineRule="auto"/>
        <w:ind w:right="-9" w:firstLine="840" w:firstLineChars="400"/>
        <w:jc w:val="right"/>
        <w:rPr>
          <w:rFonts w:ascii="Times New Roman" w:hAnsi="Times New Roman" w:cs="Times New Roman"/>
          <w:sz w:val="21"/>
          <w:szCs w:val="21"/>
        </w:rPr>
      </w:pPr>
      <w:r>
        <w:rPr>
          <w:rFonts w:ascii="Times New Roman" w:hAnsi="Times New Roman" w:cs="Times New Roman"/>
          <w:i/>
          <w:sz w:val="21"/>
          <w:szCs w:val="21"/>
        </w:rPr>
        <w:t>W</w:t>
      </w:r>
      <w:r>
        <w:rPr>
          <w:rFonts w:ascii="Times New Roman" w:hAnsi="Times New Roman" w:cs="Times New Roman"/>
          <w:sz w:val="21"/>
          <w:szCs w:val="21"/>
        </w:rPr>
        <w:t>=1.16×0.1（</w:t>
      </w:r>
      <w:r>
        <w:rPr>
          <w:rFonts w:ascii="Times New Roman" w:hAnsi="Times New Roman" w:cs="Times New Roman"/>
          <w:i/>
          <w:sz w:val="21"/>
          <w:szCs w:val="21"/>
        </w:rPr>
        <w:t>K</w:t>
      </w:r>
      <w:r>
        <w:rPr>
          <w:rFonts w:ascii="Times New Roman" w:hAnsi="Times New Roman" w:cs="Times New Roman"/>
          <w:sz w:val="21"/>
          <w:szCs w:val="21"/>
          <w:vertAlign w:val="subscript"/>
        </w:rPr>
        <w:t>10%</w:t>
      </w:r>
      <w:r>
        <w:rPr>
          <w:rFonts w:ascii="Times New Roman" w:hAnsi="Times New Roman" w:cs="Times New Roman"/>
          <w:sz w:val="21"/>
          <w:szCs w:val="21"/>
        </w:rPr>
        <w:t>/</w:t>
      </w:r>
      <w:r>
        <w:rPr>
          <w:rFonts w:ascii="Times New Roman" w:hAnsi="Times New Roman" w:cs="Times New Roman"/>
          <w:i/>
          <w:sz w:val="21"/>
          <w:szCs w:val="21"/>
        </w:rPr>
        <w:t>K</w:t>
      </w:r>
      <w:r>
        <w:rPr>
          <w:rFonts w:ascii="Times New Roman" w:hAnsi="Times New Roman" w:cs="Times New Roman"/>
          <w:sz w:val="21"/>
          <w:szCs w:val="21"/>
          <w:vertAlign w:val="subscript"/>
        </w:rPr>
        <w:t>5%</w:t>
      </w:r>
      <w:r>
        <w:rPr>
          <w:rFonts w:ascii="Times New Roman" w:hAnsi="Times New Roman" w:cs="Times New Roman"/>
          <w:sz w:val="21"/>
          <w:szCs w:val="21"/>
        </w:rPr>
        <w:t>）×</w:t>
      </w:r>
      <w:r>
        <w:rPr>
          <w:rFonts w:ascii="Times New Roman" w:hAnsi="Times New Roman" w:cs="Times New Roman"/>
          <w:i/>
          <w:sz w:val="21"/>
          <w:szCs w:val="21"/>
        </w:rPr>
        <w:t>B</w:t>
      </w:r>
      <w:r>
        <w:rPr>
          <w:rFonts w:ascii="Times New Roman" w:hAnsi="Times New Roman" w:cs="Times New Roman"/>
          <w:sz w:val="21"/>
          <w:szCs w:val="21"/>
          <w:vertAlign w:val="subscript"/>
        </w:rPr>
        <w:t>1</w:t>
      </w:r>
      <w:r>
        <w:rPr>
          <w:rFonts w:ascii="Times New Roman" w:hAnsi="Times New Roman" w:cs="Times New Roman"/>
          <w:sz w:val="21"/>
          <w:szCs w:val="21"/>
        </w:rPr>
        <w:t>×20</w:t>
      </w:r>
      <w:r>
        <w:rPr>
          <w:rFonts w:ascii="Times New Roman" w:hAnsi="Times New Roman" w:cs="Times New Roman"/>
          <w:sz w:val="21"/>
          <w:szCs w:val="21"/>
          <w:vertAlign w:val="superscript"/>
        </w:rPr>
        <w:t>0.83</w:t>
      </w:r>
      <w:r>
        <w:rPr>
          <w:rFonts w:ascii="Times New Roman" w:hAnsi="Times New Roman" w:cs="Times New Roman"/>
          <w:sz w:val="21"/>
          <w:szCs w:val="21"/>
        </w:rPr>
        <w:t>×</w:t>
      </w:r>
      <w:r>
        <w:rPr>
          <w:rFonts w:ascii="Times New Roman" w:hAnsi="Times New Roman" w:cs="Times New Roman"/>
          <w:i/>
          <w:sz w:val="21"/>
          <w:szCs w:val="21"/>
        </w:rPr>
        <w:t>F</w:t>
      </w:r>
      <w:r>
        <w:rPr>
          <w:rFonts w:ascii="Times New Roman" w:hAnsi="Times New Roman" w:cs="Times New Roman"/>
          <w:sz w:val="21"/>
          <w:szCs w:val="21"/>
        </w:rPr>
        <w:t>/20          （4.12.6-2）</w:t>
      </w:r>
    </w:p>
    <w:p w14:paraId="3A301069">
      <w:pPr>
        <w:tabs>
          <w:tab w:val="left" w:pos="1440"/>
        </w:tabs>
        <w:snapToGrid w:val="0"/>
        <w:spacing w:line="360" w:lineRule="auto"/>
        <w:ind w:firstLine="138" w:firstLineChars="66"/>
        <w:jc w:val="left"/>
        <w:rPr>
          <w:rFonts w:ascii="Times New Roman" w:hAnsi="Times New Roman" w:cs="Times New Roman"/>
          <w:sz w:val="21"/>
          <w:szCs w:val="21"/>
        </w:rPr>
      </w:pPr>
      <w:r>
        <w:rPr>
          <w:rFonts w:ascii="Times New Roman" w:hAnsi="Times New Roman" w:cs="Times New Roman"/>
          <w:sz w:val="21"/>
          <w:szCs w:val="21"/>
        </w:rPr>
        <w:t>式中:</w:t>
      </w:r>
      <w:r>
        <w:rPr>
          <w:rFonts w:hint="eastAsia" w:ascii="Times New Roman" w:hAnsi="Times New Roman" w:cs="Times New Roman"/>
          <w:sz w:val="21"/>
          <w:szCs w:val="21"/>
        </w:rPr>
        <w:t xml:space="preserve">  </w:t>
      </w:r>
      <w:r>
        <w:rPr>
          <w:rFonts w:ascii="Times New Roman" w:hAnsi="Times New Roman" w:cs="Times New Roman"/>
          <w:i/>
          <w:sz w:val="21"/>
          <w:szCs w:val="21"/>
        </w:rPr>
        <w:t>W</w:t>
      </w:r>
      <w:r>
        <w:rPr>
          <w:rFonts w:ascii="Times New Roman" w:hAnsi="Times New Roman" w:cs="Times New Roman"/>
          <w:sz w:val="30"/>
          <w:szCs w:val="21"/>
        </w:rPr>
        <w:t>——</w:t>
      </w:r>
      <w:r>
        <w:rPr>
          <w:rFonts w:ascii="Times New Roman" w:hAnsi="Times New Roman" w:cs="Times New Roman"/>
          <w:sz w:val="21"/>
          <w:szCs w:val="21"/>
        </w:rPr>
        <w:t>10年一遇24h最大暴雨条件下洪水总量，m</w:t>
      </w:r>
      <w:r>
        <w:rPr>
          <w:rFonts w:ascii="Times New Roman" w:hAnsi="Times New Roman" w:cs="Times New Roman"/>
          <w:sz w:val="21"/>
          <w:szCs w:val="21"/>
          <w:vertAlign w:val="superscript"/>
        </w:rPr>
        <w:t>3</w:t>
      </w:r>
      <w:r>
        <w:rPr>
          <w:rFonts w:ascii="Times New Roman" w:hAnsi="Times New Roman" w:cs="Times New Roman"/>
          <w:sz w:val="21"/>
          <w:szCs w:val="21"/>
        </w:rPr>
        <w:t>；</w:t>
      </w:r>
    </w:p>
    <w:p w14:paraId="611A08E4">
      <w:pPr>
        <w:tabs>
          <w:tab w:val="left" w:pos="690"/>
        </w:tabs>
        <w:snapToGrid w:val="0"/>
        <w:spacing w:line="360" w:lineRule="auto"/>
        <w:ind w:firstLine="819" w:firstLineChars="390"/>
        <w:jc w:val="left"/>
        <w:rPr>
          <w:rFonts w:ascii="Times New Roman" w:hAnsi="Times New Roman" w:cs="Times New Roman"/>
          <w:sz w:val="21"/>
          <w:szCs w:val="21"/>
        </w:rPr>
      </w:pPr>
      <w:r>
        <w:rPr>
          <w:rFonts w:ascii="Times New Roman" w:hAnsi="Times New Roman" w:cs="Times New Roman"/>
          <w:i/>
          <w:sz w:val="21"/>
          <w:szCs w:val="21"/>
        </w:rPr>
        <w:t>K</w:t>
      </w:r>
      <w:r>
        <w:rPr>
          <w:rFonts w:ascii="Times New Roman" w:hAnsi="Times New Roman" w:cs="Times New Roman"/>
          <w:sz w:val="21"/>
          <w:szCs w:val="21"/>
          <w:vertAlign w:val="subscript"/>
        </w:rPr>
        <w:t>10%</w:t>
      </w:r>
      <w:r>
        <w:rPr>
          <w:rFonts w:ascii="Times New Roman" w:hAnsi="Times New Roman" w:cs="Times New Roman"/>
          <w:sz w:val="30"/>
          <w:szCs w:val="21"/>
        </w:rPr>
        <w:t>——</w:t>
      </w:r>
      <w:r>
        <w:rPr>
          <w:rFonts w:ascii="Times New Roman" w:hAnsi="Times New Roman" w:cs="Times New Roman"/>
          <w:sz w:val="21"/>
          <w:szCs w:val="21"/>
        </w:rPr>
        <w:t>10年一遇模比系数；</w:t>
      </w:r>
    </w:p>
    <w:p w14:paraId="421DBC25">
      <w:pPr>
        <w:tabs>
          <w:tab w:val="left" w:pos="690"/>
        </w:tabs>
        <w:snapToGrid w:val="0"/>
        <w:spacing w:line="360" w:lineRule="auto"/>
        <w:ind w:firstLine="819" w:firstLineChars="390"/>
        <w:jc w:val="left"/>
        <w:rPr>
          <w:rFonts w:ascii="Times New Roman" w:hAnsi="Times New Roman" w:cs="Times New Roman"/>
          <w:sz w:val="21"/>
          <w:szCs w:val="21"/>
        </w:rPr>
      </w:pPr>
      <w:r>
        <w:rPr>
          <w:rFonts w:ascii="Times New Roman" w:hAnsi="Times New Roman" w:cs="Times New Roman"/>
          <w:i/>
          <w:sz w:val="21"/>
          <w:szCs w:val="21"/>
        </w:rPr>
        <w:t>K</w:t>
      </w:r>
      <w:r>
        <w:rPr>
          <w:rFonts w:ascii="Times New Roman" w:hAnsi="Times New Roman" w:cs="Times New Roman"/>
          <w:sz w:val="21"/>
          <w:szCs w:val="21"/>
          <w:vertAlign w:val="subscript"/>
        </w:rPr>
        <w:t>5%</w:t>
      </w:r>
      <w:r>
        <w:rPr>
          <w:rFonts w:ascii="Times New Roman" w:hAnsi="Times New Roman" w:cs="Times New Roman"/>
          <w:sz w:val="30"/>
          <w:szCs w:val="21"/>
        </w:rPr>
        <w:t>——</w:t>
      </w:r>
      <w:r>
        <w:rPr>
          <w:rFonts w:ascii="Times New Roman" w:hAnsi="Times New Roman" w:cs="Times New Roman"/>
          <w:sz w:val="21"/>
          <w:szCs w:val="21"/>
        </w:rPr>
        <w:t>20年一遇模比系数；</w:t>
      </w:r>
    </w:p>
    <w:p w14:paraId="0A2EF4CF">
      <w:pPr>
        <w:tabs>
          <w:tab w:val="left" w:pos="690"/>
        </w:tabs>
        <w:snapToGrid w:val="0"/>
        <w:spacing w:line="360" w:lineRule="auto"/>
        <w:ind w:firstLine="819" w:firstLineChars="390"/>
        <w:jc w:val="left"/>
        <w:rPr>
          <w:rFonts w:ascii="Times New Roman" w:hAnsi="Times New Roman" w:cs="Times New Roman"/>
          <w:sz w:val="21"/>
          <w:szCs w:val="21"/>
        </w:rPr>
      </w:pPr>
      <w:r>
        <w:rPr>
          <w:rFonts w:ascii="Times New Roman" w:hAnsi="Times New Roman" w:cs="Times New Roman"/>
          <w:i/>
          <w:sz w:val="21"/>
          <w:szCs w:val="21"/>
        </w:rPr>
        <w:t>B</w:t>
      </w:r>
      <w:r>
        <w:rPr>
          <w:rFonts w:ascii="Times New Roman" w:hAnsi="Times New Roman" w:cs="Times New Roman"/>
          <w:sz w:val="21"/>
          <w:szCs w:val="21"/>
          <w:vertAlign w:val="subscript"/>
        </w:rPr>
        <w:t>1</w:t>
      </w:r>
      <w:r>
        <w:rPr>
          <w:rFonts w:ascii="Times New Roman" w:hAnsi="Times New Roman" w:cs="Times New Roman"/>
          <w:sz w:val="30"/>
          <w:szCs w:val="21"/>
        </w:rPr>
        <w:t>——</w:t>
      </w:r>
      <w:r>
        <w:rPr>
          <w:rFonts w:ascii="Times New Roman" w:hAnsi="Times New Roman" w:cs="Times New Roman"/>
          <w:sz w:val="21"/>
          <w:szCs w:val="21"/>
        </w:rPr>
        <w:t>最大24h洪量参数；</w:t>
      </w:r>
    </w:p>
    <w:p w14:paraId="537D70FC">
      <w:pPr>
        <w:tabs>
          <w:tab w:val="left" w:pos="690"/>
        </w:tabs>
        <w:snapToGrid w:val="0"/>
        <w:spacing w:line="360" w:lineRule="auto"/>
        <w:ind w:firstLine="819" w:firstLineChars="390"/>
        <w:jc w:val="left"/>
        <w:rPr>
          <w:rFonts w:ascii="Times New Roman" w:hAnsi="Times New Roman" w:cs="Times New Roman"/>
          <w:sz w:val="24"/>
          <w:szCs w:val="24"/>
        </w:rPr>
      </w:pPr>
      <w:r>
        <w:rPr>
          <w:rFonts w:ascii="Times New Roman" w:hAnsi="Times New Roman" w:cs="Times New Roman"/>
          <w:i/>
          <w:sz w:val="21"/>
          <w:szCs w:val="21"/>
        </w:rPr>
        <w:t>F</w:t>
      </w:r>
      <w:r>
        <w:rPr>
          <w:rFonts w:ascii="Times New Roman" w:hAnsi="Times New Roman" w:cs="Times New Roman"/>
          <w:sz w:val="30"/>
          <w:szCs w:val="21"/>
        </w:rPr>
        <w:t>——</w:t>
      </w:r>
      <w:r>
        <w:rPr>
          <w:rFonts w:ascii="Times New Roman" w:hAnsi="Times New Roman" w:cs="Times New Roman"/>
          <w:sz w:val="21"/>
          <w:szCs w:val="21"/>
        </w:rPr>
        <w:t>集水面积，km</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75EAE0A0">
      <w:pPr>
        <w:snapToGrid w:val="0"/>
        <w:spacing w:line="360" w:lineRule="auto"/>
        <w:ind w:firstLine="422" w:firstLineChars="200"/>
        <w:rPr>
          <w:rFonts w:ascii="Times New Roman" w:hAnsi="Times New Roman" w:cs="Times New Roman"/>
          <w:sz w:val="21"/>
          <w:szCs w:val="28"/>
        </w:rPr>
      </w:pPr>
      <w:r>
        <w:rPr>
          <w:rFonts w:ascii="Times New Roman" w:hAnsi="Times New Roman" w:cs="Times New Roman"/>
          <w:b/>
          <w:bCs/>
          <w:sz w:val="21"/>
          <w:szCs w:val="21"/>
        </w:rPr>
        <w:t>4</w:t>
      </w:r>
      <w:r>
        <w:rPr>
          <w:rFonts w:ascii="Times New Roman" w:hAnsi="Times New Roman" w:cs="Times New Roman"/>
          <w:sz w:val="21"/>
          <w:szCs w:val="21"/>
        </w:rPr>
        <w:t xml:space="preserve">  地埂植物带宜采用多植物种混交；宽度小于30cm的埂坎宜选择草种植物。</w:t>
      </w:r>
    </w:p>
    <w:p w14:paraId="017743B7">
      <w:pPr>
        <w:tabs>
          <w:tab w:val="left" w:pos="1440"/>
        </w:tabs>
        <w:snapToGrid w:val="0"/>
        <w:spacing w:line="360" w:lineRule="auto"/>
        <w:ind w:left="527" w:hanging="527" w:hangingChars="250"/>
        <w:jc w:val="left"/>
        <w:rPr>
          <w:rFonts w:ascii="Times New Roman" w:hAnsi="Times New Roman" w:cs="Times New Roman"/>
          <w:sz w:val="21"/>
          <w:szCs w:val="21"/>
        </w:rPr>
      </w:pPr>
      <w:r>
        <w:rPr>
          <w:rFonts w:ascii="Times New Roman" w:hAnsi="Times New Roman" w:eastAsia="黑体" w:cs="Times New Roman"/>
          <w:b/>
          <w:bCs/>
          <w:sz w:val="21"/>
          <w:szCs w:val="24"/>
        </w:rPr>
        <w:t xml:space="preserve">4.12.7 </w:t>
      </w:r>
      <w:r>
        <w:rPr>
          <w:rFonts w:ascii="Times New Roman" w:hAnsi="Times New Roman" w:cs="Times New Roman"/>
          <w:sz w:val="21"/>
          <w:szCs w:val="21"/>
        </w:rPr>
        <w:t xml:space="preserve"> 等高植物篱设计应符合下列要求：</w:t>
      </w:r>
    </w:p>
    <w:p w14:paraId="5CDC8607">
      <w:pPr>
        <w:tabs>
          <w:tab w:val="left" w:pos="1440"/>
        </w:tabs>
        <w:snapToGrid w:val="0"/>
        <w:spacing w:line="360" w:lineRule="auto"/>
        <w:ind w:firstLine="426" w:firstLineChars="202"/>
        <w:jc w:val="left"/>
        <w:rPr>
          <w:rFonts w:ascii="Times New Roman" w:hAnsi="Times New Roman" w:cs="Times New Roman"/>
          <w:sz w:val="21"/>
          <w:szCs w:val="21"/>
        </w:rPr>
      </w:pPr>
      <w:r>
        <w:rPr>
          <w:rFonts w:ascii="Times New Roman" w:hAnsi="Times New Roman" w:eastAsia="黑体" w:cs="Times New Roman"/>
          <w:b/>
          <w:bCs/>
          <w:sz w:val="21"/>
          <w:szCs w:val="24"/>
        </w:rPr>
        <w:t>1</w:t>
      </w:r>
      <w:r>
        <w:rPr>
          <w:rFonts w:ascii="Times New Roman" w:hAnsi="Times New Roman" w:cs="Times New Roman"/>
          <w:sz w:val="21"/>
          <w:szCs w:val="21"/>
        </w:rPr>
        <w:t xml:space="preserve">  等高植物篱可应用于西南紫色区小于25°的坡耕地。</w:t>
      </w:r>
    </w:p>
    <w:p w14:paraId="6AA3B80C">
      <w:pPr>
        <w:tabs>
          <w:tab w:val="left" w:pos="1440"/>
        </w:tabs>
        <w:snapToGrid w:val="0"/>
        <w:spacing w:line="360" w:lineRule="auto"/>
        <w:ind w:firstLine="426" w:firstLineChars="202"/>
        <w:jc w:val="left"/>
        <w:rPr>
          <w:rFonts w:ascii="Times New Roman" w:hAnsi="Times New Roman" w:cs="Times New Roman"/>
          <w:sz w:val="30"/>
          <w:szCs w:val="24"/>
        </w:rPr>
      </w:pPr>
      <w:r>
        <w:rPr>
          <w:rFonts w:ascii="Times New Roman" w:hAnsi="Times New Roman" w:eastAsia="黑体" w:cs="Times New Roman"/>
          <w:b/>
          <w:bCs/>
          <w:sz w:val="21"/>
          <w:szCs w:val="24"/>
        </w:rPr>
        <w:t>2</w:t>
      </w:r>
      <w:r>
        <w:rPr>
          <w:rFonts w:ascii="Times New Roman" w:hAnsi="Times New Roman" w:cs="Times New Roman"/>
          <w:sz w:val="21"/>
          <w:szCs w:val="21"/>
        </w:rPr>
        <w:t xml:space="preserve">  根据坡度，植物篱间距可按表4.12.7执行。</w:t>
      </w:r>
    </w:p>
    <w:p w14:paraId="4C888E4F">
      <w:pPr>
        <w:jc w:val="center"/>
        <w:rPr>
          <w:rFonts w:ascii="Times New Roman" w:hAnsi="Times New Roman" w:eastAsia="黑体" w:cs="Times New Roman"/>
          <w:sz w:val="18"/>
          <w:szCs w:val="18"/>
        </w:rPr>
      </w:pPr>
      <w:r>
        <w:rPr>
          <w:rFonts w:ascii="Times New Roman" w:hAnsi="Times New Roman" w:eastAsia="黑体" w:cs="Times New Roman"/>
          <w:sz w:val="18"/>
          <w:szCs w:val="18"/>
        </w:rPr>
        <w:t xml:space="preserve">表4.12.7 </w:t>
      </w:r>
      <w:r>
        <w:rPr>
          <w:rFonts w:hint="eastAsia" w:ascii="Times New Roman" w:hAnsi="Times New Roman" w:eastAsia="黑体" w:cs="Times New Roman"/>
          <w:sz w:val="18"/>
          <w:szCs w:val="18"/>
        </w:rPr>
        <w:t xml:space="preserve"> </w:t>
      </w:r>
      <w:r>
        <w:rPr>
          <w:rFonts w:ascii="Times New Roman" w:hAnsi="Times New Roman" w:eastAsia="黑体" w:cs="Times New Roman"/>
          <w:sz w:val="18"/>
          <w:szCs w:val="18"/>
        </w:rPr>
        <w:t>不同坡度植物篱间距</w:t>
      </w:r>
    </w:p>
    <w:tbl>
      <w:tblPr>
        <w:tblStyle w:val="10"/>
        <w:tblW w:w="851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49"/>
        <w:gridCol w:w="2885"/>
        <w:gridCol w:w="3585"/>
      </w:tblGrid>
      <w:tr w14:paraId="35B8FC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2049" w:type="dxa"/>
            <w:vAlign w:val="center"/>
          </w:tcPr>
          <w:p w14:paraId="594DA15A">
            <w:pPr>
              <w:snapToGrid w:val="0"/>
              <w:jc w:val="center"/>
              <w:rPr>
                <w:rFonts w:ascii="Times New Roman" w:hAnsi="Times New Roman" w:cs="Times New Roman"/>
                <w:sz w:val="15"/>
                <w:szCs w:val="15"/>
              </w:rPr>
            </w:pPr>
            <w:r>
              <w:rPr>
                <w:rFonts w:ascii="Times New Roman" w:hAnsi="Times New Roman" w:cs="Times New Roman"/>
                <w:sz w:val="15"/>
                <w:szCs w:val="15"/>
              </w:rPr>
              <w:t>坡度（°）</w:t>
            </w:r>
          </w:p>
        </w:tc>
        <w:tc>
          <w:tcPr>
            <w:tcW w:w="2885" w:type="dxa"/>
            <w:vAlign w:val="center"/>
          </w:tcPr>
          <w:p w14:paraId="367E2BED">
            <w:pPr>
              <w:snapToGrid w:val="0"/>
              <w:jc w:val="center"/>
              <w:rPr>
                <w:rFonts w:ascii="Times New Roman" w:hAnsi="Times New Roman" w:cs="Times New Roman"/>
                <w:sz w:val="15"/>
                <w:szCs w:val="15"/>
              </w:rPr>
            </w:pPr>
            <w:r>
              <w:rPr>
                <w:rFonts w:ascii="Times New Roman" w:hAnsi="Times New Roman" w:cs="Times New Roman"/>
                <w:sz w:val="15"/>
                <w:szCs w:val="15"/>
              </w:rPr>
              <w:t>临界坡长（m）</w:t>
            </w:r>
          </w:p>
        </w:tc>
        <w:tc>
          <w:tcPr>
            <w:tcW w:w="3585" w:type="dxa"/>
            <w:vAlign w:val="center"/>
          </w:tcPr>
          <w:p w14:paraId="436EE2DA">
            <w:pPr>
              <w:snapToGrid w:val="0"/>
              <w:jc w:val="center"/>
              <w:rPr>
                <w:rFonts w:ascii="Times New Roman" w:hAnsi="Times New Roman" w:cs="Times New Roman"/>
                <w:sz w:val="15"/>
                <w:szCs w:val="15"/>
              </w:rPr>
            </w:pPr>
            <w:r>
              <w:rPr>
                <w:rFonts w:ascii="Times New Roman" w:hAnsi="Times New Roman" w:cs="Times New Roman"/>
                <w:sz w:val="15"/>
                <w:szCs w:val="15"/>
              </w:rPr>
              <w:t>植物带带间距（m）</w:t>
            </w:r>
          </w:p>
        </w:tc>
      </w:tr>
      <w:tr w14:paraId="3D2AB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2049" w:type="dxa"/>
            <w:vAlign w:val="center"/>
          </w:tcPr>
          <w:p w14:paraId="4B7A513B">
            <w:pPr>
              <w:snapToGrid w:val="0"/>
              <w:jc w:val="center"/>
              <w:rPr>
                <w:rFonts w:ascii="Times New Roman" w:hAnsi="Times New Roman" w:cs="Times New Roman"/>
                <w:sz w:val="15"/>
                <w:szCs w:val="15"/>
              </w:rPr>
            </w:pPr>
            <w:r>
              <w:rPr>
                <w:rFonts w:ascii="Times New Roman" w:hAnsi="Times New Roman" w:cs="Times New Roman"/>
                <w:sz w:val="15"/>
                <w:szCs w:val="15"/>
              </w:rPr>
              <w:t>5</w:t>
            </w:r>
          </w:p>
        </w:tc>
        <w:tc>
          <w:tcPr>
            <w:tcW w:w="2885" w:type="dxa"/>
            <w:vAlign w:val="center"/>
          </w:tcPr>
          <w:p w14:paraId="2CCA0718">
            <w:pPr>
              <w:snapToGrid w:val="0"/>
              <w:jc w:val="center"/>
              <w:rPr>
                <w:rFonts w:ascii="Times New Roman" w:hAnsi="Times New Roman" w:cs="Times New Roman"/>
                <w:sz w:val="15"/>
                <w:szCs w:val="15"/>
              </w:rPr>
            </w:pPr>
            <w:r>
              <w:rPr>
                <w:rFonts w:ascii="Times New Roman" w:hAnsi="Times New Roman" w:cs="Times New Roman"/>
                <w:sz w:val="15"/>
                <w:szCs w:val="15"/>
              </w:rPr>
              <w:t>8～9</w:t>
            </w:r>
          </w:p>
        </w:tc>
        <w:tc>
          <w:tcPr>
            <w:tcW w:w="3585" w:type="dxa"/>
            <w:vAlign w:val="center"/>
          </w:tcPr>
          <w:p w14:paraId="197E974E">
            <w:pPr>
              <w:snapToGrid w:val="0"/>
              <w:jc w:val="center"/>
              <w:rPr>
                <w:rFonts w:ascii="Times New Roman" w:hAnsi="Times New Roman" w:cs="Times New Roman"/>
                <w:sz w:val="15"/>
                <w:szCs w:val="15"/>
              </w:rPr>
            </w:pPr>
            <w:r>
              <w:rPr>
                <w:rFonts w:ascii="Times New Roman" w:hAnsi="Times New Roman" w:cs="Times New Roman"/>
                <w:sz w:val="15"/>
                <w:szCs w:val="15"/>
              </w:rPr>
              <w:t>9.5</w:t>
            </w:r>
          </w:p>
        </w:tc>
      </w:tr>
      <w:tr w14:paraId="211FA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49" w:type="dxa"/>
            <w:vAlign w:val="center"/>
          </w:tcPr>
          <w:p w14:paraId="6A0D96BC">
            <w:pPr>
              <w:snapToGrid w:val="0"/>
              <w:jc w:val="center"/>
              <w:rPr>
                <w:rFonts w:ascii="Times New Roman" w:hAnsi="Times New Roman" w:cs="Times New Roman"/>
                <w:sz w:val="15"/>
                <w:szCs w:val="15"/>
              </w:rPr>
            </w:pPr>
            <w:r>
              <w:rPr>
                <w:rFonts w:ascii="Times New Roman" w:hAnsi="Times New Roman" w:cs="Times New Roman"/>
                <w:sz w:val="15"/>
                <w:szCs w:val="15"/>
              </w:rPr>
              <w:t>10</w:t>
            </w:r>
          </w:p>
        </w:tc>
        <w:tc>
          <w:tcPr>
            <w:tcW w:w="2885" w:type="dxa"/>
            <w:vAlign w:val="center"/>
          </w:tcPr>
          <w:p w14:paraId="456693C5">
            <w:pPr>
              <w:snapToGrid w:val="0"/>
              <w:jc w:val="center"/>
              <w:rPr>
                <w:rFonts w:ascii="Times New Roman" w:hAnsi="Times New Roman" w:cs="Times New Roman"/>
                <w:sz w:val="15"/>
                <w:szCs w:val="15"/>
              </w:rPr>
            </w:pPr>
            <w:r>
              <w:rPr>
                <w:rFonts w:ascii="Times New Roman" w:hAnsi="Times New Roman" w:cs="Times New Roman"/>
                <w:sz w:val="15"/>
                <w:szCs w:val="15"/>
              </w:rPr>
              <w:t>6～6.5</w:t>
            </w:r>
          </w:p>
        </w:tc>
        <w:tc>
          <w:tcPr>
            <w:tcW w:w="3585" w:type="dxa"/>
            <w:vAlign w:val="center"/>
          </w:tcPr>
          <w:p w14:paraId="79026CDB">
            <w:pPr>
              <w:snapToGrid w:val="0"/>
              <w:jc w:val="center"/>
              <w:rPr>
                <w:rFonts w:ascii="Times New Roman" w:hAnsi="Times New Roman" w:cs="Times New Roman"/>
                <w:sz w:val="15"/>
                <w:szCs w:val="15"/>
              </w:rPr>
            </w:pPr>
            <w:r>
              <w:rPr>
                <w:rFonts w:ascii="Times New Roman" w:hAnsi="Times New Roman" w:cs="Times New Roman"/>
                <w:sz w:val="15"/>
                <w:szCs w:val="15"/>
              </w:rPr>
              <w:t>7～7.5</w:t>
            </w:r>
          </w:p>
        </w:tc>
      </w:tr>
      <w:tr w14:paraId="578734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2049" w:type="dxa"/>
            <w:vAlign w:val="center"/>
          </w:tcPr>
          <w:p w14:paraId="39D18CA7">
            <w:pPr>
              <w:snapToGrid w:val="0"/>
              <w:jc w:val="center"/>
              <w:rPr>
                <w:rFonts w:ascii="Times New Roman" w:hAnsi="Times New Roman" w:cs="Times New Roman"/>
                <w:sz w:val="15"/>
                <w:szCs w:val="15"/>
              </w:rPr>
            </w:pPr>
            <w:r>
              <w:rPr>
                <w:rFonts w:ascii="Times New Roman" w:hAnsi="Times New Roman" w:cs="Times New Roman"/>
                <w:sz w:val="15"/>
                <w:szCs w:val="15"/>
              </w:rPr>
              <w:t>15</w:t>
            </w:r>
          </w:p>
        </w:tc>
        <w:tc>
          <w:tcPr>
            <w:tcW w:w="2885" w:type="dxa"/>
            <w:vAlign w:val="center"/>
          </w:tcPr>
          <w:p w14:paraId="5AEBFD9B">
            <w:pPr>
              <w:snapToGrid w:val="0"/>
              <w:jc w:val="center"/>
              <w:rPr>
                <w:rFonts w:ascii="Times New Roman" w:hAnsi="Times New Roman" w:cs="Times New Roman"/>
                <w:sz w:val="15"/>
                <w:szCs w:val="15"/>
              </w:rPr>
            </w:pPr>
            <w:r>
              <w:rPr>
                <w:rFonts w:ascii="Times New Roman" w:hAnsi="Times New Roman" w:cs="Times New Roman"/>
                <w:sz w:val="15"/>
                <w:szCs w:val="15"/>
              </w:rPr>
              <w:t>4～4.5</w:t>
            </w:r>
          </w:p>
        </w:tc>
        <w:tc>
          <w:tcPr>
            <w:tcW w:w="3585" w:type="dxa"/>
            <w:vAlign w:val="center"/>
          </w:tcPr>
          <w:p w14:paraId="296E8CD5">
            <w:pPr>
              <w:snapToGrid w:val="0"/>
              <w:jc w:val="center"/>
              <w:rPr>
                <w:rFonts w:ascii="Times New Roman" w:hAnsi="Times New Roman" w:cs="Times New Roman"/>
                <w:sz w:val="15"/>
                <w:szCs w:val="15"/>
              </w:rPr>
            </w:pPr>
            <w:r>
              <w:rPr>
                <w:rFonts w:ascii="Times New Roman" w:hAnsi="Times New Roman" w:cs="Times New Roman"/>
                <w:sz w:val="15"/>
                <w:szCs w:val="15"/>
              </w:rPr>
              <w:t>5～5.5</w:t>
            </w:r>
          </w:p>
        </w:tc>
      </w:tr>
      <w:tr w14:paraId="72993D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2049" w:type="dxa"/>
            <w:vAlign w:val="center"/>
          </w:tcPr>
          <w:p w14:paraId="03B78752">
            <w:pPr>
              <w:snapToGrid w:val="0"/>
              <w:jc w:val="center"/>
              <w:rPr>
                <w:rFonts w:ascii="Times New Roman" w:hAnsi="Times New Roman" w:cs="Times New Roman"/>
                <w:sz w:val="15"/>
                <w:szCs w:val="15"/>
              </w:rPr>
            </w:pPr>
            <w:r>
              <w:rPr>
                <w:rFonts w:ascii="Times New Roman" w:hAnsi="Times New Roman" w:cs="Times New Roman"/>
                <w:sz w:val="15"/>
                <w:szCs w:val="15"/>
              </w:rPr>
              <w:t>20</w:t>
            </w:r>
          </w:p>
        </w:tc>
        <w:tc>
          <w:tcPr>
            <w:tcW w:w="2885" w:type="dxa"/>
            <w:vAlign w:val="center"/>
          </w:tcPr>
          <w:p w14:paraId="517337C5">
            <w:pPr>
              <w:snapToGrid w:val="0"/>
              <w:jc w:val="center"/>
              <w:rPr>
                <w:rFonts w:ascii="Times New Roman" w:hAnsi="Times New Roman" w:cs="Times New Roman"/>
                <w:sz w:val="15"/>
                <w:szCs w:val="15"/>
              </w:rPr>
            </w:pPr>
            <w:r>
              <w:rPr>
                <w:rFonts w:ascii="Times New Roman" w:hAnsi="Times New Roman" w:cs="Times New Roman"/>
                <w:sz w:val="15"/>
                <w:szCs w:val="15"/>
              </w:rPr>
              <w:t>2.5～3</w:t>
            </w:r>
          </w:p>
        </w:tc>
        <w:tc>
          <w:tcPr>
            <w:tcW w:w="3585" w:type="dxa"/>
            <w:vAlign w:val="center"/>
          </w:tcPr>
          <w:p w14:paraId="16BE10F9">
            <w:pPr>
              <w:snapToGrid w:val="0"/>
              <w:jc w:val="center"/>
              <w:rPr>
                <w:rFonts w:ascii="Times New Roman" w:hAnsi="Times New Roman" w:cs="Times New Roman"/>
                <w:sz w:val="15"/>
                <w:szCs w:val="15"/>
              </w:rPr>
            </w:pPr>
            <w:r>
              <w:rPr>
                <w:rFonts w:ascii="Times New Roman" w:hAnsi="Times New Roman" w:cs="Times New Roman"/>
                <w:sz w:val="15"/>
                <w:szCs w:val="15"/>
              </w:rPr>
              <w:t>3.5～4</w:t>
            </w:r>
          </w:p>
        </w:tc>
      </w:tr>
      <w:tr w14:paraId="3AC2DF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2049" w:type="dxa"/>
            <w:vAlign w:val="center"/>
          </w:tcPr>
          <w:p w14:paraId="6113C3FB">
            <w:pPr>
              <w:snapToGrid w:val="0"/>
              <w:jc w:val="center"/>
              <w:rPr>
                <w:rFonts w:ascii="Times New Roman" w:hAnsi="Times New Roman" w:cs="Times New Roman"/>
                <w:sz w:val="15"/>
                <w:szCs w:val="15"/>
              </w:rPr>
            </w:pPr>
            <w:r>
              <w:rPr>
                <w:rFonts w:ascii="Times New Roman" w:hAnsi="Times New Roman" w:cs="Times New Roman"/>
                <w:sz w:val="15"/>
                <w:szCs w:val="15"/>
              </w:rPr>
              <w:t>25</w:t>
            </w:r>
          </w:p>
        </w:tc>
        <w:tc>
          <w:tcPr>
            <w:tcW w:w="2885" w:type="dxa"/>
            <w:vAlign w:val="center"/>
          </w:tcPr>
          <w:p w14:paraId="0DD8422E">
            <w:pPr>
              <w:snapToGrid w:val="0"/>
              <w:jc w:val="center"/>
              <w:rPr>
                <w:rFonts w:ascii="Times New Roman" w:hAnsi="Times New Roman" w:cs="Times New Roman"/>
                <w:sz w:val="15"/>
                <w:szCs w:val="15"/>
              </w:rPr>
            </w:pPr>
            <w:r>
              <w:rPr>
                <w:rFonts w:ascii="Times New Roman" w:hAnsi="Times New Roman" w:cs="Times New Roman"/>
                <w:sz w:val="15"/>
                <w:szCs w:val="15"/>
              </w:rPr>
              <w:t>1.5～2</w:t>
            </w:r>
          </w:p>
        </w:tc>
        <w:tc>
          <w:tcPr>
            <w:tcW w:w="3585" w:type="dxa"/>
            <w:vAlign w:val="center"/>
          </w:tcPr>
          <w:p w14:paraId="43904868">
            <w:pPr>
              <w:snapToGrid w:val="0"/>
              <w:jc w:val="center"/>
              <w:rPr>
                <w:rFonts w:ascii="Times New Roman" w:hAnsi="Times New Roman" w:cs="Times New Roman"/>
                <w:sz w:val="15"/>
                <w:szCs w:val="15"/>
              </w:rPr>
            </w:pPr>
            <w:r>
              <w:rPr>
                <w:rFonts w:ascii="Times New Roman" w:hAnsi="Times New Roman" w:cs="Times New Roman"/>
                <w:sz w:val="15"/>
                <w:szCs w:val="15"/>
              </w:rPr>
              <w:t>2.5～3</w:t>
            </w:r>
          </w:p>
        </w:tc>
      </w:tr>
    </w:tbl>
    <w:p w14:paraId="57CB5CC8">
      <w:pPr>
        <w:snapToGrid w:val="0"/>
        <w:spacing w:line="360" w:lineRule="auto"/>
        <w:ind w:firstLine="426" w:firstLineChars="202"/>
        <w:rPr>
          <w:rFonts w:ascii="Times New Roman" w:hAnsi="Times New Roman" w:eastAsia="黑体" w:cs="Times New Roman"/>
          <w:sz w:val="21"/>
          <w:szCs w:val="24"/>
        </w:rPr>
      </w:pPr>
      <w:r>
        <w:rPr>
          <w:rFonts w:ascii="Times New Roman" w:hAnsi="Times New Roman" w:eastAsia="黑体" w:cs="Times New Roman"/>
          <w:b/>
          <w:bCs/>
          <w:sz w:val="21"/>
          <w:szCs w:val="24"/>
        </w:rPr>
        <w:t>3</w:t>
      </w:r>
      <w:r>
        <w:rPr>
          <w:rFonts w:ascii="Times New Roman" w:hAnsi="Times New Roman" w:cs="Times New Roman"/>
          <w:sz w:val="21"/>
          <w:szCs w:val="21"/>
        </w:rPr>
        <w:t xml:space="preserve">  乔木宜栽植一行，株距宜为1.5m；灌木行距宜0.4m，株距宜0.2m～0.6m；草本选用撒播或植苗方式，带宽宜0.6m。在土坎和地埂上撒播草籽，带间距依地面坡度而定。</w:t>
      </w:r>
    </w:p>
    <w:p w14:paraId="11BBEF73">
      <w:pPr>
        <w:snapToGrid w:val="0"/>
        <w:spacing w:line="360" w:lineRule="auto"/>
        <w:ind w:left="1" w:firstLine="413" w:firstLineChars="196"/>
        <w:rPr>
          <w:rFonts w:ascii="Times New Roman" w:hAnsi="Times New Roman" w:cs="Times New Roman"/>
          <w:b/>
          <w:sz w:val="24"/>
          <w:szCs w:val="24"/>
        </w:rPr>
      </w:pPr>
      <w:r>
        <w:rPr>
          <w:rFonts w:ascii="Times New Roman" w:hAnsi="Times New Roman" w:eastAsia="黑体" w:cs="Times New Roman"/>
          <w:b/>
          <w:bCs/>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植物篱配置可采用地埂+单种乔木、灌木、草本植物篱或者地埂+混交植物篱模式。</w:t>
      </w:r>
    </w:p>
    <w:p w14:paraId="70B67D29">
      <w:pPr>
        <w:snapToGrid w:val="0"/>
        <w:spacing w:line="360" w:lineRule="auto"/>
        <w:rPr>
          <w:rFonts w:ascii="Times New Roman" w:hAnsi="Times New Roman" w:cs="Times New Roman"/>
          <w:sz w:val="21"/>
          <w:szCs w:val="21"/>
        </w:rPr>
      </w:pPr>
      <w:bookmarkStart w:id="368" w:name="_Toc293672419"/>
      <w:bookmarkStart w:id="369" w:name="_Toc293818953"/>
      <w:r>
        <w:rPr>
          <w:rFonts w:ascii="Times New Roman" w:hAnsi="Times New Roman" w:eastAsia="黑体" w:cs="Times New Roman"/>
          <w:b/>
          <w:bCs/>
          <w:sz w:val="21"/>
          <w:szCs w:val="24"/>
        </w:rPr>
        <w:t>4.12.8</w:t>
      </w:r>
      <w:r>
        <w:rPr>
          <w:rFonts w:ascii="Times New Roman" w:hAnsi="Times New Roman" w:cs="Times New Roman"/>
          <w:sz w:val="21"/>
          <w:szCs w:val="21"/>
        </w:rPr>
        <w:t xml:space="preserve">  沟垄种植可应用于坡度小于20°坡耕地。垄高宜取20cm～30cm，沟内或垄上种作物。南方地区沟内不隔埂时，沟垄应与等高线呈1%～2%比降。不同地区根据区域特点可选择以下耕作法：</w:t>
      </w:r>
    </w:p>
    <w:p w14:paraId="672398A2">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1</w:t>
      </w:r>
      <w:r>
        <w:rPr>
          <w:rFonts w:ascii="Times New Roman" w:hAnsi="Times New Roman" w:cs="Times New Roman"/>
          <w:sz w:val="21"/>
          <w:szCs w:val="21"/>
        </w:rPr>
        <w:t xml:space="preserve">  水平沟可适用于黄土高原地区的坡耕地。宜采用套二犁开沟起垄播种，开沟深度宜取17cm～30cm，垄高10cm，沟距宜取60cm，沟间距可根据坡度和降雨条件适当调整，坡度陡、雨量大，间距宜小；坡度缓、雨量小，区间距宜大。</w:t>
      </w:r>
    </w:p>
    <w:p w14:paraId="3AD25EDC">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2</w:t>
      </w:r>
      <w:r>
        <w:rPr>
          <w:rFonts w:ascii="Times New Roman" w:hAnsi="Times New Roman" w:cs="Times New Roman"/>
          <w:sz w:val="21"/>
          <w:szCs w:val="21"/>
        </w:rPr>
        <w:t xml:space="preserve">  垄作区田可适用于东北黑土区坡度1°～15°坡耕地，最适宜坡度小于6°的坡耕地。区田土埂应从田块最高处开始修筑，土埂应低于垄台2cm～3cm，高度宜取14cm～16cm，土埂间距宜为60cm～70cm，底宽宜为30cm～45cm，顶宽宜为10cm～20cm。</w:t>
      </w:r>
    </w:p>
    <w:p w14:paraId="50D44A7D">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3</w:t>
      </w:r>
      <w:r>
        <w:rPr>
          <w:rFonts w:ascii="Times New Roman" w:hAnsi="Times New Roman" w:cs="Times New Roman"/>
          <w:sz w:val="21"/>
          <w:szCs w:val="21"/>
        </w:rPr>
        <w:t xml:space="preserve">  格网式垄作可适用于西南紫色土区坡耕地。顺坡开厢，垂直起垄，形成封闭垄沟，厢宽1.8m～2m。</w:t>
      </w:r>
    </w:p>
    <w:p w14:paraId="2B4C53A6">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4</w:t>
      </w:r>
      <w:r>
        <w:rPr>
          <w:rFonts w:ascii="Times New Roman" w:hAnsi="Times New Roman" w:cs="Times New Roman"/>
          <w:sz w:val="21"/>
          <w:szCs w:val="21"/>
        </w:rPr>
        <w:t xml:space="preserve">  畦状沟垄可适用于南方红壤区，坡地起垄沟，每隔5条～6条沟垄留一田间小路，兼作排水道，形成坡面长畦；沿排水道每20m～30m作一横向畦埂，将长畦隔成短畦。</w:t>
      </w:r>
    </w:p>
    <w:p w14:paraId="100F402B">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5</w:t>
      </w:r>
      <w:r>
        <w:rPr>
          <w:rFonts w:ascii="Times New Roman" w:hAnsi="Times New Roman" w:cs="Times New Roman"/>
          <w:sz w:val="21"/>
          <w:szCs w:val="21"/>
        </w:rPr>
        <w:t xml:space="preserve">  蓄水聚肥改土耕作。表土集中于沟、生土起垄，沟内种植农作物，沟中表土和松土层厚宜为30cm～40cm，生土垄高宜为10cm～20cmcm。</w:t>
      </w:r>
    </w:p>
    <w:bookmarkEnd w:id="368"/>
    <w:bookmarkEnd w:id="369"/>
    <w:p w14:paraId="47A199B8">
      <w:pPr>
        <w:snapToGrid w:val="0"/>
        <w:spacing w:line="360" w:lineRule="auto"/>
        <w:rPr>
          <w:rFonts w:ascii="Times New Roman" w:hAnsi="Times New Roman" w:cs="Times New Roman"/>
          <w:sz w:val="21"/>
          <w:szCs w:val="21"/>
        </w:rPr>
      </w:pPr>
      <w:bookmarkStart w:id="370" w:name="_Toc293906794"/>
      <w:r>
        <w:rPr>
          <w:rFonts w:ascii="Times New Roman" w:hAnsi="Times New Roman" w:eastAsia="黑体" w:cs="Times New Roman"/>
          <w:b/>
          <w:bCs/>
          <w:sz w:val="21"/>
          <w:szCs w:val="24"/>
        </w:rPr>
        <w:t>4.12.9</w:t>
      </w:r>
      <w:r>
        <w:rPr>
          <w:rFonts w:ascii="Times New Roman" w:hAnsi="Times New Roman" w:cs="Times New Roman"/>
          <w:sz w:val="21"/>
          <w:szCs w:val="21"/>
        </w:rPr>
        <w:t xml:space="preserve">  坑田（掏钵）种植应在坡耕地上沿等高线划分成若干1m</w:t>
      </w:r>
      <w:r>
        <w:rPr>
          <w:rFonts w:ascii="Times New Roman" w:hAnsi="Times New Roman" w:cs="Times New Roman"/>
          <w:sz w:val="21"/>
          <w:szCs w:val="21"/>
          <w:vertAlign w:val="superscript"/>
        </w:rPr>
        <w:t>2</w:t>
      </w:r>
      <w:r>
        <w:rPr>
          <w:rFonts w:ascii="Times New Roman" w:hAnsi="Times New Roman" w:cs="Times New Roman"/>
          <w:sz w:val="21"/>
          <w:szCs w:val="21"/>
        </w:rPr>
        <w:t>的小耕作区，每区掏1～2钵，种植坑上下交错，等高成行。一钵一苗种植坑直径宜为20cm～25cm，深宜为20cm～25cm，穴间距离宜为15cm～20cm；一钵数苗种植坑直径宜为50cm，深宜为30cm～40cm，穴间距离宜为50cm。</w:t>
      </w:r>
    </w:p>
    <w:p w14:paraId="7120FCF2">
      <w:pPr>
        <w:keepNext/>
        <w:keepLines/>
        <w:spacing w:before="260" w:after="260"/>
        <w:jc w:val="center"/>
        <w:outlineLvl w:val="2"/>
        <w:rPr>
          <w:rFonts w:ascii="Times New Roman" w:hAnsi="Times New Roman" w:eastAsia="黑体" w:cs="Times New Roman"/>
          <w:bCs/>
          <w:sz w:val="24"/>
          <w:szCs w:val="24"/>
        </w:rPr>
      </w:pPr>
      <w:bookmarkStart w:id="371" w:name="_Toc319591689"/>
      <w:bookmarkStart w:id="372" w:name="_Toc310842232"/>
      <w:bookmarkStart w:id="373" w:name="_Toc323828693"/>
      <w:bookmarkStart w:id="374" w:name="_Toc324280280"/>
      <w:bookmarkStart w:id="375" w:name="_Toc307578947"/>
      <w:bookmarkStart w:id="376" w:name="_Toc360520015"/>
      <w:bookmarkStart w:id="377" w:name="_Toc304365806"/>
      <w:bookmarkStart w:id="378" w:name="_Toc319512948"/>
      <w:bookmarkStart w:id="379" w:name="_Toc324282315"/>
      <w:bookmarkStart w:id="380" w:name="_Toc323805657"/>
      <w:bookmarkStart w:id="381" w:name="_Toc360526295"/>
      <w:bookmarkStart w:id="382" w:name="_Toc324287607"/>
      <w:bookmarkStart w:id="383" w:name="_Toc360528889"/>
      <w:bookmarkStart w:id="384" w:name="_Toc304387198"/>
      <w:bookmarkStart w:id="385" w:name="_Toc310525442"/>
      <w:bookmarkStart w:id="386" w:name="_Toc304365291"/>
      <w:r>
        <w:rPr>
          <w:rFonts w:ascii="Times New Roman" w:hAnsi="Times New Roman" w:eastAsia="黑体" w:cs="Times New Roman"/>
          <w:bCs/>
          <w:sz w:val="24"/>
          <w:szCs w:val="24"/>
        </w:rPr>
        <w:t>Ⅲ 覆盖措施</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41CDFA85">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4.12.10</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草田轮作设计应符合下列规定：</w:t>
      </w:r>
    </w:p>
    <w:p w14:paraId="0D65A74E">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1</w:t>
      </w:r>
      <w:r>
        <w:rPr>
          <w:rFonts w:ascii="Times New Roman" w:hAnsi="Times New Roman" w:cs="Times New Roman"/>
          <w:sz w:val="21"/>
          <w:szCs w:val="21"/>
        </w:rPr>
        <w:t xml:space="preserve">  适用于地多人少的农区或半农牧区。</w:t>
      </w:r>
    </w:p>
    <w:p w14:paraId="76F35205">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短期轮作，主要适用于农区，种2a～3a农作物后，种1a～2a草类，草种以短期绿肥、牧草为主；长期轮作，主要适用于半农半牧区，种4a～5a农作物后，种5a～6a草类，草种以多年牧草为主。</w:t>
      </w:r>
    </w:p>
    <w:p w14:paraId="54180672">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4.12.11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间作设计应符合下列要求：</w:t>
      </w:r>
    </w:p>
    <w:p w14:paraId="441DCE8F">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 xml:space="preserve">1 </w:t>
      </w:r>
      <w:r>
        <w:rPr>
          <w:rFonts w:ascii="Times New Roman" w:hAnsi="Times New Roman" w:cs="Times New Roman"/>
          <w:sz w:val="21"/>
          <w:szCs w:val="21"/>
        </w:rPr>
        <w:t xml:space="preserve"> 选为间作的两种作物应具备生态群落相互协调、生长环境互补的特点；</w:t>
      </w:r>
    </w:p>
    <w:p w14:paraId="22F630E4">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2</w:t>
      </w:r>
      <w:r>
        <w:rPr>
          <w:rFonts w:ascii="Times New Roman" w:hAnsi="Times New Roman" w:cs="Times New Roman"/>
          <w:sz w:val="21"/>
          <w:szCs w:val="21"/>
        </w:rPr>
        <w:t xml:space="preserve">  间作形式可采取行间间作和株间间作。</w:t>
      </w:r>
    </w:p>
    <w:p w14:paraId="3C1138C5">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4.12.12</w:t>
      </w:r>
      <w:r>
        <w:rPr>
          <w:rFonts w:ascii="Times New Roman" w:hAnsi="Times New Roman" w:cs="Times New Roman"/>
          <w:sz w:val="21"/>
          <w:szCs w:val="21"/>
        </w:rPr>
        <w:t xml:space="preserve">  套种设计应符合下列要求：</w:t>
      </w:r>
    </w:p>
    <w:p w14:paraId="4026B5C0">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 xml:space="preserve">1 </w:t>
      </w:r>
      <w:r>
        <w:rPr>
          <w:rFonts w:ascii="Times New Roman" w:hAnsi="Times New Roman" w:cs="Times New Roman"/>
          <w:sz w:val="21"/>
          <w:szCs w:val="21"/>
        </w:rPr>
        <w:t xml:space="preserve"> 在同一地块内，前季作物生长的后期，在其行间或株间可播种或移栽后季作物，两种作物收获时间应不同；</w:t>
      </w:r>
    </w:p>
    <w:p w14:paraId="0A8B0265">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2</w:t>
      </w:r>
      <w:r>
        <w:rPr>
          <w:rFonts w:ascii="Times New Roman" w:hAnsi="Times New Roman" w:cs="Times New Roman"/>
          <w:sz w:val="21"/>
          <w:szCs w:val="21"/>
        </w:rPr>
        <w:t xml:space="preserve">  套种作物配置的协调互补要求应与间作相同。</w:t>
      </w:r>
    </w:p>
    <w:p w14:paraId="1751F100">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4.12.13</w:t>
      </w:r>
      <w:r>
        <w:rPr>
          <w:rFonts w:ascii="Times New Roman" w:hAnsi="Times New Roman" w:cs="Times New Roman"/>
          <w:sz w:val="21"/>
          <w:szCs w:val="21"/>
        </w:rPr>
        <w:t xml:space="preserve">  带状间作设计应符合下列规定：</w:t>
      </w:r>
    </w:p>
    <w:p w14:paraId="012E848A">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作物带状间作的作物种类应符合本标准第4.12.11条的规定；间作条带方向，基本上沿等高线，或与等高线保持1%～2%的比降；条带宽度宜取5m～10m，两种作物可取等宽，也可采取不同宽度。</w:t>
      </w:r>
    </w:p>
    <w:p w14:paraId="56261006">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草粮带状间作，草类可按本标准第4.12.10条的规定；作物带与草带的宽度宜取二者等宽。</w:t>
      </w:r>
    </w:p>
    <w:p w14:paraId="7F26445C">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4.12.14</w:t>
      </w:r>
      <w:r>
        <w:rPr>
          <w:rFonts w:ascii="Times New Roman" w:hAnsi="Times New Roman" w:cs="Times New Roman"/>
          <w:sz w:val="21"/>
          <w:szCs w:val="21"/>
        </w:rPr>
        <w:t xml:space="preserve">  合理密植可适用于耕作粗放、作物植株密度偏低的地区。</w:t>
      </w:r>
    </w:p>
    <w:p w14:paraId="20C5BCA2">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4.12.15</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休闲地种绿肥设计应符合下列规定：作物未收获前10d～15d，在作物行间顺等高线地面播种绿肥植物；暴雨季节过后，将绿肥翻压土中，或收割作为牧草。</w:t>
      </w:r>
    </w:p>
    <w:p w14:paraId="55645EA6">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4.12.16</w:t>
      </w:r>
      <w:r>
        <w:rPr>
          <w:rFonts w:ascii="Times New Roman" w:hAnsi="Times New Roman" w:cs="Times New Roman"/>
          <w:sz w:val="21"/>
          <w:szCs w:val="21"/>
        </w:rPr>
        <w:t xml:space="preserve">  覆盖种植应包括秸秆还田、砂石覆盖、地膜覆盖等措施，其设计应符合下列规定：</w:t>
      </w:r>
    </w:p>
    <w:p w14:paraId="576A2BD5">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1</w:t>
      </w:r>
      <w:r>
        <w:rPr>
          <w:rFonts w:ascii="Times New Roman" w:hAnsi="Times New Roman" w:cs="Times New Roman"/>
          <w:sz w:val="21"/>
          <w:szCs w:val="21"/>
        </w:rPr>
        <w:t xml:space="preserve">  秸秆还田可适用于燃料、饲料比较充裕的地方，包括秸秆覆盖或粉碎直接还田、秸秆堆沤还田、秸秆养畜（过腹还田）、留茬覆盖等，</w:t>
      </w:r>
      <w:r>
        <w:rPr>
          <w:rFonts w:ascii="Times New Roman" w:hAnsi="Times New Roman" w:cs="Times New Roman"/>
          <w:sz w:val="21"/>
          <w:szCs w:val="28"/>
        </w:rPr>
        <w:t>稻草、麦秸用量宜为4500kg/hm</w:t>
      </w:r>
      <w:r>
        <w:rPr>
          <w:rFonts w:ascii="Times New Roman" w:hAnsi="Times New Roman" w:cs="Times New Roman"/>
          <w:sz w:val="21"/>
          <w:szCs w:val="28"/>
          <w:vertAlign w:val="superscript"/>
        </w:rPr>
        <w:t>2</w:t>
      </w:r>
      <w:r>
        <w:rPr>
          <w:rFonts w:ascii="Times New Roman" w:hAnsi="Times New Roman" w:cs="Times New Roman"/>
          <w:sz w:val="21"/>
          <w:szCs w:val="28"/>
        </w:rPr>
        <w:t>～7500kg/hm</w:t>
      </w:r>
      <w:r>
        <w:rPr>
          <w:rFonts w:ascii="Times New Roman" w:hAnsi="Times New Roman" w:cs="Times New Roman"/>
          <w:sz w:val="21"/>
          <w:szCs w:val="28"/>
          <w:vertAlign w:val="superscript"/>
        </w:rPr>
        <w:t>2</w:t>
      </w:r>
      <w:r>
        <w:rPr>
          <w:rFonts w:ascii="Times New Roman" w:hAnsi="Times New Roman" w:cs="Times New Roman"/>
          <w:sz w:val="21"/>
          <w:szCs w:val="21"/>
        </w:rPr>
        <w:t>。</w:t>
      </w:r>
    </w:p>
    <w:p w14:paraId="6DD643D9">
      <w:pPr>
        <w:snapToGrid w:val="0"/>
        <w:spacing w:line="360" w:lineRule="auto"/>
        <w:ind w:firstLine="422" w:firstLineChars="200"/>
        <w:rPr>
          <w:rFonts w:ascii="Times New Roman" w:hAnsi="Times New Roman" w:cs="Times New Roman" w:eastAsiaTheme="minorEastAsia"/>
          <w:sz w:val="21"/>
          <w:szCs w:val="24"/>
        </w:rPr>
      </w:pPr>
      <w:r>
        <w:rPr>
          <w:rFonts w:ascii="Times New Roman" w:hAnsi="Times New Roman" w:eastAsia="黑体" w:cs="Times New Roman"/>
          <w:b/>
          <w:bCs/>
          <w:sz w:val="21"/>
          <w:szCs w:val="24"/>
        </w:rPr>
        <w:t xml:space="preserve">2  </w:t>
      </w:r>
      <w:r>
        <w:rPr>
          <w:rFonts w:ascii="Times New Roman" w:hAnsi="Times New Roman" w:cs="Times New Roman" w:eastAsiaTheme="minorEastAsia"/>
          <w:sz w:val="21"/>
          <w:szCs w:val="24"/>
        </w:rPr>
        <w:t>砂石覆盖可适用于西北干旱、半干旱地区。将河卵石、冰碛石与粗砂混合后覆盖于农田地表，直接种植，多年不犁耕。有条件灌溉的水砂田，砂石覆盖厚度宜取5cm～6cm，旱砂田砂石覆盖厚度宜取15cm～18cm。</w:t>
      </w:r>
    </w:p>
    <w:p w14:paraId="1B755904">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3</w:t>
      </w:r>
      <w:r>
        <w:rPr>
          <w:rFonts w:ascii="Times New Roman" w:hAnsi="Times New Roman" w:cs="Times New Roman"/>
          <w:sz w:val="21"/>
          <w:szCs w:val="21"/>
        </w:rPr>
        <w:t xml:space="preserve">  地膜覆盖可适用于半湿润、半干旱地区，结合早春作物播种使用。</w:t>
      </w:r>
    </w:p>
    <w:p w14:paraId="7630D3A0">
      <w:pPr>
        <w:snapToGrid w:val="0"/>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bCs/>
          <w:sz w:val="21"/>
          <w:szCs w:val="24"/>
        </w:rPr>
        <w:t>4</w:t>
      </w:r>
      <w:r>
        <w:rPr>
          <w:rFonts w:ascii="Times New Roman" w:hAnsi="Times New Roman" w:cs="Times New Roman"/>
          <w:sz w:val="21"/>
          <w:szCs w:val="21"/>
        </w:rPr>
        <w:t xml:space="preserve">  青草覆盖可适用于南北方地区果园、茶园，中耕除草后，将青草直接覆盖在地表。</w:t>
      </w:r>
    </w:p>
    <w:p w14:paraId="7D18F82D">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4.12.17</w:t>
      </w:r>
      <w:r>
        <w:rPr>
          <w:rFonts w:ascii="Times New Roman" w:hAnsi="Times New Roman" w:cs="Times New Roman"/>
          <w:sz w:val="21"/>
          <w:szCs w:val="21"/>
        </w:rPr>
        <w:t xml:space="preserve">  少耕免耕可适用于干旱半干旱、受风蚀影响较大地区。对于坡耕地宜与等高种植措施结合，还可与桔杆覆盖措施相结合形成免耕覆盖。</w:t>
      </w:r>
    </w:p>
    <w:p w14:paraId="6B06B454">
      <w:pPr>
        <w:keepNext/>
        <w:keepLines/>
        <w:spacing w:before="260" w:after="260"/>
        <w:jc w:val="center"/>
        <w:outlineLvl w:val="2"/>
        <w:rPr>
          <w:rFonts w:ascii="Times New Roman" w:hAnsi="Times New Roman" w:eastAsia="黑体" w:cs="Times New Roman"/>
          <w:bCs/>
          <w:sz w:val="24"/>
          <w:szCs w:val="24"/>
        </w:rPr>
      </w:pPr>
      <w:bookmarkStart w:id="387" w:name="_Toc360520016"/>
      <w:bookmarkStart w:id="388" w:name="_Toc360526296"/>
      <w:bookmarkStart w:id="389" w:name="_Toc360528890"/>
      <w:r>
        <w:rPr>
          <w:rFonts w:ascii="Times New Roman" w:hAnsi="Times New Roman" w:eastAsia="黑体" w:cs="Times New Roman"/>
          <w:bCs/>
          <w:sz w:val="24"/>
          <w:szCs w:val="24"/>
        </w:rPr>
        <w:t>Ⅳ 改良土壤措施</w:t>
      </w:r>
      <w:bookmarkEnd w:id="387"/>
      <w:bookmarkEnd w:id="388"/>
      <w:bookmarkEnd w:id="389"/>
    </w:p>
    <w:p w14:paraId="5943F5F4">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4.12.18</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深耕深松适用于耕作层薄、土壤质地为中、重壤土或黏土的坡耕地。耕松深度宜取25cm～30cm。</w:t>
      </w:r>
    </w:p>
    <w:p w14:paraId="7BF78F4D">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4.12.19</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增施有机肥适用土质黏重或砂性大的土壤以及新修梯田生土熟化，宜与配方平衡施肥相结合，不同土壤通过土壤化验，确定相应施肥方案。新修梯田生土熟化也可与种植绿肥、施有机肥等相结合。</w:t>
      </w:r>
    </w:p>
    <w:p w14:paraId="52AB0C9E">
      <w:pPr>
        <w:snapToGrid w:val="0"/>
        <w:spacing w:line="360" w:lineRule="auto"/>
        <w:rPr>
          <w:rFonts w:ascii="Times New Roman" w:hAnsi="Times New Roman" w:cs="Times New Roman"/>
          <w:sz w:val="21"/>
          <w:szCs w:val="21"/>
        </w:rPr>
      </w:pPr>
      <w:r>
        <w:rPr>
          <w:rFonts w:ascii="Times New Roman" w:hAnsi="Times New Roman" w:eastAsia="黑体" w:cs="Times New Roman"/>
          <w:b/>
          <w:bCs/>
          <w:sz w:val="21"/>
          <w:szCs w:val="24"/>
        </w:rPr>
        <w:t>4.12.20</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留茬播种可适用于采用“一年两熟小麦＋秋作物”种植制度的、半湿润的华北及关中地区，</w:t>
      </w:r>
      <w:bookmarkEnd w:id="370"/>
      <w:r>
        <w:rPr>
          <w:rFonts w:ascii="Times New Roman" w:hAnsi="Times New Roman" w:cs="Times New Roman"/>
          <w:sz w:val="21"/>
          <w:szCs w:val="21"/>
        </w:rPr>
        <w:t>残茬结合秋作中耕时进行处理。</w:t>
      </w:r>
    </w:p>
    <w:p w14:paraId="3CFA9FE1">
      <w:pPr>
        <w:keepNext/>
        <w:keepLines/>
        <w:spacing w:before="260" w:after="260" w:line="415" w:lineRule="auto"/>
        <w:jc w:val="center"/>
        <w:outlineLvl w:val="1"/>
        <w:rPr>
          <w:rFonts w:ascii="Times New Roman" w:hAnsi="Times New Roman" w:eastAsia="黑体" w:cs="Times New Roman"/>
          <w:bCs/>
          <w:sz w:val="30"/>
          <w:szCs w:val="32"/>
        </w:rPr>
      </w:pPr>
      <w:bookmarkStart w:id="390" w:name="_Toc7941"/>
      <w:bookmarkStart w:id="391" w:name="_Toc24412"/>
      <w:r>
        <w:rPr>
          <w:rFonts w:ascii="Times New Roman" w:hAnsi="Times New Roman" w:eastAsia="黑体" w:cs="Times New Roman"/>
          <w:bCs/>
          <w:sz w:val="30"/>
          <w:szCs w:val="32"/>
        </w:rPr>
        <w:t>4.13 固沙工程</w:t>
      </w:r>
      <w:bookmarkEnd w:id="390"/>
      <w:bookmarkEnd w:id="391"/>
    </w:p>
    <w:p w14:paraId="5137E67C">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Ⅰ 一般规定</w:t>
      </w:r>
    </w:p>
    <w:p w14:paraId="2F12E8C2">
      <w:pPr>
        <w:spacing w:line="360" w:lineRule="auto"/>
        <w:rPr>
          <w:rFonts w:ascii="Times New Roman" w:hAnsi="Times New Roman" w:cs="Times New Roman"/>
          <w:b/>
          <w:sz w:val="24"/>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 xml:space="preserve"> </w:t>
      </w:r>
      <w:r>
        <w:rPr>
          <w:rFonts w:ascii="Times New Roman" w:hAnsi="Times New Roman" w:cs="Times New Roman"/>
          <w:sz w:val="21"/>
          <w:szCs w:val="24"/>
        </w:rPr>
        <w:t xml:space="preserve"> 沙地、沙漠、戈壁等风沙区建设的水土流失综合治理项目，应采取防风固沙措施，建立防风固沙带。</w:t>
      </w:r>
    </w:p>
    <w:p w14:paraId="3B63CDAE">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cs="Times New Roman"/>
          <w:sz w:val="21"/>
          <w:szCs w:val="24"/>
        </w:rPr>
        <w:t xml:space="preserve">  固沙工程布设应因害设防、就地取材、经济合理。固沙工程应包括工程固沙、植物固沙、化学治沙和封育等。</w:t>
      </w:r>
    </w:p>
    <w:p w14:paraId="0BDC8800">
      <w:pPr>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3</w:t>
      </w:r>
      <w:r>
        <w:rPr>
          <w:rFonts w:ascii="Times New Roman" w:hAnsi="Times New Roman" w:cs="Times New Roman"/>
          <w:sz w:val="21"/>
          <w:szCs w:val="24"/>
        </w:rPr>
        <w:t xml:space="preserve">  固沙工程设计基本资料应包括地形图或遥感影像、气象、植被、土壤、防风固治现状、社会经济等。</w:t>
      </w:r>
    </w:p>
    <w:p w14:paraId="03A6D697">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Ⅱ 防风固沙带设计</w:t>
      </w:r>
    </w:p>
    <w:p w14:paraId="59A83501">
      <w:pPr>
        <w:adjustRightInd w:val="0"/>
        <w:spacing w:line="360" w:lineRule="auto"/>
        <w:rPr>
          <w:rFonts w:ascii="Times New Roman" w:hAnsi="Times New Roman" w:cs="Times New Roman"/>
          <w:kern w:val="0"/>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 xml:space="preserve"> </w:t>
      </w:r>
      <w:r>
        <w:rPr>
          <w:rFonts w:ascii="Times New Roman" w:hAnsi="Times New Roman" w:cs="Times New Roman"/>
          <w:sz w:val="21"/>
          <w:szCs w:val="24"/>
        </w:rPr>
        <w:t xml:space="preserve"> 干旱风蚀荒漠化区防风固沙带设计，外围宜采取封育，其里侧宜配置沙障和人工林草带，内侧宜设置输导带。防风固沙带的结构配置，应根据风沙流特点及防护对象搭</w:t>
      </w:r>
      <w:r>
        <w:rPr>
          <w:rFonts w:ascii="Times New Roman" w:hAnsi="Times New Roman" w:cs="Times New Roman"/>
          <w:kern w:val="0"/>
          <w:sz w:val="21"/>
          <w:szCs w:val="24"/>
        </w:rPr>
        <w:t>配。</w:t>
      </w:r>
    </w:p>
    <w:p w14:paraId="4C60A096">
      <w:pPr>
        <w:adjustRightInd w:val="0"/>
        <w:spacing w:line="360" w:lineRule="auto"/>
        <w:ind w:firstLine="422" w:firstLineChars="200"/>
        <w:rPr>
          <w:rFonts w:ascii="Times New Roman" w:hAnsi="Times New Roman" w:cs="Times New Roman"/>
          <w:kern w:val="0"/>
          <w:sz w:val="21"/>
          <w:szCs w:val="24"/>
        </w:rPr>
      </w:pPr>
      <w:r>
        <w:rPr>
          <w:rFonts w:ascii="Times New Roman" w:hAnsi="Times New Roman" w:eastAsia="黑体" w:cs="Times New Roman"/>
          <w:b/>
          <w:sz w:val="21"/>
          <w:szCs w:val="24"/>
        </w:rPr>
        <w:t>1</w:t>
      </w:r>
      <w:r>
        <w:rPr>
          <w:rFonts w:ascii="Times New Roman" w:hAnsi="Times New Roman" w:cs="Times New Roman"/>
          <w:b/>
          <w:kern w:val="0"/>
          <w:sz w:val="21"/>
          <w:szCs w:val="24"/>
        </w:rPr>
        <w:t xml:space="preserve"> </w:t>
      </w:r>
      <w:r>
        <w:rPr>
          <w:rFonts w:ascii="Times New Roman" w:hAnsi="Times New Roman" w:cs="Times New Roman"/>
          <w:kern w:val="0"/>
          <w:sz w:val="21"/>
          <w:szCs w:val="24"/>
        </w:rPr>
        <w:t xml:space="preserve"> 绿洲防风固沙带布设，外围应对天然植被采取封育或化学固沙，内侧营造防风固沙基干林带，绿洲内建设农田防护林网。</w:t>
      </w:r>
    </w:p>
    <w:p w14:paraId="4DF257C1">
      <w:pPr>
        <w:adjustRightInd w:val="0"/>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 xml:space="preserve">2 </w:t>
      </w:r>
      <w:r>
        <w:rPr>
          <w:rFonts w:ascii="Times New Roman" w:hAnsi="Times New Roman" w:cs="Times New Roman"/>
          <w:sz w:val="21"/>
          <w:szCs w:val="24"/>
        </w:rPr>
        <w:t xml:space="preserve"> 居民点的</w:t>
      </w:r>
      <w:r>
        <w:rPr>
          <w:rFonts w:ascii="Times New Roman" w:hAnsi="Times New Roman" w:cs="Times New Roman"/>
          <w:kern w:val="0"/>
          <w:sz w:val="21"/>
          <w:szCs w:val="24"/>
        </w:rPr>
        <w:t>防风固沙带布设</w:t>
      </w:r>
      <w:r>
        <w:rPr>
          <w:rFonts w:ascii="Times New Roman" w:hAnsi="Times New Roman" w:cs="Times New Roman"/>
          <w:sz w:val="21"/>
          <w:szCs w:val="24"/>
        </w:rPr>
        <w:t>，</w:t>
      </w:r>
      <w:r>
        <w:rPr>
          <w:rFonts w:ascii="Times New Roman" w:hAnsi="Times New Roman" w:cs="Times New Roman"/>
          <w:kern w:val="0"/>
          <w:sz w:val="21"/>
          <w:szCs w:val="24"/>
        </w:rPr>
        <w:t>外围宜</w:t>
      </w:r>
      <w:r>
        <w:rPr>
          <w:rFonts w:ascii="Times New Roman" w:hAnsi="Times New Roman" w:cs="Times New Roman"/>
          <w:sz w:val="21"/>
          <w:szCs w:val="24"/>
        </w:rPr>
        <w:t>设置天然植被封育带</w:t>
      </w:r>
      <w:r>
        <w:rPr>
          <w:rFonts w:ascii="Times New Roman" w:hAnsi="Times New Roman" w:cs="Times New Roman"/>
          <w:kern w:val="0"/>
          <w:sz w:val="21"/>
          <w:szCs w:val="24"/>
        </w:rPr>
        <w:t>，</w:t>
      </w:r>
      <w:r>
        <w:rPr>
          <w:rFonts w:ascii="Times New Roman" w:hAnsi="Times New Roman" w:cs="Times New Roman"/>
          <w:sz w:val="21"/>
          <w:szCs w:val="24"/>
        </w:rPr>
        <w:t>内侧宜配置沙障和人工林草带。</w:t>
      </w:r>
    </w:p>
    <w:p w14:paraId="3C08A1F7">
      <w:pPr>
        <w:adjustRightInd w:val="0"/>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 xml:space="preserve">3 </w:t>
      </w:r>
      <w:r>
        <w:rPr>
          <w:rFonts w:ascii="Times New Roman" w:hAnsi="Times New Roman" w:cs="Times New Roman"/>
          <w:sz w:val="21"/>
          <w:szCs w:val="24"/>
        </w:rPr>
        <w:t xml:space="preserve"> 营造防风固沙林带，宜建设与之相配套的灌溉设施及雨水集蓄利用设施，并宜设置网围栏。</w:t>
      </w:r>
    </w:p>
    <w:p w14:paraId="6E30F06C">
      <w:pPr>
        <w:adjustRightInd w:val="0"/>
        <w:spacing w:line="360" w:lineRule="auto"/>
        <w:rPr>
          <w:rFonts w:ascii="Times New Roman" w:hAnsi="Times New Roman" w:cs="Times New Roman"/>
          <w:b/>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 xml:space="preserve"> </w:t>
      </w:r>
      <w:r>
        <w:rPr>
          <w:rFonts w:ascii="Times New Roman" w:hAnsi="Times New Roman" w:cs="Times New Roman"/>
          <w:sz w:val="21"/>
          <w:szCs w:val="24"/>
        </w:rPr>
        <w:t xml:space="preserve"> 半干旱风蚀沙化地区防风固沙带设计，</w:t>
      </w:r>
      <w:r>
        <w:rPr>
          <w:rFonts w:ascii="Times New Roman" w:hAnsi="Times New Roman" w:cs="Times New Roman"/>
          <w:kern w:val="0"/>
          <w:sz w:val="21"/>
          <w:szCs w:val="24"/>
        </w:rPr>
        <w:t>外围宜</w:t>
      </w:r>
      <w:r>
        <w:rPr>
          <w:rFonts w:ascii="Times New Roman" w:hAnsi="Times New Roman" w:cs="Times New Roman"/>
          <w:sz w:val="21"/>
          <w:szCs w:val="24"/>
        </w:rPr>
        <w:t>设置天然植被封育带</w:t>
      </w:r>
      <w:r>
        <w:rPr>
          <w:rFonts w:ascii="Times New Roman" w:hAnsi="Times New Roman" w:cs="Times New Roman"/>
          <w:kern w:val="0"/>
          <w:sz w:val="21"/>
          <w:szCs w:val="24"/>
        </w:rPr>
        <w:t>，</w:t>
      </w:r>
      <w:r>
        <w:rPr>
          <w:rFonts w:ascii="Times New Roman" w:hAnsi="Times New Roman" w:cs="Times New Roman"/>
          <w:sz w:val="21"/>
          <w:szCs w:val="24"/>
        </w:rPr>
        <w:t>内侧宜配置沙障或化学固沙带和人工林草带，以植物措施为主、工程措施为辅</w:t>
      </w:r>
      <w:r>
        <w:rPr>
          <w:rFonts w:ascii="Times New Roman" w:hAnsi="Times New Roman" w:cs="Times New Roman"/>
          <w:b/>
          <w:sz w:val="21"/>
          <w:szCs w:val="24"/>
        </w:rPr>
        <w:t>。</w:t>
      </w:r>
    </w:p>
    <w:p w14:paraId="4CA95CB1">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 xml:space="preserve">1 </w:t>
      </w:r>
      <w:r>
        <w:rPr>
          <w:rFonts w:ascii="Times New Roman" w:hAnsi="Times New Roman" w:cs="Times New Roman"/>
          <w:sz w:val="21"/>
          <w:szCs w:val="24"/>
        </w:rPr>
        <w:t xml:space="preserve"> 处于固定及半固定沙地防沙治沙综合治理项目的防风固沙带，应根据地表覆盖物配置沙障，种植乔灌草；宜采用窄林带、宽草带，乔灌草相结合。</w:t>
      </w:r>
    </w:p>
    <w:p w14:paraId="0EF8212D">
      <w:pPr>
        <w:adjustRightInd w:val="0"/>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2</w:t>
      </w:r>
      <w:r>
        <w:rPr>
          <w:rFonts w:ascii="Times New Roman" w:hAnsi="Times New Roman" w:cs="Times New Roman"/>
          <w:sz w:val="21"/>
          <w:szCs w:val="24"/>
        </w:rPr>
        <w:t xml:space="preserve">  应采取必要封育措施，加强现有植被的保护。</w:t>
      </w:r>
    </w:p>
    <w:p w14:paraId="0B416098">
      <w:pPr>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sz w:val="21"/>
          <w:szCs w:val="24"/>
        </w:rPr>
        <w:t xml:space="preserve">  高寒干旱荒漠、高寒半干旱风蚀沙化区的防风固沙带，</w:t>
      </w:r>
      <w:r>
        <w:rPr>
          <w:rFonts w:ascii="Times New Roman" w:hAnsi="Times New Roman" w:cs="Times New Roman"/>
          <w:kern w:val="0"/>
          <w:sz w:val="21"/>
          <w:szCs w:val="24"/>
        </w:rPr>
        <w:t>外围宜</w:t>
      </w:r>
      <w:r>
        <w:rPr>
          <w:rFonts w:ascii="Times New Roman" w:hAnsi="Times New Roman" w:cs="Times New Roman"/>
          <w:sz w:val="21"/>
          <w:szCs w:val="24"/>
        </w:rPr>
        <w:t>设置天然植被封育带</w:t>
      </w:r>
      <w:r>
        <w:rPr>
          <w:rFonts w:ascii="Times New Roman" w:hAnsi="Times New Roman" w:cs="Times New Roman"/>
          <w:kern w:val="0"/>
          <w:sz w:val="21"/>
          <w:szCs w:val="24"/>
        </w:rPr>
        <w:t>，</w:t>
      </w:r>
      <w:r>
        <w:rPr>
          <w:rFonts w:ascii="Times New Roman" w:hAnsi="Times New Roman" w:cs="Times New Roman"/>
          <w:sz w:val="21"/>
          <w:szCs w:val="24"/>
        </w:rPr>
        <w:t>内侧宜配置沙障或化学固沙和人工林草带。根据自然条件选择植物措施或工程措施。居民点的防风固沙带，外围应建立封育带，内侧应设置天然植被封育带、沙障和人工灌草固沙带。</w:t>
      </w:r>
    </w:p>
    <w:p w14:paraId="7B152522">
      <w:pPr>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 xml:space="preserve">7 </w:t>
      </w:r>
      <w:r>
        <w:rPr>
          <w:rFonts w:ascii="Times New Roman" w:hAnsi="Times New Roman" w:eastAsia="黑体" w:cs="Times New Roman"/>
          <w:sz w:val="21"/>
          <w:szCs w:val="24"/>
        </w:rPr>
        <w:t xml:space="preserve"> </w:t>
      </w:r>
      <w:r>
        <w:rPr>
          <w:rFonts w:ascii="Times New Roman" w:hAnsi="Times New Roman" w:cs="Times New Roman"/>
          <w:sz w:val="21"/>
          <w:szCs w:val="24"/>
        </w:rPr>
        <w:t>半湿润平原风沙区的防风固沙带设计，应以固为主，措施以植物措施为主，林分构成可采用林林、林草、林苗、林菜、林药、林菌等多种立体栽培模式，防止树种结构单一引发病虫危害。黄泛区宜配置防风固沙林带、防风固沙草带。</w:t>
      </w:r>
    </w:p>
    <w:p w14:paraId="7855D130">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 xml:space="preserve">1 </w:t>
      </w:r>
      <w:r>
        <w:rPr>
          <w:rFonts w:ascii="Times New Roman" w:hAnsi="Times New Roman" w:cs="Times New Roman"/>
          <w:sz w:val="21"/>
          <w:szCs w:val="24"/>
        </w:rPr>
        <w:t xml:space="preserve"> 宜采用田间保墒固沙措施（深松改垄、地面覆盖、作物间混套种）和农林间作防沙措施。</w:t>
      </w:r>
    </w:p>
    <w:p w14:paraId="12E16D3B">
      <w:pPr>
        <w:adjustRightInd w:val="0"/>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防沙治沙综合治理项目宜采用土地整治，植树种草。</w:t>
      </w:r>
    </w:p>
    <w:p w14:paraId="5F5786BB">
      <w:pPr>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 xml:space="preserve">8 </w:t>
      </w:r>
      <w:r>
        <w:rPr>
          <w:rFonts w:ascii="Times New Roman" w:hAnsi="Times New Roman" w:cs="Times New Roman"/>
          <w:sz w:val="21"/>
          <w:szCs w:val="24"/>
        </w:rPr>
        <w:t xml:space="preserve"> 湿润气候带沙山、风沙区的防风固沙带，外围宜营造草本带，内侧宜配置灌木带及乔木带。应以固为主，林分构成可采用速生林与经济林相间。当土壤为盐土时，宜采用客土植树，营造海岸防风固沙林带。</w:t>
      </w:r>
    </w:p>
    <w:p w14:paraId="694FA4F1">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Ⅲ 防风固沙措施设计</w:t>
      </w:r>
    </w:p>
    <w:p w14:paraId="01E8D64C">
      <w:pPr>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9</w:t>
      </w:r>
      <w:r>
        <w:rPr>
          <w:rFonts w:ascii="Times New Roman" w:hAnsi="Times New Roman" w:cs="Times New Roman"/>
          <w:sz w:val="21"/>
          <w:szCs w:val="24"/>
        </w:rPr>
        <w:t xml:space="preserve">  沙障设计应符合下列规定：</w:t>
      </w:r>
    </w:p>
    <w:p w14:paraId="53A089C0">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沙障可利用作物秸秆、活性沙生植物的枝茎、黏土、卵石、砾质土、纤维网等,在沙面上设置障碍物或铺压遮蔽物，固定地面沙粒，减缓和制止沙丘流动。流动沙地沙障设置可参考《流动沙地沙障设置技术规程》LY/T 2986。</w:t>
      </w:r>
    </w:p>
    <w:p w14:paraId="2D2D37C7">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沙障按材料可分为：秸秆沙障、沙生植物沙障、苇秆沙障、黏土沙障、卵石沙障、碎石沙障、砾质土沙障、纤维网沙障、砌石沙障、板条沙障、盐块沙障、栅栏沙障等。按沙障与地面的角度可分为平铺式沙障、直立式沙障。</w:t>
      </w:r>
    </w:p>
    <w:p w14:paraId="20417CFE">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沙障设置方向应与主风向垂直。</w:t>
      </w:r>
    </w:p>
    <w:p w14:paraId="3E57574A">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sz w:val="21"/>
          <w:szCs w:val="24"/>
        </w:rPr>
        <w:t xml:space="preserve">  沙障配置宜采用行列式和方格式。在风向稳定，以单向起沙风为主的地区、及新月形沙丘迎风坡1/2处宜采用行列式沙障。在主风向不稳定区域，宜采用格状式沙障。</w:t>
      </w:r>
    </w:p>
    <w:p w14:paraId="60E254D6">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5</w:t>
      </w:r>
      <w:r>
        <w:rPr>
          <w:rFonts w:ascii="Times New Roman" w:hAnsi="Times New Roman" w:cs="Times New Roman"/>
          <w:sz w:val="21"/>
          <w:szCs w:val="24"/>
        </w:rPr>
        <w:t xml:space="preserve">  栅栏沙障按材料可分为：枝条（芦苇）栅栏、维尼龙网栅栏、高立式石条板，枝条（芦苇）栅栏等，维尼龙网栅栏高度宜取20cm～50cm，高立式石条板宜取1.2m～2.0m，间距宜取高度的7倍～12倍，沙障宽度宜取20m～50m。</w:t>
      </w:r>
    </w:p>
    <w:p w14:paraId="2F6D0391">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6</w:t>
      </w:r>
      <w:r>
        <w:rPr>
          <w:rFonts w:ascii="Times New Roman" w:hAnsi="Times New Roman" w:cs="Times New Roman"/>
          <w:sz w:val="21"/>
          <w:szCs w:val="24"/>
        </w:rPr>
        <w:t xml:space="preserve">  砾质土覆盖厚度宜取30mm～80mm。</w:t>
      </w:r>
    </w:p>
    <w:p w14:paraId="2A0F4D35">
      <w:pPr>
        <w:autoSpaceDE w:val="0"/>
        <w:autoSpaceDN w:val="0"/>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10</w:t>
      </w:r>
      <w:r>
        <w:rPr>
          <w:rFonts w:ascii="Times New Roman" w:hAnsi="Times New Roman" w:cs="Times New Roman"/>
          <w:sz w:val="21"/>
          <w:szCs w:val="24"/>
        </w:rPr>
        <w:t xml:space="preserve">  化学固沙设计应符合下列规定： </w:t>
      </w:r>
    </w:p>
    <w:p w14:paraId="32F9F5AD">
      <w:pPr>
        <w:adjustRightInd w:val="0"/>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1</w:t>
      </w:r>
      <w:r>
        <w:rPr>
          <w:rFonts w:ascii="Times New Roman" w:hAnsi="Times New Roman" w:cs="Times New Roman"/>
          <w:sz w:val="21"/>
          <w:szCs w:val="24"/>
        </w:rPr>
        <w:t xml:space="preserve">  多用于地表沙物质松散、容易起沙或不宜铺设柴草等沙障的地区。具备植物生长条件的地区，可与植物治沙措施相结合，作为生物措施固沙的辅助性和过渡性措施。</w:t>
      </w:r>
    </w:p>
    <w:p w14:paraId="36C2B425">
      <w:pPr>
        <w:adjustRightInd w:val="0"/>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2</w:t>
      </w:r>
      <w:r>
        <w:rPr>
          <w:rFonts w:ascii="Times New Roman" w:hAnsi="Times New Roman" w:cs="Times New Roman"/>
          <w:sz w:val="21"/>
          <w:szCs w:val="24"/>
        </w:rPr>
        <w:t xml:space="preserve">  固沙材料分为：土壤凝结剂、沥青乳液、沥青化合物、乳化原油、泥炭胶液、高分子聚合物和聚氨酯等。所选材料应尽可能无毒、无污染和耐久性强。</w:t>
      </w:r>
    </w:p>
    <w:p w14:paraId="7F14BA77">
      <w:pPr>
        <w:adjustRightInd w:val="0"/>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3</w:t>
      </w:r>
      <w:r>
        <w:rPr>
          <w:rFonts w:ascii="Times New Roman" w:hAnsi="Times New Roman" w:cs="Times New Roman"/>
          <w:sz w:val="21"/>
          <w:szCs w:val="24"/>
        </w:rPr>
        <w:t xml:space="preserve">  喷洒方法分全面喷洒和局部喷洒，全面喷洒是直接将固沙材料喷洒在沙面上，局部喷洒是把沙子堆成格状或带状的沙埂，然后在沙埂上喷洒固沙材料。 </w:t>
      </w:r>
    </w:p>
    <w:p w14:paraId="0B34C756">
      <w:pPr>
        <w:adjustRightInd w:val="0"/>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4</w:t>
      </w:r>
      <w:r>
        <w:rPr>
          <w:rFonts w:ascii="Times New Roman" w:hAnsi="Times New Roman" w:cs="Times New Roman"/>
          <w:sz w:val="21"/>
          <w:szCs w:val="24"/>
        </w:rPr>
        <w:t xml:space="preserve">  在沙地表面形成0.2cm～0.5cm的稳定固结层，且具备100 kPa 以上的抗压强度。 </w:t>
      </w:r>
    </w:p>
    <w:p w14:paraId="388FFEB9">
      <w:pPr>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11</w:t>
      </w:r>
      <w:r>
        <w:rPr>
          <w:rFonts w:ascii="Times New Roman" w:hAnsi="Times New Roman" w:eastAsia="黑体" w:cs="Times New Roman"/>
          <w:sz w:val="21"/>
          <w:szCs w:val="24"/>
        </w:rPr>
        <w:t xml:space="preserve">  </w:t>
      </w:r>
      <w:r>
        <w:rPr>
          <w:rFonts w:ascii="Times New Roman" w:hAnsi="Times New Roman" w:cs="Times New Roman"/>
          <w:sz w:val="21"/>
          <w:szCs w:val="24"/>
        </w:rPr>
        <w:t>防风固沙林设计应符合下列规定：</w:t>
      </w:r>
    </w:p>
    <w:p w14:paraId="6D892724">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 xml:space="preserve">1 </w:t>
      </w:r>
      <w:r>
        <w:rPr>
          <w:rFonts w:ascii="Times New Roman" w:hAnsi="Times New Roman" w:cs="Times New Roman"/>
          <w:sz w:val="21"/>
          <w:szCs w:val="24"/>
        </w:rPr>
        <w:t xml:space="preserve"> 树种应选择适应当地生长，有利于发展农、牧业生产的优良树种和乡土树种。乔木树种应具有耐瘠薄、耐干旱、抗风蚀、不怕沙割、不怕沙埋，生长快，根系发达，分枝多，冠幅大，繁殖容易，抗病虫害等优点。灌木应选择防风固沙效果好，抗旱性能强，不怕沙埋，枝条繁茂，萌蘖力强的树种。</w:t>
      </w:r>
    </w:p>
    <w:p w14:paraId="5130B149">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b/>
          <w:sz w:val="21"/>
          <w:szCs w:val="24"/>
        </w:rPr>
        <w:t xml:space="preserve"> </w:t>
      </w:r>
      <w:r>
        <w:rPr>
          <w:rFonts w:ascii="Times New Roman" w:hAnsi="Times New Roman" w:cs="Times New Roman"/>
          <w:sz w:val="21"/>
          <w:szCs w:val="24"/>
        </w:rPr>
        <w:t xml:space="preserve"> 林带结构应根据风沙流危害，选用紧密结构林带、透风结构林带、疏透结构林带。</w:t>
      </w:r>
    </w:p>
    <w:p w14:paraId="2DE0A7D9">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 xml:space="preserve">3 </w:t>
      </w:r>
      <w:r>
        <w:rPr>
          <w:rFonts w:ascii="Times New Roman" w:hAnsi="Times New Roman" w:cs="Times New Roman"/>
          <w:sz w:val="21"/>
          <w:szCs w:val="24"/>
        </w:rPr>
        <w:t xml:space="preserve"> 应建设防风固沙基干林带，林带宽应为20m～50m；可采取多带式，林带间距应为30m～100m。</w:t>
      </w:r>
    </w:p>
    <w:p w14:paraId="41DE9FB5">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 xml:space="preserve">4 </w:t>
      </w:r>
      <w:r>
        <w:rPr>
          <w:rFonts w:ascii="Times New Roman" w:hAnsi="Times New Roman" w:cs="Times New Roman"/>
          <w:sz w:val="21"/>
          <w:szCs w:val="24"/>
        </w:rPr>
        <w:t xml:space="preserve"> 林带混交类型应包括乔灌混交、乔木混交、灌木混交、乔灌草复层混交。</w:t>
      </w:r>
    </w:p>
    <w:p w14:paraId="122B842A">
      <w:pPr>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12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防风固沙种草设计应符合下列规定：</w:t>
      </w:r>
    </w:p>
    <w:p w14:paraId="50DBB9EE">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 xml:space="preserve">1 </w:t>
      </w:r>
      <w:r>
        <w:rPr>
          <w:rFonts w:ascii="Times New Roman" w:hAnsi="Times New Roman" w:cs="Times New Roman"/>
          <w:sz w:val="21"/>
          <w:szCs w:val="24"/>
        </w:rPr>
        <w:t xml:space="preserve"> 防风固沙种草应布置在林带与沙障已基本控制风蚀和流沙移动的沙地。</w:t>
      </w:r>
    </w:p>
    <w:p w14:paraId="1CA272BF">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 xml:space="preserve">2 </w:t>
      </w:r>
      <w:r>
        <w:rPr>
          <w:rFonts w:ascii="Times New Roman" w:hAnsi="Times New Roman" w:cs="Times New Roman"/>
          <w:sz w:val="21"/>
          <w:szCs w:val="24"/>
        </w:rPr>
        <w:t xml:space="preserve"> 应根据土地沙化程度、气候条件选择整地措施。</w:t>
      </w:r>
    </w:p>
    <w:p w14:paraId="42B0332D">
      <w:pPr>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草种选择应根据利用方向，选择纯播或2种～5种混播。</w:t>
      </w:r>
    </w:p>
    <w:p w14:paraId="624EEB01">
      <w:pPr>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 xml:space="preserve">13 </w:t>
      </w:r>
      <w:r>
        <w:rPr>
          <w:rFonts w:ascii="Times New Roman" w:hAnsi="Times New Roman" w:cs="Times New Roman"/>
          <w:b/>
          <w:sz w:val="21"/>
          <w:szCs w:val="24"/>
        </w:rPr>
        <w:t xml:space="preserve"> </w:t>
      </w:r>
      <w:r>
        <w:rPr>
          <w:rFonts w:ascii="Times New Roman" w:hAnsi="Times New Roman" w:cs="Times New Roman"/>
          <w:sz w:val="21"/>
          <w:szCs w:val="24"/>
        </w:rPr>
        <w:t>输导带位于固沙带的下风向，应根据风沙流特点，选择输沙带、导沙带的设计。</w:t>
      </w:r>
    </w:p>
    <w:p w14:paraId="377AB1DF">
      <w:pPr>
        <w:adjustRightIn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 xml:space="preserve">14 </w:t>
      </w:r>
      <w:r>
        <w:rPr>
          <w:rFonts w:ascii="Times New Roman" w:hAnsi="Times New Roman" w:cs="Times New Roman"/>
          <w:sz w:val="21"/>
          <w:szCs w:val="24"/>
        </w:rPr>
        <w:t xml:space="preserve"> 飞播造林种草应选择适生灌草，播区应集中连片，并应落实后期管护与利用。</w:t>
      </w:r>
    </w:p>
    <w:p w14:paraId="521A1652">
      <w:pPr>
        <w:snapToGrid w:val="0"/>
        <w:spacing w:line="360" w:lineRule="auto"/>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13</w:t>
      </w:r>
      <w:r>
        <w:rPr>
          <w:rFonts w:ascii="Times New Roman" w:hAnsi="Times New Roman" w:cs="Times New Roman"/>
          <w:b/>
          <w:sz w:val="21"/>
          <w:szCs w:val="24"/>
        </w:rPr>
        <w:t>.</w:t>
      </w:r>
      <w:r>
        <w:rPr>
          <w:rFonts w:ascii="Times New Roman" w:hAnsi="Times New Roman" w:eastAsia="黑体" w:cs="Times New Roman"/>
          <w:b/>
          <w:sz w:val="21"/>
          <w:szCs w:val="24"/>
        </w:rPr>
        <w:t>15</w:t>
      </w:r>
      <w:r>
        <w:rPr>
          <w:rFonts w:ascii="Times New Roman" w:hAnsi="Times New Roman" w:cs="Times New Roman"/>
          <w:sz w:val="21"/>
          <w:szCs w:val="24"/>
        </w:rPr>
        <w:t xml:space="preserve">  封育设计应符合本标准4.15节的规定。</w:t>
      </w:r>
    </w:p>
    <w:p w14:paraId="436A8712">
      <w:pPr>
        <w:keepNext/>
        <w:keepLines/>
        <w:spacing w:before="260" w:after="260" w:line="415" w:lineRule="auto"/>
        <w:jc w:val="center"/>
        <w:outlineLvl w:val="1"/>
        <w:rPr>
          <w:rFonts w:ascii="Times New Roman" w:hAnsi="Times New Roman" w:eastAsia="黑体" w:cs="Times New Roman"/>
          <w:bCs/>
          <w:sz w:val="30"/>
          <w:szCs w:val="32"/>
        </w:rPr>
      </w:pPr>
      <w:bookmarkStart w:id="392" w:name="_Toc26867"/>
      <w:bookmarkStart w:id="393" w:name="_Toc9648"/>
      <w:bookmarkStart w:id="394" w:name="_Toc12575"/>
      <w:r>
        <w:rPr>
          <w:rFonts w:ascii="Times New Roman" w:hAnsi="Times New Roman" w:eastAsia="黑体" w:cs="Times New Roman"/>
          <w:bCs/>
          <w:sz w:val="30"/>
          <w:szCs w:val="32"/>
        </w:rPr>
        <w:t>4.14 林草工程</w:t>
      </w:r>
      <w:bookmarkEnd w:id="392"/>
      <w:bookmarkEnd w:id="393"/>
      <w:bookmarkEnd w:id="394"/>
    </w:p>
    <w:p w14:paraId="050E2D02">
      <w:pPr>
        <w:keepNext/>
        <w:keepLines/>
        <w:spacing w:before="260" w:after="260"/>
        <w:jc w:val="center"/>
        <w:outlineLvl w:val="2"/>
        <w:rPr>
          <w:rFonts w:ascii="Times New Roman" w:hAnsi="Times New Roman" w:eastAsia="黑体" w:cs="Times New Roman"/>
          <w:bCs/>
          <w:sz w:val="24"/>
          <w:szCs w:val="24"/>
        </w:rPr>
      </w:pPr>
      <w:bookmarkStart w:id="395" w:name="_Toc360528896"/>
      <w:bookmarkStart w:id="396" w:name="_Toc324282322"/>
      <w:bookmarkStart w:id="397" w:name="_Toc360520022"/>
      <w:bookmarkStart w:id="398" w:name="_Toc323805664"/>
      <w:bookmarkStart w:id="399" w:name="_Toc319513118"/>
      <w:bookmarkStart w:id="400" w:name="_Toc360526302"/>
      <w:bookmarkStart w:id="401" w:name="_Toc324280287"/>
      <w:bookmarkStart w:id="402" w:name="_Toc319591697"/>
      <w:bookmarkStart w:id="403" w:name="_Toc319512956"/>
      <w:bookmarkStart w:id="404" w:name="_Toc324287614"/>
      <w:bookmarkStart w:id="405" w:name="_Toc323828700"/>
      <w:bookmarkStart w:id="406" w:name="_Toc310525450"/>
      <w:bookmarkStart w:id="407" w:name="_Toc310842240"/>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1 \* ROMAN \* MERGEFORMAT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I</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一般规定</w:t>
      </w:r>
      <w:bookmarkEnd w:id="395"/>
      <w:bookmarkEnd w:id="396"/>
      <w:bookmarkEnd w:id="397"/>
      <w:bookmarkEnd w:id="398"/>
      <w:bookmarkEnd w:id="399"/>
      <w:bookmarkEnd w:id="400"/>
      <w:bookmarkEnd w:id="401"/>
      <w:bookmarkEnd w:id="402"/>
      <w:bookmarkEnd w:id="403"/>
      <w:bookmarkEnd w:id="404"/>
      <w:bookmarkEnd w:id="405"/>
      <w:bookmarkEnd w:id="406"/>
      <w:bookmarkEnd w:id="407"/>
    </w:p>
    <w:p w14:paraId="4ACB3155">
      <w:pPr>
        <w:snapToGrid w:val="0"/>
        <w:spacing w:line="360" w:lineRule="auto"/>
        <w:rPr>
          <w:rFonts w:ascii="Times New Roman" w:hAnsi="Times New Roman" w:cs="Times New Roman"/>
          <w:sz w:val="21"/>
          <w:szCs w:val="21"/>
        </w:rPr>
      </w:pPr>
      <w:r>
        <w:rPr>
          <w:rFonts w:ascii="Times New Roman" w:hAnsi="Times New Roman" w:cs="Times New Roman"/>
          <w:b/>
          <w:bCs/>
          <w:sz w:val="21"/>
          <w:szCs w:val="21"/>
        </w:rPr>
        <w:t>4.14.1</w:t>
      </w:r>
      <w:r>
        <w:rPr>
          <w:rFonts w:ascii="Times New Roman" w:hAnsi="Times New Roman" w:cs="Times New Roman"/>
          <w:sz w:val="21"/>
          <w:szCs w:val="21"/>
        </w:rPr>
        <w:t xml:space="preserve">  具有生态功能的造林种草工程设计应符合下列规定：</w:t>
      </w:r>
    </w:p>
    <w:p w14:paraId="3E63581E">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1</w:t>
      </w:r>
      <w:r>
        <w:rPr>
          <w:rFonts w:ascii="Times New Roman" w:hAnsi="Times New Roman" w:cs="Times New Roman"/>
          <w:sz w:val="21"/>
          <w:szCs w:val="21"/>
        </w:rPr>
        <w:t xml:space="preserve">  应与水土保持区划所确定的水土保持主导功能相适应。</w:t>
      </w:r>
    </w:p>
    <w:p w14:paraId="1F6245DC">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2</w:t>
      </w:r>
      <w:r>
        <w:rPr>
          <w:rFonts w:ascii="Times New Roman" w:hAnsi="Times New Roman" w:cs="Times New Roman"/>
          <w:sz w:val="21"/>
          <w:szCs w:val="21"/>
        </w:rPr>
        <w:t xml:space="preserve">  应以防治水土流失为主，并应与当地生产、生活条件相适应。</w:t>
      </w:r>
    </w:p>
    <w:p w14:paraId="60504E62">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3</w:t>
      </w:r>
      <w:r>
        <w:rPr>
          <w:rFonts w:ascii="Times New Roman" w:hAnsi="Times New Roman" w:cs="Times New Roman"/>
          <w:sz w:val="21"/>
          <w:szCs w:val="21"/>
        </w:rPr>
        <w:t xml:space="preserve">  应注重生物多样性，采用以乡土树草种为主的多林种、多草种配置。</w:t>
      </w:r>
    </w:p>
    <w:p w14:paraId="2A940AA8">
      <w:pPr>
        <w:snapToGrid w:val="0"/>
        <w:spacing w:line="360" w:lineRule="auto"/>
        <w:rPr>
          <w:rFonts w:ascii="Times New Roman" w:hAnsi="Times New Roman" w:cs="Times New Roman"/>
          <w:sz w:val="21"/>
          <w:szCs w:val="21"/>
        </w:rPr>
      </w:pPr>
      <w:r>
        <w:rPr>
          <w:rFonts w:ascii="Times New Roman" w:hAnsi="Times New Roman" w:cs="Times New Roman"/>
          <w:b/>
          <w:bCs/>
          <w:sz w:val="21"/>
          <w:szCs w:val="21"/>
        </w:rPr>
        <w:t>4.14.2</w:t>
      </w:r>
      <w:r>
        <w:rPr>
          <w:rFonts w:ascii="Times New Roman" w:hAnsi="Times New Roman" w:cs="Times New Roman"/>
          <w:sz w:val="21"/>
          <w:szCs w:val="21"/>
        </w:rPr>
        <w:t xml:space="preserve">  坡地上具有生产功能的造林种草工程设计应符合下列规定：</w:t>
      </w:r>
    </w:p>
    <w:p w14:paraId="008F8342">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1</w:t>
      </w:r>
      <w:r>
        <w:rPr>
          <w:rFonts w:ascii="Times New Roman" w:hAnsi="Times New Roman" w:cs="Times New Roman"/>
          <w:sz w:val="21"/>
          <w:szCs w:val="21"/>
        </w:rPr>
        <w:t xml:space="preserve">  应与水土保持区划所确定的水土保持主导功能相适应。</w:t>
      </w:r>
    </w:p>
    <w:p w14:paraId="32F1722A">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2</w:t>
      </w:r>
      <w:r>
        <w:rPr>
          <w:rFonts w:ascii="Times New Roman" w:hAnsi="Times New Roman" w:cs="Times New Roman"/>
          <w:sz w:val="21"/>
          <w:szCs w:val="21"/>
        </w:rPr>
        <w:t xml:space="preserve">  应根据项目区的自然条件、当地经济状况、产业结构及发展方向，确定工程建设的规模和特性。</w:t>
      </w:r>
    </w:p>
    <w:p w14:paraId="17AA4AC9">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3</w:t>
      </w:r>
      <w:r>
        <w:rPr>
          <w:rFonts w:ascii="Times New Roman" w:hAnsi="Times New Roman" w:cs="Times New Roman"/>
          <w:sz w:val="21"/>
          <w:szCs w:val="21"/>
        </w:rPr>
        <w:t xml:space="preserve">  应在防治水土流失的基础上，注重经济效益，着力于提高土地生产力。</w:t>
      </w:r>
    </w:p>
    <w:p w14:paraId="28219357">
      <w:pPr>
        <w:snapToGrid w:val="0"/>
        <w:spacing w:line="360" w:lineRule="auto"/>
        <w:rPr>
          <w:rFonts w:ascii="Times New Roman" w:hAnsi="Times New Roman" w:cs="Times New Roman"/>
          <w:sz w:val="21"/>
          <w:szCs w:val="21"/>
        </w:rPr>
      </w:pPr>
      <w:r>
        <w:rPr>
          <w:rFonts w:ascii="Times New Roman" w:hAnsi="Times New Roman" w:cs="Times New Roman"/>
          <w:b/>
          <w:bCs/>
          <w:sz w:val="21"/>
          <w:szCs w:val="21"/>
        </w:rPr>
        <w:t>4.14.3</w:t>
      </w:r>
      <w:r>
        <w:rPr>
          <w:rFonts w:ascii="Times New Roman" w:hAnsi="Times New Roman" w:cs="Times New Roman"/>
          <w:sz w:val="21"/>
          <w:szCs w:val="21"/>
        </w:rPr>
        <w:t xml:space="preserve">  小流域人工湿地设计应符合下列规定：</w:t>
      </w:r>
    </w:p>
    <w:p w14:paraId="2EF2BED3">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1</w:t>
      </w:r>
      <w:r>
        <w:rPr>
          <w:rFonts w:ascii="Times New Roman" w:hAnsi="Times New Roman" w:cs="Times New Roman"/>
          <w:sz w:val="21"/>
          <w:szCs w:val="21"/>
        </w:rPr>
        <w:t xml:space="preserve">  农村生活污水处理后，排入河道前宜布置小流域人工湿地。</w:t>
      </w:r>
    </w:p>
    <w:p w14:paraId="5C92A99A">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2</w:t>
      </w:r>
      <w:r>
        <w:rPr>
          <w:rFonts w:ascii="Times New Roman" w:hAnsi="Times New Roman" w:cs="Times New Roman"/>
          <w:sz w:val="21"/>
          <w:szCs w:val="21"/>
        </w:rPr>
        <w:t xml:space="preserve">  对于生态清洁小流域，其人工湿地设计应满足沉积泥沙、改善水质和营造景观的功能。</w:t>
      </w:r>
    </w:p>
    <w:p w14:paraId="48C9D232">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4.14.4</w:t>
      </w:r>
      <w:r>
        <w:rPr>
          <w:rFonts w:ascii="Times New Roman" w:hAnsi="Times New Roman" w:cs="Times New Roman"/>
          <w:sz w:val="21"/>
          <w:szCs w:val="21"/>
        </w:rPr>
        <w:t xml:space="preserve">  5°以下的平缓地、自然坡地，应在满足造林或种草所需的土壤水肥及光热条件下布置。</w:t>
      </w:r>
    </w:p>
    <w:p w14:paraId="774D013B">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4.14.5</w:t>
      </w:r>
      <w:r>
        <w:rPr>
          <w:rFonts w:ascii="Times New Roman" w:hAnsi="Times New Roman" w:cs="Times New Roman"/>
          <w:sz w:val="21"/>
          <w:szCs w:val="21"/>
        </w:rPr>
        <w:t xml:space="preserve">  林草措施设计应在工程布置的基础上，根据立地类型划分和树（草）种的组成与配置等进行分类典型设计。</w:t>
      </w:r>
    </w:p>
    <w:p w14:paraId="14BCF310">
      <w:pPr>
        <w:keepNext/>
        <w:keepLines/>
        <w:spacing w:before="260" w:after="260"/>
        <w:jc w:val="center"/>
        <w:outlineLvl w:val="2"/>
        <w:rPr>
          <w:rFonts w:ascii="Times New Roman" w:hAnsi="Times New Roman" w:eastAsia="黑体" w:cs="Times New Roman"/>
          <w:bCs/>
          <w:sz w:val="24"/>
          <w:szCs w:val="24"/>
        </w:rPr>
      </w:pPr>
      <w:bookmarkStart w:id="408" w:name="_Toc360528897"/>
      <w:bookmarkStart w:id="409" w:name="_Toc323805665"/>
      <w:bookmarkStart w:id="410" w:name="_Toc310842241"/>
      <w:bookmarkStart w:id="411" w:name="_Toc324280288"/>
      <w:bookmarkStart w:id="412" w:name="_Toc319591698"/>
      <w:bookmarkStart w:id="413" w:name="_Toc360520023"/>
      <w:bookmarkStart w:id="414" w:name="_Toc324282323"/>
      <w:bookmarkStart w:id="415" w:name="_Toc324287615"/>
      <w:bookmarkStart w:id="416" w:name="_Toc360526303"/>
      <w:bookmarkStart w:id="417" w:name="_Toc323828701"/>
      <w:bookmarkStart w:id="418" w:name="_Toc319512957"/>
      <w:bookmarkStart w:id="419" w:name="_Toc310525451"/>
      <w:bookmarkStart w:id="420" w:name="_Toc319513119"/>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2 \* ROMAN \* MERGEFORMAT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II</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工程布置</w:t>
      </w:r>
      <w:bookmarkEnd w:id="408"/>
      <w:bookmarkEnd w:id="409"/>
      <w:bookmarkEnd w:id="410"/>
      <w:bookmarkEnd w:id="411"/>
      <w:bookmarkEnd w:id="412"/>
      <w:bookmarkEnd w:id="413"/>
      <w:bookmarkEnd w:id="414"/>
      <w:bookmarkEnd w:id="415"/>
      <w:bookmarkEnd w:id="416"/>
      <w:bookmarkEnd w:id="417"/>
      <w:bookmarkEnd w:id="418"/>
      <w:bookmarkEnd w:id="419"/>
      <w:bookmarkEnd w:id="420"/>
    </w:p>
    <w:p w14:paraId="7A07669B">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4.14.6</w:t>
      </w:r>
      <w:r>
        <w:rPr>
          <w:rFonts w:ascii="Times New Roman" w:hAnsi="Times New Roman" w:cs="Times New Roman"/>
          <w:sz w:val="21"/>
          <w:szCs w:val="21"/>
        </w:rPr>
        <w:t xml:space="preserve">  具有生态、生产功能的造林种草工程设计应符合下列规定：</w:t>
      </w:r>
    </w:p>
    <w:p w14:paraId="51C78EDE">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1</w:t>
      </w:r>
      <w:r>
        <w:rPr>
          <w:rFonts w:ascii="Times New Roman" w:hAnsi="Times New Roman" w:cs="Times New Roman"/>
          <w:sz w:val="21"/>
          <w:szCs w:val="21"/>
        </w:rPr>
        <w:t xml:space="preserve">  应按不同水土流失类型区及土壤侵蚀在不同地形部位的发生特点，因害设防，布置适宜的水土保持林种。</w:t>
      </w:r>
    </w:p>
    <w:p w14:paraId="3BA78786">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2</w:t>
      </w:r>
      <w:r>
        <w:rPr>
          <w:rFonts w:ascii="Times New Roman" w:hAnsi="Times New Roman" w:cs="Times New Roman"/>
          <w:sz w:val="21"/>
          <w:szCs w:val="21"/>
        </w:rPr>
        <w:t xml:space="preserve">  应以小流域水土流失综合治理为设计单元，改善当地生产、生活条件为目标，应根据流域地形、地貌部位因地制宜的按山、水、林、田、湖、草、沙、路、渠、村，从流域上游到出口，带、网、片相结合，乔、灌、草相结合，布置适宜的防护林林种。</w:t>
      </w:r>
    </w:p>
    <w:p w14:paraId="7F501039">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3</w:t>
      </w:r>
      <w:r>
        <w:rPr>
          <w:rFonts w:ascii="Times New Roman" w:hAnsi="Times New Roman" w:cs="Times New Roman"/>
          <w:sz w:val="21"/>
          <w:szCs w:val="21"/>
        </w:rPr>
        <w:t xml:space="preserve">  在水土流失轻微、交通方便、立地条件较好、具有灌溉条件的区域宜配置经济林果，可根据当地条件在林下种植药材、菌类或养殖禽类等。</w:t>
      </w:r>
    </w:p>
    <w:p w14:paraId="15A44DCD">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4</w:t>
      </w:r>
      <w:r>
        <w:rPr>
          <w:rFonts w:ascii="Times New Roman" w:hAnsi="Times New Roman" w:cs="Times New Roman"/>
          <w:sz w:val="21"/>
          <w:szCs w:val="21"/>
        </w:rPr>
        <w:t xml:space="preserve">  对水土保持功能低的林分应采取补植补种等措施。</w:t>
      </w:r>
    </w:p>
    <w:p w14:paraId="775F9ACA">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4.14.7</w:t>
      </w:r>
      <w:r>
        <w:rPr>
          <w:rFonts w:ascii="Times New Roman" w:hAnsi="Times New Roman" w:cs="Times New Roman"/>
          <w:sz w:val="21"/>
          <w:szCs w:val="21"/>
        </w:rPr>
        <w:t xml:space="preserve">  小流域人工湿地布置应符合下列规定：</w:t>
      </w:r>
    </w:p>
    <w:p w14:paraId="6D9F2B49">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1</w:t>
      </w:r>
      <w:r>
        <w:rPr>
          <w:rFonts w:ascii="Times New Roman" w:hAnsi="Times New Roman" w:cs="Times New Roman"/>
          <w:sz w:val="21"/>
          <w:szCs w:val="21"/>
        </w:rPr>
        <w:t xml:space="preserve">  宜布置在有条件保持湿地水文和湿地土壤的区域。</w:t>
      </w:r>
    </w:p>
    <w:p w14:paraId="68E5E445">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2</w:t>
      </w:r>
      <w:r>
        <w:rPr>
          <w:rFonts w:ascii="Times New Roman" w:hAnsi="Times New Roman" w:cs="Times New Roman"/>
          <w:sz w:val="21"/>
          <w:szCs w:val="21"/>
        </w:rPr>
        <w:t xml:space="preserve">  宜布置在城镇郊区、饮用水水源保护区、村庄周边、水库库尾、河（湖）岸带和自然保护地等区域。</w:t>
      </w:r>
    </w:p>
    <w:p w14:paraId="35DE2124">
      <w:pPr>
        <w:snapToGrid w:val="0"/>
        <w:spacing w:line="360" w:lineRule="auto"/>
        <w:ind w:firstLine="422" w:firstLineChars="200"/>
        <w:rPr>
          <w:rFonts w:ascii="Times New Roman" w:hAnsi="Times New Roman" w:cs="Times New Roman"/>
          <w:sz w:val="21"/>
          <w:szCs w:val="21"/>
        </w:rPr>
      </w:pPr>
      <w:r>
        <w:rPr>
          <w:rFonts w:ascii="Times New Roman" w:hAnsi="Times New Roman" w:cs="Times New Roman"/>
          <w:b/>
          <w:bCs/>
          <w:sz w:val="21"/>
          <w:szCs w:val="21"/>
        </w:rPr>
        <w:t>3</w:t>
      </w:r>
      <w:r>
        <w:rPr>
          <w:rFonts w:ascii="Times New Roman" w:hAnsi="Times New Roman" w:cs="Times New Roman"/>
          <w:sz w:val="21"/>
          <w:szCs w:val="21"/>
        </w:rPr>
        <w:t xml:space="preserve">  宜随地形和功能，保持岸线自然弯曲，采用拟自然湿地剖面形态设计。</w:t>
      </w:r>
    </w:p>
    <w:p w14:paraId="0B904EE9">
      <w:pPr>
        <w:keepNext/>
        <w:keepLines/>
        <w:spacing w:before="260" w:after="260"/>
        <w:jc w:val="center"/>
        <w:outlineLvl w:val="2"/>
        <w:rPr>
          <w:rFonts w:ascii="Times New Roman" w:hAnsi="Times New Roman" w:eastAsia="黑体" w:cs="Times New Roman"/>
          <w:bCs/>
          <w:sz w:val="24"/>
          <w:szCs w:val="24"/>
        </w:rPr>
      </w:pPr>
      <w:bookmarkStart w:id="421" w:name="_Toc319513120"/>
      <w:bookmarkStart w:id="422" w:name="_Toc319512958"/>
      <w:bookmarkStart w:id="423" w:name="_Toc310842242"/>
      <w:bookmarkStart w:id="424" w:name="_Toc310525452"/>
      <w:bookmarkStart w:id="425" w:name="_Toc319591699"/>
      <w:bookmarkStart w:id="426" w:name="_Toc360528898"/>
      <w:bookmarkStart w:id="427" w:name="_Toc323828702"/>
      <w:bookmarkStart w:id="428" w:name="_Toc324282324"/>
      <w:bookmarkStart w:id="429" w:name="_Toc323805666"/>
      <w:bookmarkStart w:id="430" w:name="_Toc360526304"/>
      <w:bookmarkStart w:id="431" w:name="_Toc324280289"/>
      <w:bookmarkStart w:id="432" w:name="_Toc360520024"/>
      <w:bookmarkStart w:id="433" w:name="_Toc324287616"/>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3 \* ROMAN \* MERGEFORMAT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III</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w:t>
      </w:r>
      <w:bookmarkEnd w:id="421"/>
      <w:bookmarkEnd w:id="422"/>
      <w:bookmarkEnd w:id="423"/>
      <w:bookmarkEnd w:id="424"/>
      <w:bookmarkEnd w:id="425"/>
      <w:r>
        <w:rPr>
          <w:rFonts w:ascii="Times New Roman" w:hAnsi="Times New Roman" w:eastAsia="黑体" w:cs="Times New Roman"/>
          <w:bCs/>
          <w:sz w:val="24"/>
          <w:szCs w:val="24"/>
        </w:rPr>
        <w:t>立地类型划分</w:t>
      </w:r>
      <w:bookmarkEnd w:id="426"/>
      <w:bookmarkEnd w:id="427"/>
      <w:bookmarkEnd w:id="428"/>
      <w:bookmarkEnd w:id="429"/>
      <w:bookmarkEnd w:id="430"/>
      <w:bookmarkEnd w:id="431"/>
      <w:bookmarkEnd w:id="432"/>
      <w:bookmarkEnd w:id="433"/>
    </w:p>
    <w:p w14:paraId="2BE8A33E">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4.14.8</w:t>
      </w:r>
      <w:r>
        <w:rPr>
          <w:rFonts w:ascii="Times New Roman" w:hAnsi="Times New Roman" w:cs="Times New Roman"/>
          <w:sz w:val="21"/>
          <w:szCs w:val="21"/>
        </w:rPr>
        <w:t xml:space="preserve">  基本植被类型区应根据工程所处自然气候区和植被分布带确定。</w:t>
      </w:r>
    </w:p>
    <w:p w14:paraId="44D0CE6F">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4.14.9</w:t>
      </w:r>
      <w:r>
        <w:rPr>
          <w:rFonts w:ascii="Times New Roman" w:hAnsi="Times New Roman" w:cs="Times New Roman"/>
          <w:sz w:val="21"/>
          <w:szCs w:val="21"/>
        </w:rPr>
        <w:t xml:space="preserve">  工程涉及若干地域时，应先根据水热条件和主要地貌划分若干立地类型组，再划分立地类型。</w:t>
      </w:r>
    </w:p>
    <w:p w14:paraId="5EFED4B0">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4.14.10</w:t>
      </w:r>
      <w:r>
        <w:rPr>
          <w:rFonts w:ascii="Times New Roman" w:hAnsi="Times New Roman" w:cs="Times New Roman"/>
          <w:sz w:val="21"/>
          <w:szCs w:val="21"/>
        </w:rPr>
        <w:t xml:space="preserve">  立地类型组宜采用海拔、降水量、土壤类型等主导因子划分；立地类型宜采用土壤质地、土壤厚度和地下水等主导因子划分，各类边坡立地类型划分主导因子中需补充坡向、坡度因子。</w:t>
      </w:r>
    </w:p>
    <w:p w14:paraId="0D7AB6FC">
      <w:pPr>
        <w:keepNext/>
        <w:keepLines/>
        <w:spacing w:before="260" w:after="260"/>
        <w:jc w:val="center"/>
        <w:outlineLvl w:val="2"/>
        <w:rPr>
          <w:rFonts w:ascii="Times New Roman" w:hAnsi="Times New Roman" w:eastAsia="黑体" w:cs="Times New Roman"/>
          <w:bCs/>
          <w:sz w:val="24"/>
          <w:szCs w:val="24"/>
        </w:rPr>
      </w:pPr>
      <w:bookmarkStart w:id="434" w:name="_Toc324282325"/>
      <w:bookmarkStart w:id="435" w:name="_Toc360520025"/>
      <w:bookmarkStart w:id="436" w:name="_Toc324287617"/>
      <w:bookmarkStart w:id="437" w:name="_Toc323828703"/>
      <w:bookmarkStart w:id="438" w:name="_Toc324280290"/>
      <w:bookmarkStart w:id="439" w:name="_Toc360528899"/>
      <w:bookmarkStart w:id="440" w:name="_Toc323805667"/>
      <w:bookmarkStart w:id="441" w:name="_Toc360526305"/>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4 \* ROMAN \* MERGEFORMAT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IV</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树草种选择</w:t>
      </w:r>
      <w:bookmarkEnd w:id="434"/>
      <w:bookmarkEnd w:id="435"/>
      <w:bookmarkEnd w:id="436"/>
      <w:bookmarkEnd w:id="437"/>
      <w:bookmarkEnd w:id="438"/>
      <w:bookmarkEnd w:id="439"/>
      <w:bookmarkEnd w:id="440"/>
      <w:bookmarkEnd w:id="441"/>
    </w:p>
    <w:p w14:paraId="25E5D008">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4.14.11</w:t>
      </w:r>
      <w:r>
        <w:rPr>
          <w:rFonts w:ascii="Times New Roman" w:hAnsi="Times New Roman" w:cs="Times New Roman"/>
          <w:sz w:val="21"/>
          <w:szCs w:val="21"/>
        </w:rPr>
        <w:t xml:space="preserve">  林草措施基本类型应根据立地类型、项目区植被类型、防护功能要求，遵循适地适树（草）原则确定。</w:t>
      </w:r>
    </w:p>
    <w:p w14:paraId="59BB60AE">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4.14.12</w:t>
      </w:r>
      <w:r>
        <w:rPr>
          <w:rFonts w:ascii="Times New Roman" w:hAnsi="Times New Roman" w:cs="Times New Roman"/>
          <w:sz w:val="21"/>
          <w:szCs w:val="21"/>
        </w:rPr>
        <w:t xml:space="preserve">  适宜的树种或草种应根据林草措施基本类型、土地利用方向选择。树种选择应符合国家标准《生态公益林建设技术规程》GB/T 18337.3附录A中表A1～A8和附录B的规定。</w:t>
      </w:r>
    </w:p>
    <w:p w14:paraId="0EF03144">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4.14.13</w:t>
      </w:r>
      <w:r>
        <w:rPr>
          <w:rFonts w:ascii="Times New Roman" w:hAnsi="Times New Roman" w:cs="Times New Roman"/>
          <w:sz w:val="21"/>
          <w:szCs w:val="21"/>
        </w:rPr>
        <w:t xml:space="preserve">  坡地林草工程措施应选择乔灌木树种、攀缘植物或低矮匍伏型草种。应根据坡地的坡度、坡向、土层厚度等条件，采用乔、灌、草或其组合的防护措施，种植条件差的可采用攀缘植物护坡。</w:t>
      </w:r>
    </w:p>
    <w:p w14:paraId="1464A82C">
      <w:pPr>
        <w:adjustRightInd w:val="0"/>
        <w:spacing w:line="360" w:lineRule="auto"/>
        <w:rPr>
          <w:rFonts w:ascii="Times New Roman" w:hAnsi="Times New Roman" w:cs="Times New Roman"/>
          <w:szCs w:val="21"/>
        </w:rPr>
      </w:pPr>
      <w:r>
        <w:rPr>
          <w:rFonts w:ascii="Times New Roman" w:hAnsi="Times New Roman" w:cs="Times New Roman"/>
          <w:b/>
          <w:bCs/>
          <w:sz w:val="21"/>
          <w:szCs w:val="21"/>
        </w:rPr>
        <w:t>4.14.14</w:t>
      </w:r>
      <w:r>
        <w:rPr>
          <w:rFonts w:ascii="Times New Roman" w:hAnsi="Times New Roman" w:cs="Times New Roman"/>
          <w:sz w:val="21"/>
          <w:szCs w:val="21"/>
        </w:rPr>
        <w:t xml:space="preserve">  具有生产功能的林草工程树（草）种选择，应结合当地产业结构等要求。</w:t>
      </w:r>
      <w:r>
        <w:rPr>
          <w:rFonts w:ascii="Times New Roman" w:hAnsi="Times New Roman" w:cs="Times New Roman"/>
          <w:szCs w:val="21"/>
        </w:rPr>
        <w:t xml:space="preserve"> </w:t>
      </w:r>
    </w:p>
    <w:p w14:paraId="0EF3DAEE">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4.14.15</w:t>
      </w:r>
      <w:r>
        <w:rPr>
          <w:rFonts w:ascii="Times New Roman" w:hAnsi="Times New Roman" w:cs="Times New Roman"/>
          <w:sz w:val="21"/>
          <w:szCs w:val="21"/>
        </w:rPr>
        <w:t xml:space="preserve">  小流域人工湿地宜采取挺水植物为主，挺水植物、浮水植物与沉水植物相结合的配置方式。</w:t>
      </w:r>
    </w:p>
    <w:p w14:paraId="3915D11F">
      <w:pPr>
        <w:keepNext/>
        <w:keepLines/>
        <w:spacing w:before="260" w:after="260"/>
        <w:jc w:val="center"/>
        <w:outlineLvl w:val="2"/>
        <w:rPr>
          <w:rFonts w:ascii="Times New Roman" w:hAnsi="Times New Roman" w:eastAsia="黑体" w:cs="Times New Roman"/>
          <w:bCs/>
          <w:sz w:val="24"/>
          <w:szCs w:val="24"/>
        </w:rPr>
      </w:pPr>
      <w:bookmarkStart w:id="442" w:name="_Toc324280291"/>
      <w:bookmarkStart w:id="443" w:name="_Toc360520026"/>
      <w:bookmarkStart w:id="444" w:name="_Toc323828704"/>
      <w:bookmarkStart w:id="445" w:name="_Toc324282326"/>
      <w:bookmarkStart w:id="446" w:name="_Toc360528900"/>
      <w:bookmarkStart w:id="447" w:name="_Toc360526306"/>
      <w:bookmarkStart w:id="448" w:name="_Toc324287618"/>
      <w:bookmarkStart w:id="449" w:name="_Toc323805668"/>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5 \* ROMAN \* MERGEFORMAT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V</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造林整地</w:t>
      </w:r>
      <w:bookmarkEnd w:id="442"/>
      <w:bookmarkEnd w:id="443"/>
      <w:bookmarkEnd w:id="444"/>
      <w:bookmarkEnd w:id="445"/>
      <w:bookmarkEnd w:id="446"/>
      <w:bookmarkEnd w:id="447"/>
      <w:bookmarkEnd w:id="448"/>
      <w:bookmarkEnd w:id="449"/>
    </w:p>
    <w:p w14:paraId="0C9373FC">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4.14.16</w:t>
      </w:r>
      <w:r>
        <w:rPr>
          <w:rFonts w:ascii="Times New Roman" w:hAnsi="Times New Roman" w:cs="Times New Roman"/>
          <w:sz w:val="21"/>
          <w:szCs w:val="21"/>
        </w:rPr>
        <w:t xml:space="preserve">  地势平坦的草原、草地、滩涂和无风蚀固定沙地，及具有生产功能的造林种草措施应采取全面整地。生态脆弱地区不宜采取全面整地。</w:t>
      </w:r>
    </w:p>
    <w:p w14:paraId="1798C8D4">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4.14.17</w:t>
      </w:r>
      <w:r>
        <w:rPr>
          <w:rFonts w:ascii="Times New Roman" w:hAnsi="Times New Roman" w:cs="Times New Roman"/>
          <w:sz w:val="21"/>
          <w:szCs w:val="21"/>
        </w:rPr>
        <w:t xml:space="preserve">  采取局部整地的，可采用带状整地和块状整地方式。带状整地方向宜为南北向，在风害严重地区，整地带走向应与主风方向垂直；有一定坡度时，宜沿等高线进行。</w:t>
      </w:r>
    </w:p>
    <w:p w14:paraId="1C2D4561">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4.14.18</w:t>
      </w:r>
      <w:r>
        <w:rPr>
          <w:rFonts w:ascii="Times New Roman" w:hAnsi="Times New Roman" w:cs="Times New Roman"/>
          <w:sz w:val="21"/>
          <w:szCs w:val="21"/>
        </w:rPr>
        <w:t xml:space="preserve">  干旱半干旱地区，应进行集水整地。</w:t>
      </w:r>
    </w:p>
    <w:p w14:paraId="0A4FFFF9">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4.14.19</w:t>
      </w:r>
      <w:r>
        <w:rPr>
          <w:rFonts w:ascii="Times New Roman" w:hAnsi="Times New Roman" w:cs="Times New Roman"/>
          <w:sz w:val="21"/>
          <w:szCs w:val="21"/>
        </w:rPr>
        <w:t xml:space="preserve">  坡地林草工程措施中自然坡面及土壤母质层较厚的采挖坡面、土质堆垫坡面和覆土坡面，可采用鱼鳞坑、反坡梯田、水平阶、水平沟及穴状整地。有抗旱拦蓄要求的，整地设计应满足林木生长需水要求。</w:t>
      </w:r>
    </w:p>
    <w:p w14:paraId="5E29FEDE">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4.14.20</w:t>
      </w:r>
      <w:r>
        <w:rPr>
          <w:rFonts w:ascii="Times New Roman" w:hAnsi="Times New Roman" w:cs="Times New Roman"/>
          <w:sz w:val="21"/>
          <w:szCs w:val="21"/>
        </w:rPr>
        <w:t xml:space="preserve">  造林整地规格可按现行国家标准《生态公益林建设技术规程》GB/T 18337.3和《水土保持综合治理技术规范》GB 16453的有关规定执行。</w:t>
      </w:r>
    </w:p>
    <w:p w14:paraId="72892673">
      <w:pPr>
        <w:keepNext/>
        <w:keepLines/>
        <w:spacing w:before="260" w:after="260"/>
        <w:jc w:val="center"/>
        <w:outlineLvl w:val="2"/>
        <w:rPr>
          <w:rFonts w:ascii="Times New Roman" w:hAnsi="Times New Roman" w:eastAsia="黑体" w:cs="Times New Roman"/>
          <w:bCs/>
          <w:sz w:val="24"/>
          <w:szCs w:val="24"/>
        </w:rPr>
      </w:pPr>
      <w:bookmarkStart w:id="450" w:name="_Toc324282327"/>
      <w:bookmarkStart w:id="451" w:name="_Toc323805669"/>
      <w:bookmarkStart w:id="452" w:name="_Toc360526307"/>
      <w:bookmarkStart w:id="453" w:name="_Toc360520027"/>
      <w:bookmarkStart w:id="454" w:name="_Toc323828705"/>
      <w:bookmarkStart w:id="455" w:name="_Toc324287619"/>
      <w:bookmarkStart w:id="456" w:name="_Toc360528901"/>
      <w:bookmarkStart w:id="457" w:name="_Toc324280292"/>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6 \* ROMAN \* MERGEFORMAT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VI</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造林方式与植草方式</w:t>
      </w:r>
      <w:bookmarkEnd w:id="450"/>
      <w:bookmarkEnd w:id="451"/>
      <w:bookmarkEnd w:id="452"/>
      <w:bookmarkEnd w:id="453"/>
      <w:bookmarkEnd w:id="454"/>
      <w:bookmarkEnd w:id="455"/>
      <w:bookmarkEnd w:id="456"/>
      <w:bookmarkEnd w:id="457"/>
    </w:p>
    <w:p w14:paraId="05EE12C1">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4.14.21</w:t>
      </w:r>
      <w:r>
        <w:rPr>
          <w:rFonts w:ascii="Times New Roman" w:hAnsi="Times New Roman" w:cs="Times New Roman"/>
          <w:sz w:val="21"/>
          <w:szCs w:val="21"/>
        </w:rPr>
        <w:t xml:space="preserve">  造林方式宜采用植苗造林，应符合下列规定：</w:t>
      </w:r>
    </w:p>
    <w:p w14:paraId="4897C13D">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1</w:t>
      </w:r>
      <w:r>
        <w:rPr>
          <w:rFonts w:ascii="Times New Roman" w:hAnsi="Times New Roman" w:cs="Times New Roman"/>
          <w:bCs/>
          <w:sz w:val="21"/>
          <w:szCs w:val="21"/>
        </w:rPr>
        <w:t xml:space="preserve">  选用针叶树苗木的或立地条件较差的，宜采用容器苗造林。</w:t>
      </w:r>
    </w:p>
    <w:p w14:paraId="1D66A9CF">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2</w:t>
      </w:r>
      <w:r>
        <w:rPr>
          <w:rFonts w:ascii="Times New Roman" w:hAnsi="Times New Roman" w:cs="Times New Roman"/>
          <w:bCs/>
          <w:sz w:val="21"/>
          <w:szCs w:val="21"/>
        </w:rPr>
        <w:t xml:space="preserve">  营造水土保持林宜采用0.5a～3a龄苗木；其它防护林宜采用2a～3a龄苗木。</w:t>
      </w:r>
    </w:p>
    <w:p w14:paraId="65B3B42D">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3</w:t>
      </w:r>
      <w:r>
        <w:rPr>
          <w:rFonts w:ascii="Times New Roman" w:hAnsi="Times New Roman" w:cs="Times New Roman"/>
          <w:bCs/>
          <w:sz w:val="21"/>
          <w:szCs w:val="21"/>
        </w:rPr>
        <w:t xml:space="preserve">  成片造林的宜采取混交造林，包括行状、带状、块状混交和植生组混交。成片纯林造林的，面积不宜大于10hm2。</w:t>
      </w:r>
    </w:p>
    <w:p w14:paraId="0891A962">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4</w:t>
      </w:r>
      <w:r>
        <w:rPr>
          <w:rFonts w:ascii="Times New Roman" w:hAnsi="Times New Roman" w:cs="Times New Roman"/>
          <w:bCs/>
          <w:sz w:val="21"/>
          <w:szCs w:val="21"/>
        </w:rPr>
        <w:t xml:space="preserve">  造林初始密度可按现行国家标准《生态公益林建设技术规程》GB/T 18337.3或《造林技术规程》GB/T 15776的有关规定执行。</w:t>
      </w:r>
    </w:p>
    <w:p w14:paraId="42418FCF">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5</w:t>
      </w:r>
      <w:r>
        <w:rPr>
          <w:rFonts w:ascii="Times New Roman" w:hAnsi="Times New Roman" w:cs="Times New Roman"/>
          <w:bCs/>
          <w:sz w:val="21"/>
          <w:szCs w:val="21"/>
        </w:rPr>
        <w:t xml:space="preserve">  造林季节可根据当地具体情况选择春季造林、雨季造林及秋季造林。春季造林应根据树种物候期和土壤解冻情况，宜在树木发芽前完成，南方造林在土壤墒情好时宜早，北方造林宜待土壤解冻到适宜深度。冬季无冻拔危害的地区，可在秋末冬初造林。</w:t>
      </w:r>
    </w:p>
    <w:p w14:paraId="6A5F5753">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4.14.22</w:t>
      </w:r>
      <w:r>
        <w:rPr>
          <w:rFonts w:ascii="Times New Roman" w:hAnsi="Times New Roman" w:cs="Times New Roman"/>
          <w:sz w:val="21"/>
          <w:szCs w:val="21"/>
        </w:rPr>
        <w:t xml:space="preserve">  植草方式应符合下列规定：</w:t>
      </w:r>
    </w:p>
    <w:p w14:paraId="1BA56368">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1</w:t>
      </w:r>
      <w:r>
        <w:rPr>
          <w:rFonts w:ascii="Times New Roman" w:hAnsi="Times New Roman" w:cs="Times New Roman"/>
          <w:bCs/>
          <w:sz w:val="21"/>
          <w:szCs w:val="21"/>
        </w:rPr>
        <w:t xml:space="preserve">  应根据土地利用方向，确定牧草、绿肥草、水土保持草或草坪草等草种；选用外来草种应经生态安全试验验证。</w:t>
      </w:r>
    </w:p>
    <w:p w14:paraId="72101670">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2</w:t>
      </w:r>
      <w:r>
        <w:rPr>
          <w:rFonts w:ascii="Times New Roman" w:hAnsi="Times New Roman" w:cs="Times New Roman"/>
          <w:bCs/>
          <w:sz w:val="21"/>
          <w:szCs w:val="21"/>
        </w:rPr>
        <w:t xml:space="preserve">  人工草地和草坪宜采用三种以上草种混播。</w:t>
      </w:r>
    </w:p>
    <w:p w14:paraId="5A2302C7">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3</w:t>
      </w:r>
      <w:r>
        <w:rPr>
          <w:rFonts w:ascii="Times New Roman" w:hAnsi="Times New Roman" w:cs="Times New Roman"/>
          <w:bCs/>
          <w:sz w:val="21"/>
          <w:szCs w:val="21"/>
        </w:rPr>
        <w:t xml:space="preserve">  播种植草的，播种前应采取种子催芽处理。</w:t>
      </w:r>
    </w:p>
    <w:p w14:paraId="3B92AAEB">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4</w:t>
      </w:r>
      <w:r>
        <w:rPr>
          <w:rFonts w:ascii="Times New Roman" w:hAnsi="Times New Roman" w:cs="Times New Roman"/>
          <w:bCs/>
          <w:sz w:val="21"/>
          <w:szCs w:val="21"/>
        </w:rPr>
        <w:t xml:space="preserve">  草种选择、种草方式、播种量及整地方式，可按现行国家标准《水土保持综合治理技术规范》GB 16453的有关规定执行。</w:t>
      </w:r>
    </w:p>
    <w:p w14:paraId="4020BDC7">
      <w:pPr>
        <w:keepNext/>
        <w:keepLines/>
        <w:spacing w:before="260" w:after="260"/>
        <w:jc w:val="center"/>
        <w:outlineLvl w:val="2"/>
        <w:rPr>
          <w:rFonts w:ascii="Times New Roman" w:hAnsi="Times New Roman" w:eastAsia="黑体" w:cs="Times New Roman"/>
          <w:bCs/>
          <w:sz w:val="24"/>
          <w:szCs w:val="24"/>
        </w:rPr>
      </w:pPr>
      <w:bookmarkStart w:id="458" w:name="_Toc323828706"/>
      <w:bookmarkStart w:id="459" w:name="_Toc323805670"/>
      <w:bookmarkStart w:id="460" w:name="_Toc324310565"/>
      <w:bookmarkStart w:id="461" w:name="_Toc324280293"/>
      <w:bookmarkStart w:id="462" w:name="_Toc360526308"/>
      <w:bookmarkStart w:id="463" w:name="_Toc360528902"/>
      <w:bookmarkStart w:id="464" w:name="_Toc360520028"/>
      <w:bookmarkStart w:id="465" w:name="_Toc323805672"/>
      <w:bookmarkStart w:id="466" w:name="_Toc324280295"/>
      <w:bookmarkStart w:id="467" w:name="_Toc324287622"/>
      <w:bookmarkStart w:id="468" w:name="_Toc324282330"/>
      <w:bookmarkStart w:id="469" w:name="_Toc319513122"/>
      <w:bookmarkStart w:id="470" w:name="_Toc319591701"/>
      <w:bookmarkStart w:id="471" w:name="_Toc319512960"/>
      <w:bookmarkStart w:id="472" w:name="_Toc323828708"/>
      <w:bookmarkStart w:id="473" w:name="_Toc310842244"/>
      <w:bookmarkStart w:id="474" w:name="_Toc310525454"/>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7 \* ROMAN \* MERGEFORMAT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VII</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w:t>
      </w:r>
      <w:bookmarkEnd w:id="458"/>
      <w:bookmarkEnd w:id="459"/>
      <w:bookmarkEnd w:id="460"/>
      <w:bookmarkEnd w:id="461"/>
      <w:r>
        <w:rPr>
          <w:rFonts w:ascii="Times New Roman" w:hAnsi="Times New Roman" w:eastAsia="黑体" w:cs="Times New Roman"/>
          <w:bCs/>
          <w:sz w:val="24"/>
          <w:szCs w:val="24"/>
        </w:rPr>
        <w:t>其它规定</w:t>
      </w:r>
      <w:bookmarkEnd w:id="462"/>
      <w:bookmarkEnd w:id="463"/>
      <w:bookmarkEnd w:id="464"/>
    </w:p>
    <w:p w14:paraId="114AC40F">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4.14.23</w:t>
      </w:r>
      <w:r>
        <w:rPr>
          <w:rFonts w:ascii="Times New Roman" w:hAnsi="Times New Roman" w:cs="Times New Roman"/>
          <w:sz w:val="21"/>
          <w:szCs w:val="21"/>
        </w:rPr>
        <w:t xml:space="preserve">  具有生产功能的造林种草措施设计还应符合下列规定：</w:t>
      </w:r>
    </w:p>
    <w:p w14:paraId="42E6C261">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1</w:t>
      </w:r>
      <w:r>
        <w:rPr>
          <w:rFonts w:ascii="Times New Roman" w:hAnsi="Times New Roman" w:cs="Times New Roman"/>
          <w:bCs/>
          <w:sz w:val="21"/>
          <w:szCs w:val="21"/>
        </w:rPr>
        <w:t xml:space="preserve">  满足具有生产功能林草工程的立地应具备良好的土壤水肥及光热条件；宜结合梯田工程、灌溉引水工程或雨洪集蓄工程，改善立地水肥条件。</w:t>
      </w:r>
    </w:p>
    <w:p w14:paraId="51FC4372">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2</w:t>
      </w:r>
      <w:r>
        <w:rPr>
          <w:rFonts w:ascii="Times New Roman" w:hAnsi="Times New Roman" w:cs="Times New Roman"/>
          <w:bCs/>
          <w:sz w:val="21"/>
          <w:szCs w:val="21"/>
        </w:rPr>
        <w:t xml:space="preserve">  成规模集约经营的，基地建设应具有一定规模，相对集中连片。应以县（林场）为单位，主栽树种（品种）规划总面积不小于1000hm</w:t>
      </w:r>
      <w:r>
        <w:rPr>
          <w:rFonts w:ascii="Times New Roman" w:hAnsi="Times New Roman" w:cs="Times New Roman"/>
          <w:bCs/>
          <w:sz w:val="21"/>
          <w:szCs w:val="21"/>
          <w:vertAlign w:val="superscript"/>
        </w:rPr>
        <w:t>2</w:t>
      </w:r>
      <w:r>
        <w:rPr>
          <w:rFonts w:ascii="Times New Roman" w:hAnsi="Times New Roman" w:cs="Times New Roman"/>
          <w:bCs/>
          <w:sz w:val="21"/>
          <w:szCs w:val="21"/>
        </w:rPr>
        <w:t>。</w:t>
      </w:r>
    </w:p>
    <w:p w14:paraId="0968DBB8">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3</w:t>
      </w:r>
      <w:r>
        <w:rPr>
          <w:rFonts w:ascii="Times New Roman" w:hAnsi="Times New Roman" w:cs="Times New Roman"/>
          <w:bCs/>
          <w:sz w:val="21"/>
          <w:szCs w:val="21"/>
        </w:rPr>
        <w:t xml:space="preserve">  坡地成规模集约经营的，应采取田埂、田坎林草配置或与水土保持林（草）水平带状混交配置。</w:t>
      </w:r>
    </w:p>
    <w:p w14:paraId="242AC57E">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4.14.24</w:t>
      </w:r>
      <w:r>
        <w:rPr>
          <w:rFonts w:ascii="Times New Roman" w:hAnsi="Times New Roman" w:cs="Times New Roman"/>
          <w:sz w:val="21"/>
          <w:szCs w:val="21"/>
        </w:rPr>
        <w:t xml:space="preserve">  困难立地包括盐碱地、石质母质等造林条件恶劣的区域，其林草工程设计还应符合下列规定：</w:t>
      </w:r>
    </w:p>
    <w:p w14:paraId="1D5E8622">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1</w:t>
      </w:r>
      <w:r>
        <w:rPr>
          <w:rFonts w:ascii="Times New Roman" w:hAnsi="Times New Roman" w:cs="Times New Roman"/>
          <w:bCs/>
          <w:sz w:val="21"/>
          <w:szCs w:val="21"/>
        </w:rPr>
        <w:t xml:space="preserve">  盐碱地造林前应全面整地，配套排水系统，栽植耐盐碱植物。</w:t>
      </w:r>
    </w:p>
    <w:p w14:paraId="3E91D504">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2</w:t>
      </w:r>
      <w:r>
        <w:rPr>
          <w:rFonts w:ascii="Times New Roman" w:hAnsi="Times New Roman" w:cs="Times New Roman"/>
          <w:bCs/>
          <w:sz w:val="21"/>
          <w:szCs w:val="21"/>
        </w:rPr>
        <w:t xml:space="preserve">  石质母质困难立地主要包括南方石漠化地区、南方崩岗地区以及北方砒砂岩地区等。石漠化地区林草工程设计应按现行行业标准《岩溶地区水土流失综合治理技术标准》SL 461的有关规定执行；崩岗治理设计应按现行国家标准《水土保持综合治理技术规范》GB 16453的有关规定执行，北方砒砂岩地区宜采取以沙棘为主的生物措施治理；条件极恶劣地区宜采用自然封禁恢复植被。</w:t>
      </w:r>
    </w:p>
    <w:p w14:paraId="77EAD7B7">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4.14.25</w:t>
      </w:r>
      <w:r>
        <w:rPr>
          <w:rFonts w:ascii="Times New Roman" w:hAnsi="Times New Roman" w:cs="Times New Roman"/>
          <w:sz w:val="21"/>
          <w:szCs w:val="21"/>
        </w:rPr>
        <w:t xml:space="preserve">  小流域人工湿地设计还应符合下列规定：</w:t>
      </w:r>
    </w:p>
    <w:p w14:paraId="3818D61B">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1</w:t>
      </w:r>
      <w:r>
        <w:rPr>
          <w:rFonts w:ascii="Times New Roman" w:hAnsi="Times New Roman" w:cs="Times New Roman"/>
          <w:bCs/>
          <w:sz w:val="21"/>
          <w:szCs w:val="21"/>
        </w:rPr>
        <w:t xml:space="preserve">  湿地岸线应符合防洪安全要求，在水量较大及水流冲顶位置岸线应足够牢固。</w:t>
      </w:r>
    </w:p>
    <w:p w14:paraId="76121E03">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2</w:t>
      </w:r>
      <w:r>
        <w:rPr>
          <w:rFonts w:ascii="Times New Roman" w:hAnsi="Times New Roman" w:cs="Times New Roman"/>
          <w:bCs/>
          <w:sz w:val="21"/>
          <w:szCs w:val="21"/>
        </w:rPr>
        <w:t xml:space="preserve">  湿地建造材料应以自然原生、能创造多孔隙空间的材料为主，避免使用混凝土等人造材料。</w:t>
      </w:r>
    </w:p>
    <w:p w14:paraId="15A25602">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3</w:t>
      </w:r>
      <w:r>
        <w:rPr>
          <w:rFonts w:ascii="Times New Roman" w:hAnsi="Times New Roman" w:cs="Times New Roman"/>
          <w:bCs/>
          <w:sz w:val="21"/>
          <w:szCs w:val="21"/>
        </w:rPr>
        <w:t xml:space="preserve">  湿地植物物种的选择，可根据植物的净化能力、抗逆性、生长能力和景观价值等因素确定。以处理农村生活污水为目的应首先满足净化水质的要求。</w:t>
      </w:r>
    </w:p>
    <w:p w14:paraId="1FF9CC17">
      <w:pPr>
        <w:spacing w:line="360" w:lineRule="auto"/>
        <w:ind w:firstLine="422" w:firstLineChars="200"/>
        <w:jc w:val="left"/>
        <w:rPr>
          <w:rFonts w:ascii="Times New Roman" w:hAnsi="Times New Roman" w:cs="Times New Roman"/>
          <w:bCs/>
          <w:sz w:val="21"/>
          <w:szCs w:val="21"/>
        </w:rPr>
      </w:pPr>
      <w:r>
        <w:rPr>
          <w:rFonts w:ascii="Times New Roman" w:hAnsi="Times New Roman" w:cs="Times New Roman"/>
          <w:b/>
          <w:bCs/>
          <w:sz w:val="21"/>
          <w:szCs w:val="21"/>
        </w:rPr>
        <w:t>4</w:t>
      </w:r>
      <w:r>
        <w:rPr>
          <w:rFonts w:ascii="Times New Roman" w:hAnsi="Times New Roman" w:cs="Times New Roman"/>
          <w:bCs/>
          <w:sz w:val="21"/>
          <w:szCs w:val="21"/>
        </w:rPr>
        <w:t xml:space="preserve">  植物配置应以本地植物为主，并应保持湿地植物种类多样性。在净化水体的同时，与区域景观相协调。</w:t>
      </w:r>
    </w:p>
    <w:p w14:paraId="128D663E">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4.14.26</w:t>
      </w:r>
      <w:r>
        <w:rPr>
          <w:rFonts w:ascii="Times New Roman" w:hAnsi="Times New Roman" w:cs="Times New Roman"/>
          <w:sz w:val="21"/>
          <w:szCs w:val="21"/>
        </w:rPr>
        <w:t xml:space="preserve">  水土流失综合治理工程中的园林式种植绿化，还应符合本标准5.10节的规定。</w:t>
      </w:r>
    </w:p>
    <w:p w14:paraId="15557EB9">
      <w:pPr>
        <w:keepNext/>
        <w:keepLines/>
        <w:spacing w:before="260" w:after="260"/>
        <w:jc w:val="center"/>
        <w:outlineLvl w:val="2"/>
        <w:rPr>
          <w:rFonts w:ascii="Times New Roman" w:hAnsi="Times New Roman" w:eastAsia="黑体" w:cs="Times New Roman"/>
          <w:bCs/>
          <w:sz w:val="24"/>
          <w:szCs w:val="24"/>
        </w:rPr>
      </w:pPr>
      <w:bookmarkStart w:id="475" w:name="_Toc324280294"/>
      <w:bookmarkStart w:id="476" w:name="_Toc323805671"/>
      <w:bookmarkStart w:id="477" w:name="_Toc319591700"/>
      <w:bookmarkStart w:id="478" w:name="_Toc360526309"/>
      <w:bookmarkStart w:id="479" w:name="_Toc310842243"/>
      <w:bookmarkStart w:id="480" w:name="_Toc360520029"/>
      <w:bookmarkStart w:id="481" w:name="_Toc319512959"/>
      <w:bookmarkStart w:id="482" w:name="_Toc319513121"/>
      <w:bookmarkStart w:id="483" w:name="_Toc323828707"/>
      <w:bookmarkStart w:id="484" w:name="_Toc324310566"/>
      <w:bookmarkStart w:id="485" w:name="_Toc310525453"/>
      <w:bookmarkStart w:id="486" w:name="_Toc360528903"/>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8 \* ROMAN \* MERGEFORMAT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VIII</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配套工程</w:t>
      </w:r>
      <w:bookmarkEnd w:id="475"/>
      <w:bookmarkEnd w:id="476"/>
      <w:bookmarkEnd w:id="477"/>
      <w:bookmarkEnd w:id="478"/>
      <w:bookmarkEnd w:id="479"/>
      <w:bookmarkEnd w:id="480"/>
      <w:bookmarkEnd w:id="481"/>
      <w:bookmarkEnd w:id="482"/>
      <w:bookmarkEnd w:id="483"/>
      <w:bookmarkEnd w:id="484"/>
      <w:bookmarkEnd w:id="485"/>
      <w:bookmarkEnd w:id="486"/>
    </w:p>
    <w:p w14:paraId="23E22280">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4.14.27</w:t>
      </w:r>
      <w:r>
        <w:rPr>
          <w:rFonts w:ascii="Times New Roman" w:hAnsi="Times New Roman" w:cs="Times New Roman"/>
          <w:sz w:val="21"/>
          <w:szCs w:val="21"/>
        </w:rPr>
        <w:t xml:space="preserve">  在较大规模进行林草生态工程建设时，应配套苗圃，苗圃设计应按现行行业标准《林业苗圃工程设计规范》LYJ 128的有关规定执行。苗圃生产的苗木质量应按现行国家标准《主要造林树种苗木质量分级》GB 6000的有关要求。</w:t>
      </w:r>
    </w:p>
    <w:p w14:paraId="012DD356">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4.14.28</w:t>
      </w:r>
      <w:r>
        <w:rPr>
          <w:rFonts w:ascii="Times New Roman" w:hAnsi="Times New Roman" w:cs="Times New Roman"/>
          <w:sz w:val="21"/>
          <w:szCs w:val="21"/>
        </w:rPr>
        <w:t xml:space="preserve">  其它配套工程</w:t>
      </w:r>
      <w:r>
        <w:fldChar w:fldCharType="begin"/>
      </w:r>
      <w:r>
        <w:instrText xml:space="preserve"> HYPERLINK "http://job.tgnet.cn/Sub06.aspx" \t "_blank" </w:instrText>
      </w:r>
      <w:r>
        <w:fldChar w:fldCharType="separate"/>
      </w:r>
      <w:r>
        <w:rPr>
          <w:rFonts w:ascii="Times New Roman" w:hAnsi="Times New Roman" w:cs="Times New Roman"/>
          <w:sz w:val="21"/>
          <w:szCs w:val="21"/>
        </w:rPr>
        <w:t>设计</w:t>
      </w:r>
      <w:r>
        <w:rPr>
          <w:rFonts w:ascii="Times New Roman" w:hAnsi="Times New Roman" w:cs="Times New Roman"/>
          <w:sz w:val="21"/>
          <w:szCs w:val="21"/>
        </w:rPr>
        <w:fldChar w:fldCharType="end"/>
      </w:r>
      <w:r>
        <w:rPr>
          <w:rFonts w:ascii="Times New Roman" w:hAnsi="Times New Roman" w:cs="Times New Roman"/>
          <w:sz w:val="21"/>
          <w:szCs w:val="21"/>
        </w:rPr>
        <w:t>应包括土壤改良工程、给水工程、排水工程以及作业道路工程。并应根据工程具体情况选择实施。</w:t>
      </w:r>
    </w:p>
    <w:p w14:paraId="4D814491">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4.14.29</w:t>
      </w:r>
      <w:r>
        <w:rPr>
          <w:rFonts w:ascii="Times New Roman" w:hAnsi="Times New Roman" w:cs="Times New Roman"/>
          <w:sz w:val="21"/>
          <w:szCs w:val="21"/>
        </w:rPr>
        <w:t xml:space="preserve">  小流域人工湿地应辅以定期清淤以及湿地植物的管理和维护配套措施等。 </w:t>
      </w:r>
    </w:p>
    <w:p w14:paraId="763674AD">
      <w:pPr>
        <w:keepNext/>
        <w:keepLines/>
        <w:spacing w:before="260" w:after="260"/>
        <w:jc w:val="center"/>
        <w:outlineLvl w:val="2"/>
        <w:rPr>
          <w:rFonts w:ascii="Times New Roman" w:hAnsi="Times New Roman" w:eastAsia="黑体" w:cs="Times New Roman"/>
          <w:bCs/>
          <w:sz w:val="24"/>
          <w:szCs w:val="24"/>
        </w:rPr>
      </w:pPr>
      <w:bookmarkStart w:id="487" w:name="_Toc360528904"/>
      <w:bookmarkStart w:id="488" w:name="_Toc360526310"/>
      <w:bookmarkStart w:id="489" w:name="_Toc360520030"/>
      <w:r>
        <w:rPr>
          <w:rFonts w:ascii="Times New Roman" w:hAnsi="Times New Roman" w:eastAsia="黑体" w:cs="Times New Roman"/>
          <w:bCs/>
          <w:sz w:val="24"/>
          <w:szCs w:val="24"/>
        </w:rPr>
        <w:fldChar w:fldCharType="begin"/>
      </w:r>
      <w:r>
        <w:rPr>
          <w:rFonts w:ascii="Times New Roman" w:hAnsi="Times New Roman" w:eastAsia="黑体" w:cs="Times New Roman"/>
          <w:bCs/>
          <w:sz w:val="24"/>
          <w:szCs w:val="24"/>
        </w:rPr>
        <w:instrText xml:space="preserve"> = 9 \* ROMAN \* MERGEFORMAT </w:instrText>
      </w:r>
      <w:r>
        <w:rPr>
          <w:rFonts w:ascii="Times New Roman" w:hAnsi="Times New Roman" w:eastAsia="黑体" w:cs="Times New Roman"/>
          <w:bCs/>
          <w:sz w:val="24"/>
          <w:szCs w:val="24"/>
        </w:rPr>
        <w:fldChar w:fldCharType="separate"/>
      </w:r>
      <w:r>
        <w:rPr>
          <w:rFonts w:ascii="Times New Roman" w:hAnsi="Times New Roman" w:eastAsia="黑体" w:cs="Times New Roman"/>
          <w:bCs/>
          <w:sz w:val="24"/>
          <w:szCs w:val="24"/>
        </w:rPr>
        <w:t>IX</w:t>
      </w:r>
      <w:r>
        <w:rPr>
          <w:rFonts w:ascii="Times New Roman" w:hAnsi="Times New Roman" w:eastAsia="黑体" w:cs="Times New Roman"/>
          <w:bCs/>
          <w:sz w:val="24"/>
          <w:szCs w:val="24"/>
        </w:rPr>
        <w:fldChar w:fldCharType="end"/>
      </w:r>
      <w:r>
        <w:rPr>
          <w:rFonts w:ascii="Times New Roman" w:hAnsi="Times New Roman" w:eastAsia="黑体" w:cs="Times New Roman"/>
          <w:bCs/>
          <w:sz w:val="24"/>
          <w:szCs w:val="24"/>
        </w:rPr>
        <w:t xml:space="preserve"> 工程施工</w:t>
      </w:r>
      <w:bookmarkEnd w:id="465"/>
      <w:bookmarkEnd w:id="466"/>
      <w:bookmarkEnd w:id="467"/>
      <w:bookmarkEnd w:id="468"/>
      <w:bookmarkEnd w:id="469"/>
      <w:bookmarkEnd w:id="470"/>
      <w:bookmarkEnd w:id="471"/>
      <w:bookmarkEnd w:id="472"/>
      <w:bookmarkEnd w:id="473"/>
      <w:bookmarkEnd w:id="474"/>
      <w:bookmarkEnd w:id="487"/>
      <w:bookmarkEnd w:id="488"/>
      <w:bookmarkEnd w:id="489"/>
    </w:p>
    <w:p w14:paraId="40A030E6">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4.14.30</w:t>
      </w:r>
      <w:r>
        <w:rPr>
          <w:rFonts w:ascii="Times New Roman" w:hAnsi="Times New Roman" w:cs="Times New Roman"/>
          <w:sz w:val="21"/>
          <w:szCs w:val="21"/>
        </w:rPr>
        <w:t xml:space="preserve">  林草工程在施工结束后，应进行最少为期2a～3a的管护。</w:t>
      </w:r>
    </w:p>
    <w:p w14:paraId="6EC5135D">
      <w:pPr>
        <w:adjustRightInd w:val="0"/>
        <w:spacing w:line="360" w:lineRule="auto"/>
        <w:rPr>
          <w:rFonts w:ascii="Times New Roman" w:hAnsi="Times New Roman" w:cs="Times New Roman"/>
          <w:sz w:val="21"/>
          <w:szCs w:val="21"/>
        </w:rPr>
      </w:pPr>
      <w:r>
        <w:rPr>
          <w:rFonts w:ascii="Times New Roman" w:hAnsi="Times New Roman" w:cs="Times New Roman"/>
          <w:b/>
          <w:bCs/>
          <w:sz w:val="21"/>
          <w:szCs w:val="21"/>
        </w:rPr>
        <w:t>4.14.31</w:t>
      </w:r>
      <w:r>
        <w:rPr>
          <w:rFonts w:ascii="Times New Roman" w:hAnsi="Times New Roman" w:cs="Times New Roman"/>
          <w:sz w:val="21"/>
          <w:szCs w:val="21"/>
        </w:rPr>
        <w:t xml:space="preserve">  对具有生产功能的林草工程应增施基肥。</w:t>
      </w:r>
    </w:p>
    <w:p w14:paraId="20BFBAB4">
      <w:pPr>
        <w:keepNext/>
        <w:keepLines/>
        <w:spacing w:before="260" w:after="260" w:line="415" w:lineRule="auto"/>
        <w:jc w:val="center"/>
        <w:outlineLvl w:val="1"/>
        <w:rPr>
          <w:rFonts w:ascii="Times New Roman" w:hAnsi="Times New Roman" w:eastAsia="黑体" w:cs="Times New Roman"/>
          <w:bCs/>
          <w:sz w:val="30"/>
          <w:szCs w:val="32"/>
        </w:rPr>
      </w:pPr>
      <w:bookmarkStart w:id="490" w:name="_Toc27231"/>
      <w:bookmarkStart w:id="491" w:name="_Toc21293"/>
      <w:r>
        <w:rPr>
          <w:rFonts w:ascii="Times New Roman" w:hAnsi="Times New Roman" w:eastAsia="黑体" w:cs="Times New Roman"/>
          <w:bCs/>
          <w:sz w:val="30"/>
          <w:szCs w:val="32"/>
        </w:rPr>
        <w:t>4.15 封育工程</w:t>
      </w:r>
      <w:bookmarkEnd w:id="490"/>
      <w:bookmarkEnd w:id="491"/>
    </w:p>
    <w:p w14:paraId="43D62506">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Ⅰ 一般规定</w:t>
      </w:r>
    </w:p>
    <w:p w14:paraId="605565F3">
      <w:pPr>
        <w:spacing w:line="360" w:lineRule="auto"/>
        <w:jc w:val="left"/>
        <w:rPr>
          <w:rFonts w:ascii="Times New Roman" w:hAnsi="Times New Roman" w:cs="Times New Roman"/>
          <w:sz w:val="21"/>
          <w:szCs w:val="21"/>
        </w:rPr>
      </w:pPr>
      <w:r>
        <w:rPr>
          <w:rFonts w:ascii="Times New Roman" w:hAnsi="Times New Roman" w:eastAsia="黑体" w:cs="Times New Roman"/>
          <w:b/>
          <w:sz w:val="21"/>
        </w:rPr>
        <w:t>4</w:t>
      </w:r>
      <w:r>
        <w:rPr>
          <w:rFonts w:ascii="Times New Roman" w:hAnsi="Times New Roman" w:cs="Times New Roman"/>
          <w:b/>
          <w:sz w:val="21"/>
        </w:rPr>
        <w:t>.</w:t>
      </w:r>
      <w:r>
        <w:rPr>
          <w:rFonts w:ascii="Times New Roman" w:hAnsi="Times New Roman" w:eastAsia="黑体" w:cs="Times New Roman"/>
          <w:b/>
          <w:sz w:val="21"/>
        </w:rPr>
        <w:t>15</w:t>
      </w:r>
      <w:r>
        <w:rPr>
          <w:rFonts w:ascii="Times New Roman" w:hAnsi="Times New Roman" w:cs="Times New Roman"/>
          <w:b/>
          <w:sz w:val="21"/>
        </w:rPr>
        <w:t>.</w:t>
      </w:r>
      <w:r>
        <w:rPr>
          <w:rFonts w:ascii="Times New Roman" w:hAnsi="Times New Roman" w:eastAsia="黑体" w:cs="Times New Roman"/>
          <w:b/>
          <w:sz w:val="21"/>
        </w:rPr>
        <w:t>1</w:t>
      </w:r>
      <w:r>
        <w:rPr>
          <w:rFonts w:ascii="Times New Roman" w:hAnsi="Times New Roman" w:eastAsia="黑体" w:cs="Times New Roman"/>
          <w:sz w:val="21"/>
        </w:rPr>
        <w:t xml:space="preserve"> </w:t>
      </w:r>
      <w:r>
        <w:rPr>
          <w:rFonts w:ascii="Times New Roman" w:hAnsi="Times New Roman" w:cs="Times New Roman"/>
          <w:sz w:val="21"/>
          <w:szCs w:val="21"/>
        </w:rPr>
        <w:t xml:space="preserve"> 封育工程布置应符合下列规定：</w:t>
      </w:r>
    </w:p>
    <w:p w14:paraId="2F83717E">
      <w:pPr>
        <w:spacing w:line="360" w:lineRule="auto"/>
        <w:ind w:firstLine="422" w:firstLineChars="200"/>
        <w:jc w:val="left"/>
        <w:rPr>
          <w:rFonts w:ascii="Times New Roman" w:hAnsi="Times New Roman" w:cs="Times New Roman"/>
          <w:sz w:val="21"/>
          <w:szCs w:val="21"/>
        </w:rPr>
      </w:pPr>
      <w:r>
        <w:rPr>
          <w:rFonts w:ascii="Times New Roman" w:hAnsi="Times New Roman" w:cs="Times New Roman"/>
          <w:b/>
          <w:sz w:val="21"/>
          <w:szCs w:val="21"/>
        </w:rPr>
        <w:t xml:space="preserve">1 </w:t>
      </w:r>
      <w:r>
        <w:rPr>
          <w:rFonts w:ascii="Times New Roman" w:hAnsi="Times New Roman" w:cs="Times New Roman"/>
          <w:sz w:val="21"/>
          <w:szCs w:val="21"/>
        </w:rPr>
        <w:t xml:space="preserve"> 具有母树、天然下种条件或萌蘖条件的荒地、残林疏林地、低效林和退化林及退化天然草地。</w:t>
      </w:r>
    </w:p>
    <w:p w14:paraId="1AC59BA4">
      <w:pPr>
        <w:spacing w:line="360" w:lineRule="auto"/>
        <w:ind w:firstLine="422" w:firstLineChars="200"/>
        <w:jc w:val="left"/>
        <w:rPr>
          <w:rFonts w:ascii="Times New Roman" w:hAnsi="Times New Roman" w:cs="Times New Roman"/>
          <w:sz w:val="21"/>
          <w:szCs w:val="21"/>
        </w:rPr>
      </w:pPr>
      <w:r>
        <w:rPr>
          <w:rFonts w:ascii="Times New Roman" w:hAnsi="Times New Roman" w:cs="Times New Roman"/>
          <w:b/>
          <w:sz w:val="21"/>
          <w:szCs w:val="21"/>
        </w:rPr>
        <w:t>2</w:t>
      </w:r>
      <w:r>
        <w:rPr>
          <w:rFonts w:ascii="Times New Roman" w:hAnsi="Times New Roman" w:cs="Times New Roman"/>
          <w:sz w:val="21"/>
          <w:szCs w:val="21"/>
        </w:rPr>
        <w:t xml:space="preserve">  不适宜人工造林的高山、陡坡、水土流失严重地块。</w:t>
      </w:r>
    </w:p>
    <w:p w14:paraId="7AFA52A6">
      <w:pPr>
        <w:spacing w:line="360" w:lineRule="auto"/>
        <w:ind w:firstLine="422" w:firstLineChars="200"/>
        <w:jc w:val="left"/>
        <w:rPr>
          <w:rFonts w:ascii="Times New Roman" w:hAnsi="Times New Roman" w:cs="Times New Roman"/>
          <w:sz w:val="21"/>
          <w:szCs w:val="21"/>
        </w:rPr>
      </w:pPr>
      <w:r>
        <w:rPr>
          <w:rFonts w:ascii="Times New Roman" w:hAnsi="Times New Roman" w:cs="Times New Roman"/>
          <w:b/>
          <w:sz w:val="21"/>
          <w:szCs w:val="21"/>
        </w:rPr>
        <w:t>3</w:t>
      </w:r>
      <w:r>
        <w:rPr>
          <w:rFonts w:ascii="Times New Roman" w:hAnsi="Times New Roman" w:cs="Times New Roman"/>
          <w:sz w:val="21"/>
          <w:szCs w:val="21"/>
        </w:rPr>
        <w:t xml:space="preserve">  沙丘、沙地、海岛、沿海泥质滩涂等经封育有望成林（灌）或增加植被盖度的地块。</w:t>
      </w:r>
    </w:p>
    <w:p w14:paraId="102386DB">
      <w:pPr>
        <w:spacing w:line="360" w:lineRule="auto"/>
        <w:jc w:val="left"/>
        <w:rPr>
          <w:rFonts w:ascii="Times New Roman" w:hAnsi="Times New Roman" w:cs="Times New Roman"/>
          <w:sz w:val="21"/>
          <w:szCs w:val="21"/>
        </w:rPr>
      </w:pPr>
      <w:r>
        <w:rPr>
          <w:rFonts w:ascii="Times New Roman" w:hAnsi="Times New Roman" w:eastAsia="黑体" w:cs="Times New Roman"/>
          <w:b/>
          <w:sz w:val="21"/>
        </w:rPr>
        <w:t>4</w:t>
      </w:r>
      <w:r>
        <w:rPr>
          <w:rFonts w:ascii="Times New Roman" w:hAnsi="Times New Roman" w:cs="Times New Roman"/>
          <w:b/>
          <w:sz w:val="21"/>
        </w:rPr>
        <w:t>.</w:t>
      </w:r>
      <w:r>
        <w:rPr>
          <w:rFonts w:ascii="Times New Roman" w:hAnsi="Times New Roman" w:eastAsia="黑体" w:cs="Times New Roman"/>
          <w:b/>
          <w:sz w:val="21"/>
        </w:rPr>
        <w:t>15</w:t>
      </w:r>
      <w:r>
        <w:rPr>
          <w:rFonts w:ascii="Times New Roman" w:hAnsi="Times New Roman" w:cs="Times New Roman"/>
          <w:b/>
          <w:sz w:val="21"/>
        </w:rPr>
        <w:t>.</w:t>
      </w:r>
      <w:r>
        <w:rPr>
          <w:rFonts w:ascii="Times New Roman" w:hAnsi="Times New Roman" w:eastAsia="黑体" w:cs="Times New Roman"/>
          <w:b/>
          <w:sz w:val="21"/>
        </w:rPr>
        <w:t>2</w:t>
      </w:r>
      <w:r>
        <w:rPr>
          <w:rFonts w:ascii="Times New Roman" w:hAnsi="Times New Roman" w:cs="Times New Roman"/>
          <w:b/>
          <w:sz w:val="21"/>
          <w:szCs w:val="21"/>
        </w:rPr>
        <w:t xml:space="preserve"> </w:t>
      </w:r>
      <w:r>
        <w:rPr>
          <w:rFonts w:ascii="Times New Roman" w:hAnsi="Times New Roman" w:cs="Times New Roman"/>
          <w:sz w:val="21"/>
          <w:szCs w:val="21"/>
        </w:rPr>
        <w:t xml:space="preserve"> 封育应与人工造林种草统一规划，通过封育措施可自然恢复林草植被的，可直接封育；自然恢复林草植被困难的，应辅以补植、人工造林种草。</w:t>
      </w:r>
    </w:p>
    <w:p w14:paraId="6B5E9403">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Ⅱ 封育设计</w:t>
      </w:r>
    </w:p>
    <w:p w14:paraId="004BC9ED">
      <w:pPr>
        <w:spacing w:line="360" w:lineRule="auto"/>
        <w:jc w:val="left"/>
        <w:rPr>
          <w:rFonts w:ascii="Times New Roman" w:hAnsi="Times New Roman" w:cs="Times New Roman"/>
          <w:sz w:val="21"/>
          <w:szCs w:val="21"/>
        </w:rPr>
      </w:pPr>
      <w:r>
        <w:rPr>
          <w:rFonts w:ascii="Times New Roman" w:hAnsi="Times New Roman" w:eastAsia="黑体" w:cs="Times New Roman"/>
          <w:b/>
          <w:sz w:val="21"/>
        </w:rPr>
        <w:t>4</w:t>
      </w:r>
      <w:r>
        <w:rPr>
          <w:rFonts w:ascii="Times New Roman" w:hAnsi="Times New Roman" w:cs="Times New Roman"/>
          <w:b/>
          <w:sz w:val="21"/>
        </w:rPr>
        <w:t>.</w:t>
      </w:r>
      <w:r>
        <w:rPr>
          <w:rFonts w:ascii="Times New Roman" w:hAnsi="Times New Roman" w:eastAsia="黑体" w:cs="Times New Roman"/>
          <w:b/>
          <w:sz w:val="21"/>
        </w:rPr>
        <w:t>15</w:t>
      </w:r>
      <w:r>
        <w:rPr>
          <w:rFonts w:ascii="Times New Roman" w:hAnsi="Times New Roman" w:cs="Times New Roman"/>
          <w:b/>
          <w:sz w:val="21"/>
        </w:rPr>
        <w:t>.</w:t>
      </w:r>
      <w:r>
        <w:rPr>
          <w:rFonts w:ascii="Times New Roman" w:hAnsi="Times New Roman" w:eastAsia="黑体" w:cs="Times New Roman"/>
          <w:b/>
          <w:sz w:val="21"/>
        </w:rPr>
        <w:t>3</w:t>
      </w:r>
      <w:r>
        <w:rPr>
          <w:rFonts w:ascii="Times New Roman" w:hAnsi="Times New Roman" w:cs="Times New Roman"/>
          <w:b/>
          <w:sz w:val="21"/>
          <w:szCs w:val="21"/>
        </w:rPr>
        <w:t xml:space="preserve"> </w:t>
      </w:r>
      <w:r>
        <w:rPr>
          <w:rFonts w:hint="eastAsia" w:ascii="Times New Roman" w:hAnsi="Times New Roman" w:cs="Times New Roman"/>
          <w:b/>
          <w:sz w:val="21"/>
          <w:szCs w:val="21"/>
        </w:rPr>
        <w:t xml:space="preserve"> </w:t>
      </w:r>
      <w:r>
        <w:rPr>
          <w:rFonts w:ascii="Times New Roman" w:hAnsi="Times New Roman" w:cs="Times New Roman"/>
          <w:sz w:val="21"/>
          <w:szCs w:val="21"/>
        </w:rPr>
        <w:t>封育方式应符合下列规定：</w:t>
      </w:r>
    </w:p>
    <w:p w14:paraId="09E28D86">
      <w:pPr>
        <w:spacing w:line="360" w:lineRule="auto"/>
        <w:ind w:firstLine="413" w:firstLineChars="196"/>
        <w:jc w:val="left"/>
        <w:rPr>
          <w:rFonts w:ascii="Times New Roman" w:hAnsi="Times New Roman" w:cs="Times New Roman"/>
          <w:sz w:val="21"/>
          <w:szCs w:val="21"/>
        </w:rPr>
      </w:pPr>
      <w:r>
        <w:rPr>
          <w:rFonts w:ascii="Times New Roman" w:hAnsi="Times New Roman" w:eastAsia="黑体" w:cs="Times New Roman"/>
          <w:b/>
          <w:sz w:val="21"/>
        </w:rPr>
        <w:t xml:space="preserve">1 </w:t>
      </w:r>
      <w:r>
        <w:rPr>
          <w:rFonts w:ascii="Times New Roman" w:hAnsi="Times New Roman" w:cs="Times New Roman"/>
          <w:sz w:val="21"/>
          <w:szCs w:val="21"/>
        </w:rPr>
        <w:t xml:space="preserve"> 应依据项目区水土流失情况、原有植被状况及当地群众生产生活实际，确定封育方式为全封、半封或轮封。</w:t>
      </w:r>
    </w:p>
    <w:p w14:paraId="7CD930D9">
      <w:pPr>
        <w:spacing w:line="360" w:lineRule="auto"/>
        <w:ind w:firstLine="413" w:firstLineChars="196"/>
        <w:jc w:val="left"/>
        <w:rPr>
          <w:rFonts w:ascii="Times New Roman" w:hAnsi="Times New Roman" w:cs="Times New Roman"/>
          <w:sz w:val="21"/>
          <w:szCs w:val="21"/>
        </w:rPr>
      </w:pPr>
      <w:r>
        <w:rPr>
          <w:rFonts w:ascii="Times New Roman" w:hAnsi="Times New Roman" w:eastAsia="黑体" w:cs="Times New Roman"/>
          <w:b/>
          <w:sz w:val="21"/>
        </w:rPr>
        <w:t xml:space="preserve">2 </w:t>
      </w:r>
      <w:r>
        <w:rPr>
          <w:rFonts w:ascii="Times New Roman" w:hAnsi="Times New Roman" w:cs="Times New Roman"/>
          <w:sz w:val="21"/>
          <w:szCs w:val="21"/>
        </w:rPr>
        <w:t xml:space="preserve"> 应依据项目区立地条件，选择适宜的封育类型，封育类型分为乔木型、乔灌型、灌木型、灌草型、竹林型。</w:t>
      </w:r>
    </w:p>
    <w:p w14:paraId="08DC555C">
      <w:pPr>
        <w:spacing w:line="360" w:lineRule="auto"/>
        <w:jc w:val="left"/>
        <w:rPr>
          <w:rFonts w:ascii="Times New Roman" w:hAnsi="Times New Roman" w:cs="Times New Roman"/>
          <w:sz w:val="21"/>
        </w:rPr>
      </w:pPr>
      <w:r>
        <w:rPr>
          <w:rFonts w:ascii="Times New Roman" w:hAnsi="Times New Roman" w:eastAsia="黑体" w:cs="Times New Roman"/>
          <w:b/>
          <w:sz w:val="21"/>
        </w:rPr>
        <w:t>4</w:t>
      </w:r>
      <w:r>
        <w:rPr>
          <w:rFonts w:ascii="Times New Roman" w:hAnsi="Times New Roman" w:cs="Times New Roman"/>
          <w:b/>
          <w:sz w:val="21"/>
        </w:rPr>
        <w:t>.</w:t>
      </w:r>
      <w:r>
        <w:rPr>
          <w:rFonts w:ascii="Times New Roman" w:hAnsi="Times New Roman" w:eastAsia="黑体" w:cs="Times New Roman"/>
          <w:b/>
          <w:sz w:val="21"/>
        </w:rPr>
        <w:t>15</w:t>
      </w:r>
      <w:r>
        <w:rPr>
          <w:rFonts w:ascii="Times New Roman" w:hAnsi="Times New Roman" w:cs="Times New Roman"/>
          <w:b/>
          <w:sz w:val="21"/>
        </w:rPr>
        <w:t>.</w:t>
      </w:r>
      <w:r>
        <w:rPr>
          <w:rFonts w:ascii="Times New Roman" w:hAnsi="Times New Roman" w:eastAsia="黑体" w:cs="Times New Roman"/>
          <w:b/>
          <w:sz w:val="21"/>
        </w:rPr>
        <w:t>4</w:t>
      </w:r>
      <w:r>
        <w:rPr>
          <w:rFonts w:ascii="Times New Roman" w:hAnsi="Times New Roman" w:cs="Times New Roman"/>
          <w:sz w:val="21"/>
        </w:rPr>
        <w:t xml:space="preserve">  封育规划设计应包括下列规定：</w:t>
      </w:r>
    </w:p>
    <w:p w14:paraId="252CC0F2">
      <w:pPr>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 xml:space="preserve">1 </w:t>
      </w:r>
      <w:r>
        <w:rPr>
          <w:rFonts w:ascii="Times New Roman" w:hAnsi="Times New Roman" w:cs="Times New Roman"/>
          <w:b/>
          <w:sz w:val="21"/>
        </w:rPr>
        <w:t xml:space="preserve"> </w:t>
      </w:r>
      <w:r>
        <w:rPr>
          <w:rFonts w:ascii="Times New Roman" w:hAnsi="Times New Roman" w:cs="Times New Roman"/>
          <w:sz w:val="21"/>
        </w:rPr>
        <w:t>封山（沙）育林作业应以封育区为单位，设计内容应包括封育区范围及概况、封育类型、封育方式、封育年限、封育组织和封育责任人、封育作业措施、投资概算、封育效益及相关附表、附图。</w:t>
      </w:r>
    </w:p>
    <w:p w14:paraId="0264EB48">
      <w:pPr>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2</w:t>
      </w:r>
      <w:r>
        <w:rPr>
          <w:rFonts w:ascii="Times New Roman" w:hAnsi="Times New Roman" w:cs="Times New Roman"/>
          <w:sz w:val="21"/>
        </w:rPr>
        <w:t xml:space="preserve">  封育年限设计标准应根据封育类型按表4.15.4规定执行。</w:t>
      </w:r>
    </w:p>
    <w:p w14:paraId="41653E73">
      <w:pPr>
        <w:jc w:val="center"/>
        <w:rPr>
          <w:rFonts w:ascii="Times New Roman" w:hAnsi="Times New Roman" w:eastAsia="黑体" w:cs="Times New Roman"/>
          <w:sz w:val="21"/>
        </w:rPr>
      </w:pPr>
      <w:r>
        <w:rPr>
          <w:rFonts w:ascii="Times New Roman" w:hAnsi="Times New Roman" w:eastAsia="黑体" w:cs="Times New Roman"/>
          <w:sz w:val="18"/>
          <w:szCs w:val="18"/>
        </w:rPr>
        <w:t>表4</w:t>
      </w:r>
      <w:r>
        <w:rPr>
          <w:rFonts w:ascii="Times New Roman" w:hAnsi="Times New Roman" w:cs="Times New Roman"/>
          <w:sz w:val="18"/>
          <w:szCs w:val="18"/>
        </w:rPr>
        <w:t>.</w:t>
      </w:r>
      <w:r>
        <w:rPr>
          <w:rFonts w:ascii="Times New Roman" w:hAnsi="Times New Roman" w:eastAsia="黑体" w:cs="Times New Roman"/>
          <w:sz w:val="18"/>
          <w:szCs w:val="18"/>
        </w:rPr>
        <w:t>15</w:t>
      </w:r>
      <w:r>
        <w:rPr>
          <w:rFonts w:ascii="Times New Roman" w:hAnsi="Times New Roman" w:cs="Times New Roman"/>
          <w:sz w:val="18"/>
          <w:szCs w:val="18"/>
        </w:rPr>
        <w:t>.</w:t>
      </w:r>
      <w:r>
        <w:rPr>
          <w:rFonts w:ascii="Times New Roman" w:hAnsi="Times New Roman" w:eastAsia="黑体" w:cs="Times New Roman"/>
          <w:sz w:val="18"/>
          <w:szCs w:val="18"/>
        </w:rPr>
        <w:t xml:space="preserve">4 </w:t>
      </w:r>
      <w:r>
        <w:rPr>
          <w:rFonts w:hint="eastAsia" w:ascii="Times New Roman" w:hAnsi="Times New Roman" w:eastAsia="黑体" w:cs="Times New Roman"/>
          <w:sz w:val="18"/>
          <w:szCs w:val="18"/>
        </w:rPr>
        <w:t xml:space="preserve"> </w:t>
      </w:r>
      <w:r>
        <w:rPr>
          <w:rFonts w:ascii="Times New Roman" w:hAnsi="Times New Roman" w:eastAsia="黑体" w:cs="Times New Roman"/>
          <w:sz w:val="18"/>
          <w:szCs w:val="18"/>
        </w:rPr>
        <w:t>封育年限设计标准</w:t>
      </w:r>
    </w:p>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66"/>
        <w:gridCol w:w="2067"/>
        <w:gridCol w:w="2069"/>
        <w:gridCol w:w="2074"/>
      </w:tblGrid>
      <w:tr w14:paraId="1BB3A0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 w:hRule="atLeast"/>
          <w:jc w:val="center"/>
        </w:trPr>
        <w:tc>
          <w:tcPr>
            <w:tcW w:w="2497" w:type="pct"/>
            <w:gridSpan w:val="2"/>
            <w:vMerge w:val="restart"/>
            <w:vAlign w:val="center"/>
          </w:tcPr>
          <w:p w14:paraId="4822052C">
            <w:pPr>
              <w:snapToGrid w:val="0"/>
              <w:jc w:val="center"/>
              <w:rPr>
                <w:rFonts w:ascii="Times New Roman" w:hAnsi="Times New Roman" w:cs="Times New Roman"/>
                <w:sz w:val="15"/>
                <w:szCs w:val="15"/>
              </w:rPr>
            </w:pPr>
            <w:r>
              <w:rPr>
                <w:rFonts w:ascii="Times New Roman" w:hAnsi="Times New Roman" w:cs="Times New Roman"/>
                <w:sz w:val="15"/>
                <w:szCs w:val="15"/>
              </w:rPr>
              <w:t>封育类型</w:t>
            </w:r>
          </w:p>
        </w:tc>
        <w:tc>
          <w:tcPr>
            <w:tcW w:w="2503" w:type="pct"/>
            <w:gridSpan w:val="2"/>
            <w:vAlign w:val="center"/>
          </w:tcPr>
          <w:p w14:paraId="74EDCB94">
            <w:pPr>
              <w:snapToGrid w:val="0"/>
              <w:jc w:val="center"/>
              <w:rPr>
                <w:rFonts w:ascii="Times New Roman" w:hAnsi="Times New Roman" w:cs="Times New Roman"/>
                <w:sz w:val="15"/>
                <w:szCs w:val="15"/>
              </w:rPr>
            </w:pPr>
            <w:r>
              <w:rPr>
                <w:rFonts w:ascii="Times New Roman" w:hAnsi="Times New Roman" w:cs="Times New Roman"/>
                <w:sz w:val="15"/>
                <w:szCs w:val="15"/>
              </w:rPr>
              <w:t>封育年限（a）</w:t>
            </w:r>
          </w:p>
        </w:tc>
      </w:tr>
      <w:tr w14:paraId="3298AD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2497" w:type="pct"/>
            <w:gridSpan w:val="2"/>
            <w:vMerge w:val="continue"/>
            <w:vAlign w:val="center"/>
          </w:tcPr>
          <w:p w14:paraId="0345DB7F">
            <w:pPr>
              <w:keepNext/>
              <w:keepLines/>
              <w:snapToGrid w:val="0"/>
              <w:spacing w:before="340" w:after="330"/>
              <w:jc w:val="center"/>
              <w:rPr>
                <w:rFonts w:ascii="Times New Roman" w:hAnsi="Times New Roman" w:cs="Times New Roman"/>
                <w:sz w:val="15"/>
                <w:szCs w:val="15"/>
              </w:rPr>
            </w:pPr>
          </w:p>
        </w:tc>
        <w:tc>
          <w:tcPr>
            <w:tcW w:w="1250" w:type="pct"/>
            <w:vAlign w:val="center"/>
          </w:tcPr>
          <w:p w14:paraId="622CACD4">
            <w:pPr>
              <w:snapToGrid w:val="0"/>
              <w:jc w:val="center"/>
              <w:rPr>
                <w:rFonts w:ascii="Times New Roman" w:hAnsi="Times New Roman" w:cs="Times New Roman"/>
                <w:sz w:val="15"/>
                <w:szCs w:val="15"/>
              </w:rPr>
            </w:pPr>
            <w:r>
              <w:rPr>
                <w:rFonts w:ascii="Times New Roman" w:hAnsi="Times New Roman" w:cs="Times New Roman"/>
                <w:sz w:val="15"/>
                <w:szCs w:val="15"/>
              </w:rPr>
              <w:t>南方</w:t>
            </w:r>
          </w:p>
        </w:tc>
        <w:tc>
          <w:tcPr>
            <w:tcW w:w="1253" w:type="pct"/>
            <w:vAlign w:val="center"/>
          </w:tcPr>
          <w:p w14:paraId="4E4E6F1B">
            <w:pPr>
              <w:snapToGrid w:val="0"/>
              <w:jc w:val="center"/>
              <w:rPr>
                <w:rFonts w:ascii="Times New Roman" w:hAnsi="Times New Roman" w:cs="Times New Roman"/>
                <w:sz w:val="15"/>
                <w:szCs w:val="15"/>
              </w:rPr>
            </w:pPr>
            <w:r>
              <w:rPr>
                <w:rFonts w:ascii="Times New Roman" w:hAnsi="Times New Roman" w:cs="Times New Roman"/>
                <w:sz w:val="15"/>
                <w:szCs w:val="15"/>
              </w:rPr>
              <w:t>北方</w:t>
            </w:r>
          </w:p>
        </w:tc>
      </w:tr>
      <w:tr w14:paraId="0129EA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1248" w:type="pct"/>
            <w:vMerge w:val="restart"/>
            <w:vAlign w:val="center"/>
          </w:tcPr>
          <w:p w14:paraId="36111CE8">
            <w:pPr>
              <w:snapToGrid w:val="0"/>
              <w:jc w:val="center"/>
              <w:rPr>
                <w:rFonts w:ascii="Times New Roman" w:hAnsi="Times New Roman" w:cs="Times New Roman"/>
                <w:sz w:val="15"/>
                <w:szCs w:val="15"/>
              </w:rPr>
            </w:pPr>
            <w:r>
              <w:rPr>
                <w:rFonts w:ascii="Times New Roman" w:hAnsi="Times New Roman" w:cs="Times New Roman"/>
                <w:sz w:val="15"/>
                <w:szCs w:val="15"/>
              </w:rPr>
              <w:t>无林地和疏林地封育</w:t>
            </w:r>
          </w:p>
        </w:tc>
        <w:tc>
          <w:tcPr>
            <w:tcW w:w="1248" w:type="pct"/>
            <w:vAlign w:val="center"/>
          </w:tcPr>
          <w:p w14:paraId="43A07148">
            <w:pPr>
              <w:snapToGrid w:val="0"/>
              <w:jc w:val="center"/>
              <w:rPr>
                <w:rFonts w:ascii="Times New Roman" w:hAnsi="Times New Roman" w:cs="Times New Roman"/>
                <w:sz w:val="15"/>
                <w:szCs w:val="15"/>
              </w:rPr>
            </w:pPr>
            <w:r>
              <w:rPr>
                <w:rFonts w:ascii="Times New Roman" w:hAnsi="Times New Roman" w:cs="Times New Roman"/>
                <w:sz w:val="15"/>
                <w:szCs w:val="15"/>
              </w:rPr>
              <w:t>乔木型</w:t>
            </w:r>
          </w:p>
        </w:tc>
        <w:tc>
          <w:tcPr>
            <w:tcW w:w="1250" w:type="pct"/>
            <w:vAlign w:val="center"/>
          </w:tcPr>
          <w:p w14:paraId="108548AC">
            <w:pPr>
              <w:snapToGrid w:val="0"/>
              <w:jc w:val="center"/>
              <w:rPr>
                <w:rFonts w:ascii="Times New Roman" w:hAnsi="Times New Roman" w:cs="Times New Roman"/>
                <w:sz w:val="15"/>
                <w:szCs w:val="15"/>
              </w:rPr>
            </w:pPr>
            <w:r>
              <w:rPr>
                <w:rFonts w:ascii="Times New Roman" w:hAnsi="Times New Roman" w:cs="Times New Roman"/>
                <w:sz w:val="15"/>
                <w:szCs w:val="15"/>
              </w:rPr>
              <w:t>6～8</w:t>
            </w:r>
          </w:p>
        </w:tc>
        <w:tc>
          <w:tcPr>
            <w:tcW w:w="1253" w:type="pct"/>
            <w:vAlign w:val="center"/>
          </w:tcPr>
          <w:p w14:paraId="7AF6CE28">
            <w:pPr>
              <w:snapToGrid w:val="0"/>
              <w:jc w:val="center"/>
              <w:rPr>
                <w:rFonts w:ascii="Times New Roman" w:hAnsi="Times New Roman" w:cs="Times New Roman"/>
                <w:sz w:val="15"/>
                <w:szCs w:val="15"/>
              </w:rPr>
            </w:pPr>
            <w:r>
              <w:rPr>
                <w:rFonts w:ascii="Times New Roman" w:hAnsi="Times New Roman" w:cs="Times New Roman"/>
                <w:sz w:val="15"/>
                <w:szCs w:val="15"/>
              </w:rPr>
              <w:t>8～10</w:t>
            </w:r>
          </w:p>
        </w:tc>
      </w:tr>
      <w:tr w14:paraId="32394D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248" w:type="pct"/>
            <w:vMerge w:val="continue"/>
            <w:vAlign w:val="center"/>
          </w:tcPr>
          <w:p w14:paraId="1AADD8E2">
            <w:pPr>
              <w:keepNext/>
              <w:keepLines/>
              <w:snapToGrid w:val="0"/>
              <w:spacing w:before="340" w:after="330"/>
              <w:jc w:val="center"/>
              <w:rPr>
                <w:rFonts w:ascii="Times New Roman" w:hAnsi="Times New Roman" w:cs="Times New Roman"/>
                <w:sz w:val="15"/>
                <w:szCs w:val="15"/>
              </w:rPr>
            </w:pPr>
          </w:p>
        </w:tc>
        <w:tc>
          <w:tcPr>
            <w:tcW w:w="1248" w:type="pct"/>
            <w:vAlign w:val="center"/>
          </w:tcPr>
          <w:p w14:paraId="6CFC4DF9">
            <w:pPr>
              <w:snapToGrid w:val="0"/>
              <w:jc w:val="center"/>
              <w:rPr>
                <w:rFonts w:ascii="Times New Roman" w:hAnsi="Times New Roman" w:cs="Times New Roman"/>
                <w:sz w:val="15"/>
                <w:szCs w:val="15"/>
              </w:rPr>
            </w:pPr>
            <w:r>
              <w:rPr>
                <w:rFonts w:ascii="Times New Roman" w:hAnsi="Times New Roman" w:cs="Times New Roman"/>
                <w:sz w:val="15"/>
                <w:szCs w:val="15"/>
              </w:rPr>
              <w:t>乔灌型</w:t>
            </w:r>
          </w:p>
        </w:tc>
        <w:tc>
          <w:tcPr>
            <w:tcW w:w="1250" w:type="pct"/>
            <w:vAlign w:val="center"/>
          </w:tcPr>
          <w:p w14:paraId="6240341B">
            <w:pPr>
              <w:snapToGrid w:val="0"/>
              <w:jc w:val="center"/>
              <w:rPr>
                <w:rFonts w:ascii="Times New Roman" w:hAnsi="Times New Roman" w:cs="Times New Roman"/>
                <w:sz w:val="15"/>
                <w:szCs w:val="15"/>
              </w:rPr>
            </w:pPr>
            <w:r>
              <w:rPr>
                <w:rFonts w:ascii="Times New Roman" w:hAnsi="Times New Roman" w:cs="Times New Roman"/>
                <w:sz w:val="15"/>
                <w:szCs w:val="15"/>
              </w:rPr>
              <w:t>5～7</w:t>
            </w:r>
          </w:p>
        </w:tc>
        <w:tc>
          <w:tcPr>
            <w:tcW w:w="1253" w:type="pct"/>
            <w:vAlign w:val="center"/>
          </w:tcPr>
          <w:p w14:paraId="180BB7C2">
            <w:pPr>
              <w:snapToGrid w:val="0"/>
              <w:jc w:val="center"/>
              <w:rPr>
                <w:rFonts w:ascii="Times New Roman" w:hAnsi="Times New Roman" w:cs="Times New Roman"/>
                <w:sz w:val="15"/>
                <w:szCs w:val="15"/>
              </w:rPr>
            </w:pPr>
            <w:r>
              <w:rPr>
                <w:rFonts w:ascii="Times New Roman" w:hAnsi="Times New Roman" w:cs="Times New Roman"/>
                <w:sz w:val="15"/>
                <w:szCs w:val="15"/>
              </w:rPr>
              <w:t>6～8</w:t>
            </w:r>
          </w:p>
        </w:tc>
      </w:tr>
      <w:tr w14:paraId="042B52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248" w:type="pct"/>
            <w:vMerge w:val="continue"/>
            <w:vAlign w:val="center"/>
          </w:tcPr>
          <w:p w14:paraId="514C7BC6">
            <w:pPr>
              <w:keepNext/>
              <w:keepLines/>
              <w:snapToGrid w:val="0"/>
              <w:spacing w:before="340" w:after="330"/>
              <w:jc w:val="center"/>
              <w:rPr>
                <w:rFonts w:ascii="Times New Roman" w:hAnsi="Times New Roman" w:cs="Times New Roman"/>
                <w:sz w:val="15"/>
                <w:szCs w:val="15"/>
              </w:rPr>
            </w:pPr>
          </w:p>
        </w:tc>
        <w:tc>
          <w:tcPr>
            <w:tcW w:w="1248" w:type="pct"/>
            <w:vAlign w:val="center"/>
          </w:tcPr>
          <w:p w14:paraId="68B7159D">
            <w:pPr>
              <w:snapToGrid w:val="0"/>
              <w:jc w:val="center"/>
              <w:rPr>
                <w:rFonts w:ascii="Times New Roman" w:hAnsi="Times New Roman" w:cs="Times New Roman"/>
                <w:sz w:val="15"/>
                <w:szCs w:val="15"/>
              </w:rPr>
            </w:pPr>
            <w:r>
              <w:rPr>
                <w:rFonts w:ascii="Times New Roman" w:hAnsi="Times New Roman" w:cs="Times New Roman"/>
                <w:sz w:val="15"/>
                <w:szCs w:val="15"/>
              </w:rPr>
              <w:t>灌木型</w:t>
            </w:r>
          </w:p>
        </w:tc>
        <w:tc>
          <w:tcPr>
            <w:tcW w:w="1250" w:type="pct"/>
            <w:vAlign w:val="center"/>
          </w:tcPr>
          <w:p w14:paraId="5D25864E">
            <w:pPr>
              <w:snapToGrid w:val="0"/>
              <w:jc w:val="center"/>
              <w:rPr>
                <w:rFonts w:ascii="Times New Roman" w:hAnsi="Times New Roman" w:cs="Times New Roman"/>
                <w:sz w:val="15"/>
                <w:szCs w:val="15"/>
              </w:rPr>
            </w:pPr>
            <w:r>
              <w:rPr>
                <w:rFonts w:ascii="Times New Roman" w:hAnsi="Times New Roman" w:cs="Times New Roman"/>
                <w:sz w:val="15"/>
                <w:szCs w:val="15"/>
              </w:rPr>
              <w:t>4～5</w:t>
            </w:r>
          </w:p>
        </w:tc>
        <w:tc>
          <w:tcPr>
            <w:tcW w:w="1253" w:type="pct"/>
            <w:vAlign w:val="center"/>
          </w:tcPr>
          <w:p w14:paraId="1CC2ABE9">
            <w:pPr>
              <w:snapToGrid w:val="0"/>
              <w:jc w:val="center"/>
              <w:rPr>
                <w:rFonts w:ascii="Times New Roman" w:hAnsi="Times New Roman" w:cs="Times New Roman"/>
                <w:sz w:val="15"/>
                <w:szCs w:val="15"/>
              </w:rPr>
            </w:pPr>
            <w:r>
              <w:rPr>
                <w:rFonts w:ascii="Times New Roman" w:hAnsi="Times New Roman" w:cs="Times New Roman"/>
                <w:sz w:val="15"/>
                <w:szCs w:val="15"/>
              </w:rPr>
              <w:t>5～6</w:t>
            </w:r>
          </w:p>
        </w:tc>
      </w:tr>
      <w:tr w14:paraId="76DDC3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248" w:type="pct"/>
            <w:vMerge w:val="continue"/>
            <w:vAlign w:val="center"/>
          </w:tcPr>
          <w:p w14:paraId="3C12E2CE">
            <w:pPr>
              <w:keepNext/>
              <w:keepLines/>
              <w:snapToGrid w:val="0"/>
              <w:spacing w:before="340" w:after="330"/>
              <w:jc w:val="center"/>
              <w:rPr>
                <w:rFonts w:ascii="Times New Roman" w:hAnsi="Times New Roman" w:cs="Times New Roman"/>
                <w:sz w:val="15"/>
                <w:szCs w:val="15"/>
              </w:rPr>
            </w:pPr>
          </w:p>
        </w:tc>
        <w:tc>
          <w:tcPr>
            <w:tcW w:w="1248" w:type="pct"/>
            <w:vAlign w:val="center"/>
          </w:tcPr>
          <w:p w14:paraId="76147602">
            <w:pPr>
              <w:snapToGrid w:val="0"/>
              <w:jc w:val="center"/>
              <w:rPr>
                <w:rFonts w:ascii="Times New Roman" w:hAnsi="Times New Roman" w:cs="Times New Roman"/>
                <w:sz w:val="15"/>
                <w:szCs w:val="15"/>
              </w:rPr>
            </w:pPr>
            <w:r>
              <w:rPr>
                <w:rFonts w:ascii="Times New Roman" w:hAnsi="Times New Roman" w:cs="Times New Roman"/>
                <w:sz w:val="15"/>
                <w:szCs w:val="15"/>
              </w:rPr>
              <w:t>灌草型</w:t>
            </w:r>
          </w:p>
        </w:tc>
        <w:tc>
          <w:tcPr>
            <w:tcW w:w="1250" w:type="pct"/>
            <w:vAlign w:val="center"/>
          </w:tcPr>
          <w:p w14:paraId="26637BF2">
            <w:pPr>
              <w:snapToGrid w:val="0"/>
              <w:jc w:val="center"/>
              <w:rPr>
                <w:rFonts w:ascii="Times New Roman" w:hAnsi="Times New Roman" w:cs="Times New Roman"/>
                <w:sz w:val="15"/>
                <w:szCs w:val="15"/>
              </w:rPr>
            </w:pPr>
            <w:r>
              <w:rPr>
                <w:rFonts w:ascii="Times New Roman" w:hAnsi="Times New Roman" w:cs="Times New Roman"/>
                <w:sz w:val="15"/>
                <w:szCs w:val="15"/>
              </w:rPr>
              <w:t>2～4</w:t>
            </w:r>
          </w:p>
        </w:tc>
        <w:tc>
          <w:tcPr>
            <w:tcW w:w="1253" w:type="pct"/>
            <w:vAlign w:val="center"/>
          </w:tcPr>
          <w:p w14:paraId="5D4562DE">
            <w:pPr>
              <w:snapToGrid w:val="0"/>
              <w:jc w:val="center"/>
              <w:rPr>
                <w:rFonts w:ascii="Times New Roman" w:hAnsi="Times New Roman" w:cs="Times New Roman"/>
                <w:sz w:val="15"/>
                <w:szCs w:val="15"/>
              </w:rPr>
            </w:pPr>
            <w:r>
              <w:rPr>
                <w:rFonts w:ascii="Times New Roman" w:hAnsi="Times New Roman" w:cs="Times New Roman"/>
                <w:sz w:val="15"/>
                <w:szCs w:val="15"/>
              </w:rPr>
              <w:t>4～6</w:t>
            </w:r>
          </w:p>
        </w:tc>
      </w:tr>
      <w:tr w14:paraId="05EAAA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1248" w:type="pct"/>
            <w:vMerge w:val="continue"/>
            <w:vAlign w:val="center"/>
          </w:tcPr>
          <w:p w14:paraId="0C795F67">
            <w:pPr>
              <w:keepNext/>
              <w:keepLines/>
              <w:snapToGrid w:val="0"/>
              <w:spacing w:before="340" w:after="330"/>
              <w:jc w:val="center"/>
              <w:rPr>
                <w:rFonts w:ascii="Times New Roman" w:hAnsi="Times New Roman" w:cs="Times New Roman"/>
                <w:sz w:val="15"/>
                <w:szCs w:val="15"/>
              </w:rPr>
            </w:pPr>
          </w:p>
        </w:tc>
        <w:tc>
          <w:tcPr>
            <w:tcW w:w="1248" w:type="pct"/>
            <w:vAlign w:val="center"/>
          </w:tcPr>
          <w:p w14:paraId="32E4A30C">
            <w:pPr>
              <w:snapToGrid w:val="0"/>
              <w:jc w:val="center"/>
              <w:rPr>
                <w:rFonts w:ascii="Times New Roman" w:hAnsi="Times New Roman" w:cs="Times New Roman"/>
                <w:sz w:val="15"/>
                <w:szCs w:val="15"/>
              </w:rPr>
            </w:pPr>
            <w:r>
              <w:rPr>
                <w:rFonts w:ascii="Times New Roman" w:hAnsi="Times New Roman" w:cs="Times New Roman"/>
                <w:sz w:val="15"/>
                <w:szCs w:val="15"/>
              </w:rPr>
              <w:t>竹林型</w:t>
            </w:r>
          </w:p>
        </w:tc>
        <w:tc>
          <w:tcPr>
            <w:tcW w:w="1250" w:type="pct"/>
            <w:vAlign w:val="center"/>
          </w:tcPr>
          <w:p w14:paraId="7A4A4A0F">
            <w:pPr>
              <w:snapToGrid w:val="0"/>
              <w:jc w:val="center"/>
              <w:rPr>
                <w:rFonts w:ascii="Times New Roman" w:hAnsi="Times New Roman" w:cs="Times New Roman"/>
                <w:sz w:val="15"/>
                <w:szCs w:val="15"/>
              </w:rPr>
            </w:pPr>
            <w:r>
              <w:rPr>
                <w:rFonts w:ascii="Times New Roman" w:hAnsi="Times New Roman" w:cs="Times New Roman"/>
                <w:sz w:val="15"/>
                <w:szCs w:val="15"/>
              </w:rPr>
              <w:t>4～5</w:t>
            </w:r>
          </w:p>
        </w:tc>
        <w:tc>
          <w:tcPr>
            <w:tcW w:w="1253" w:type="pct"/>
            <w:vAlign w:val="center"/>
          </w:tcPr>
          <w:p w14:paraId="089F649E">
            <w:pPr>
              <w:snapToGrid w:val="0"/>
              <w:jc w:val="center"/>
              <w:rPr>
                <w:rFonts w:ascii="Times New Roman" w:hAnsi="Times New Roman" w:cs="Times New Roman"/>
                <w:sz w:val="15"/>
                <w:szCs w:val="15"/>
              </w:rPr>
            </w:pPr>
            <w:r>
              <w:rPr>
                <w:rFonts w:ascii="Times New Roman" w:hAnsi="Times New Roman" w:cs="Times New Roman"/>
                <w:sz w:val="15"/>
                <w:szCs w:val="15"/>
              </w:rPr>
              <w:t>——</w:t>
            </w:r>
          </w:p>
        </w:tc>
      </w:tr>
      <w:tr w14:paraId="19AB9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2497" w:type="pct"/>
            <w:gridSpan w:val="2"/>
            <w:vAlign w:val="center"/>
          </w:tcPr>
          <w:p w14:paraId="7B4515CA">
            <w:pPr>
              <w:snapToGrid w:val="0"/>
              <w:jc w:val="center"/>
              <w:rPr>
                <w:rFonts w:ascii="Times New Roman" w:hAnsi="Times New Roman" w:cs="Times New Roman"/>
                <w:sz w:val="15"/>
                <w:szCs w:val="15"/>
              </w:rPr>
            </w:pPr>
            <w:r>
              <w:rPr>
                <w:rFonts w:ascii="Times New Roman" w:hAnsi="Times New Roman" w:cs="Times New Roman"/>
                <w:sz w:val="15"/>
                <w:szCs w:val="15"/>
              </w:rPr>
              <w:t>有林地和灌木林地封育</w:t>
            </w:r>
          </w:p>
        </w:tc>
        <w:tc>
          <w:tcPr>
            <w:tcW w:w="1250" w:type="pct"/>
            <w:vAlign w:val="center"/>
          </w:tcPr>
          <w:p w14:paraId="1048C66E">
            <w:pPr>
              <w:snapToGrid w:val="0"/>
              <w:jc w:val="center"/>
              <w:rPr>
                <w:rFonts w:ascii="Times New Roman" w:hAnsi="Times New Roman" w:cs="Times New Roman"/>
                <w:sz w:val="15"/>
                <w:szCs w:val="15"/>
              </w:rPr>
            </w:pPr>
            <w:r>
              <w:rPr>
                <w:rFonts w:ascii="Times New Roman" w:hAnsi="Times New Roman" w:cs="Times New Roman"/>
                <w:sz w:val="15"/>
                <w:szCs w:val="15"/>
              </w:rPr>
              <w:t>3～5</w:t>
            </w:r>
          </w:p>
        </w:tc>
        <w:tc>
          <w:tcPr>
            <w:tcW w:w="1253" w:type="pct"/>
            <w:vAlign w:val="center"/>
          </w:tcPr>
          <w:p w14:paraId="735D515A">
            <w:pPr>
              <w:snapToGrid w:val="0"/>
              <w:jc w:val="center"/>
              <w:rPr>
                <w:rFonts w:ascii="Times New Roman" w:hAnsi="Times New Roman" w:cs="Times New Roman"/>
                <w:sz w:val="15"/>
                <w:szCs w:val="15"/>
              </w:rPr>
            </w:pPr>
            <w:r>
              <w:rPr>
                <w:rFonts w:ascii="Times New Roman" w:hAnsi="Times New Roman" w:cs="Times New Roman"/>
                <w:sz w:val="15"/>
                <w:szCs w:val="15"/>
              </w:rPr>
              <w:t>4～7</w:t>
            </w:r>
          </w:p>
        </w:tc>
      </w:tr>
    </w:tbl>
    <w:p w14:paraId="21229E75">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Ⅲ 配套设施</w:t>
      </w:r>
    </w:p>
    <w:p w14:paraId="1A2CF4FC">
      <w:pPr>
        <w:spacing w:line="360" w:lineRule="auto"/>
        <w:jc w:val="left"/>
        <w:rPr>
          <w:rFonts w:ascii="Times New Roman" w:hAnsi="Times New Roman" w:cs="Times New Roman"/>
          <w:sz w:val="21"/>
        </w:rPr>
      </w:pPr>
      <w:r>
        <w:rPr>
          <w:rFonts w:ascii="Times New Roman" w:hAnsi="Times New Roman" w:eastAsia="黑体" w:cs="Times New Roman"/>
          <w:b/>
          <w:sz w:val="21"/>
        </w:rPr>
        <w:t>4</w:t>
      </w:r>
      <w:r>
        <w:rPr>
          <w:rFonts w:ascii="Times New Roman" w:hAnsi="Times New Roman" w:cs="Times New Roman"/>
          <w:b/>
          <w:sz w:val="21"/>
        </w:rPr>
        <w:t>.</w:t>
      </w:r>
      <w:r>
        <w:rPr>
          <w:rFonts w:ascii="Times New Roman" w:hAnsi="Times New Roman" w:eastAsia="黑体" w:cs="Times New Roman"/>
          <w:b/>
          <w:sz w:val="21"/>
        </w:rPr>
        <w:t>15</w:t>
      </w:r>
      <w:r>
        <w:rPr>
          <w:rFonts w:ascii="Times New Roman" w:hAnsi="Times New Roman" w:cs="Times New Roman"/>
          <w:b/>
          <w:sz w:val="21"/>
        </w:rPr>
        <w:t>.</w:t>
      </w:r>
      <w:r>
        <w:rPr>
          <w:rFonts w:ascii="Times New Roman" w:hAnsi="Times New Roman" w:eastAsia="黑体" w:cs="Times New Roman"/>
          <w:b/>
          <w:sz w:val="21"/>
        </w:rPr>
        <w:t>5</w:t>
      </w:r>
      <w:r>
        <w:rPr>
          <w:rFonts w:ascii="Times New Roman" w:hAnsi="Times New Roman" w:cs="Times New Roman"/>
          <w:b/>
          <w:sz w:val="21"/>
        </w:rPr>
        <w:t xml:space="preserve"> </w:t>
      </w:r>
      <w:r>
        <w:rPr>
          <w:rFonts w:ascii="Times New Roman" w:hAnsi="Times New Roman" w:cs="Times New Roman"/>
          <w:sz w:val="21"/>
        </w:rPr>
        <w:t xml:space="preserve"> 在封育区域应设置警示标志。封育面积100hm</w:t>
      </w:r>
      <w:r>
        <w:rPr>
          <w:rFonts w:ascii="Times New Roman" w:hAnsi="Times New Roman" w:cs="Times New Roman"/>
          <w:sz w:val="21"/>
          <w:vertAlign w:val="superscript"/>
        </w:rPr>
        <w:t>2</w:t>
      </w:r>
      <w:r>
        <w:rPr>
          <w:rFonts w:ascii="Times New Roman" w:hAnsi="Times New Roman" w:cs="Times New Roman"/>
          <w:sz w:val="21"/>
        </w:rPr>
        <w:t>以上的，最少应设立1块固定标牌，人烟稀少的区域可相对减少。</w:t>
      </w:r>
    </w:p>
    <w:p w14:paraId="0FB294D2">
      <w:pPr>
        <w:spacing w:line="360" w:lineRule="auto"/>
        <w:jc w:val="left"/>
        <w:rPr>
          <w:rFonts w:ascii="Times New Roman" w:hAnsi="Times New Roman" w:cs="Times New Roman"/>
          <w:sz w:val="21"/>
        </w:rPr>
      </w:pPr>
      <w:r>
        <w:rPr>
          <w:rFonts w:ascii="Times New Roman" w:hAnsi="Times New Roman" w:eastAsia="黑体" w:cs="Times New Roman"/>
          <w:b/>
          <w:sz w:val="21"/>
        </w:rPr>
        <w:t>4</w:t>
      </w:r>
      <w:r>
        <w:rPr>
          <w:rFonts w:ascii="Times New Roman" w:hAnsi="Times New Roman" w:cs="Times New Roman"/>
          <w:b/>
          <w:sz w:val="21"/>
        </w:rPr>
        <w:t>.</w:t>
      </w:r>
      <w:r>
        <w:rPr>
          <w:rFonts w:ascii="Times New Roman" w:hAnsi="Times New Roman" w:eastAsia="黑体" w:cs="Times New Roman"/>
          <w:b/>
          <w:sz w:val="21"/>
        </w:rPr>
        <w:t>15</w:t>
      </w:r>
      <w:r>
        <w:rPr>
          <w:rFonts w:ascii="Times New Roman" w:hAnsi="Times New Roman" w:cs="Times New Roman"/>
          <w:b/>
          <w:sz w:val="21"/>
        </w:rPr>
        <w:t>.</w:t>
      </w:r>
      <w:r>
        <w:rPr>
          <w:rFonts w:ascii="Times New Roman" w:hAnsi="Times New Roman" w:eastAsia="黑体" w:cs="Times New Roman"/>
          <w:b/>
          <w:sz w:val="21"/>
        </w:rPr>
        <w:t xml:space="preserve">6 </w:t>
      </w:r>
      <w:r>
        <w:rPr>
          <w:rFonts w:ascii="Times New Roman" w:hAnsi="Times New Roman" w:cs="Times New Roman"/>
          <w:sz w:val="21"/>
        </w:rPr>
        <w:t xml:space="preserve"> 管护人员应根据封禁范围和人、畜危害程度设置，每个管护人员管护面积宜为100hm</w:t>
      </w:r>
      <w:r>
        <w:rPr>
          <w:rFonts w:ascii="Times New Roman" w:hAnsi="Times New Roman" w:cs="Times New Roman"/>
          <w:sz w:val="21"/>
          <w:vertAlign w:val="superscript"/>
        </w:rPr>
        <w:t>2</w:t>
      </w:r>
      <w:r>
        <w:rPr>
          <w:rFonts w:ascii="Times New Roman" w:hAnsi="Times New Roman" w:cs="Times New Roman"/>
          <w:sz w:val="21"/>
        </w:rPr>
        <w:t>～300hm</w:t>
      </w:r>
      <w:r>
        <w:rPr>
          <w:rFonts w:ascii="Times New Roman" w:hAnsi="Times New Roman" w:cs="Times New Roman"/>
          <w:sz w:val="21"/>
          <w:vertAlign w:val="superscript"/>
        </w:rPr>
        <w:t>2</w:t>
      </w:r>
      <w:r>
        <w:rPr>
          <w:rFonts w:ascii="Times New Roman" w:hAnsi="Times New Roman" w:cs="Times New Roman"/>
          <w:sz w:val="21"/>
        </w:rPr>
        <w:t>。</w:t>
      </w:r>
    </w:p>
    <w:p w14:paraId="448C0ADA">
      <w:pPr>
        <w:spacing w:line="360" w:lineRule="auto"/>
        <w:jc w:val="left"/>
        <w:rPr>
          <w:rFonts w:ascii="Times New Roman" w:hAnsi="Times New Roman" w:cs="Times New Roman"/>
          <w:sz w:val="21"/>
        </w:rPr>
      </w:pPr>
      <w:r>
        <w:rPr>
          <w:rFonts w:ascii="Times New Roman" w:hAnsi="Times New Roman" w:eastAsia="黑体" w:cs="Times New Roman"/>
          <w:b/>
          <w:sz w:val="21"/>
        </w:rPr>
        <w:t>4</w:t>
      </w:r>
      <w:r>
        <w:rPr>
          <w:rFonts w:ascii="Times New Roman" w:hAnsi="Times New Roman" w:cs="Times New Roman"/>
          <w:b/>
          <w:sz w:val="21"/>
        </w:rPr>
        <w:t>.</w:t>
      </w:r>
      <w:r>
        <w:rPr>
          <w:rFonts w:ascii="Times New Roman" w:hAnsi="Times New Roman" w:eastAsia="黑体" w:cs="Times New Roman"/>
          <w:b/>
          <w:sz w:val="21"/>
        </w:rPr>
        <w:t>15</w:t>
      </w:r>
      <w:r>
        <w:rPr>
          <w:rFonts w:ascii="Times New Roman" w:hAnsi="Times New Roman" w:cs="Times New Roman"/>
          <w:b/>
          <w:sz w:val="21"/>
        </w:rPr>
        <w:t>.</w:t>
      </w:r>
      <w:r>
        <w:rPr>
          <w:rFonts w:ascii="Times New Roman" w:hAnsi="Times New Roman" w:eastAsia="黑体" w:cs="Times New Roman"/>
          <w:b/>
          <w:sz w:val="21"/>
        </w:rPr>
        <w:t xml:space="preserve">7 </w:t>
      </w:r>
      <w:r>
        <w:rPr>
          <w:rFonts w:ascii="Times New Roman" w:hAnsi="Times New Roman" w:cs="Times New Roman"/>
          <w:sz w:val="21"/>
        </w:rPr>
        <w:t xml:space="preserve"> 在牲畜活动频繁地区应设置围栏及界桩。封育区无明显边界或无区分标志物时，可设置界桩以示界线。</w:t>
      </w:r>
    </w:p>
    <w:p w14:paraId="050FDCBD">
      <w:pPr>
        <w:spacing w:line="360" w:lineRule="auto"/>
        <w:jc w:val="left"/>
        <w:rPr>
          <w:rFonts w:ascii="Times New Roman" w:hAnsi="Times New Roman" w:cs="Times New Roman"/>
          <w:sz w:val="21"/>
        </w:rPr>
      </w:pPr>
      <w:r>
        <w:rPr>
          <w:rFonts w:ascii="Times New Roman" w:hAnsi="Times New Roman" w:eastAsia="黑体" w:cs="Times New Roman"/>
          <w:b/>
          <w:sz w:val="21"/>
        </w:rPr>
        <w:t>4</w:t>
      </w:r>
      <w:r>
        <w:rPr>
          <w:rFonts w:ascii="Times New Roman" w:hAnsi="Times New Roman" w:cs="Times New Roman"/>
          <w:b/>
          <w:sz w:val="21"/>
        </w:rPr>
        <w:t>.</w:t>
      </w:r>
      <w:r>
        <w:rPr>
          <w:rFonts w:ascii="Times New Roman" w:hAnsi="Times New Roman" w:eastAsia="黑体" w:cs="Times New Roman"/>
          <w:b/>
          <w:sz w:val="21"/>
        </w:rPr>
        <w:t>15</w:t>
      </w:r>
      <w:r>
        <w:rPr>
          <w:rFonts w:ascii="Times New Roman" w:hAnsi="Times New Roman" w:cs="Times New Roman"/>
          <w:b/>
          <w:sz w:val="21"/>
        </w:rPr>
        <w:t>.</w:t>
      </w:r>
      <w:r>
        <w:rPr>
          <w:rFonts w:ascii="Times New Roman" w:hAnsi="Times New Roman" w:eastAsia="黑体" w:cs="Times New Roman"/>
          <w:b/>
          <w:sz w:val="21"/>
        </w:rPr>
        <w:t>8</w:t>
      </w:r>
      <w:r>
        <w:rPr>
          <w:rFonts w:ascii="Times New Roman" w:hAnsi="Times New Roman" w:cs="Times New Roman"/>
          <w:b/>
          <w:sz w:val="21"/>
        </w:rPr>
        <w:t xml:space="preserve"> </w:t>
      </w:r>
      <w:r>
        <w:rPr>
          <w:rFonts w:ascii="Times New Roman" w:hAnsi="Times New Roman" w:cs="Times New Roman"/>
          <w:sz w:val="21"/>
        </w:rPr>
        <w:t xml:space="preserve"> 以烧柴为主要燃料来源的封育区域，应配置节柴灶和沼气池等。</w:t>
      </w:r>
    </w:p>
    <w:p w14:paraId="0ECCFA7B">
      <w:pPr>
        <w:snapToGrid w:val="0"/>
        <w:spacing w:line="360" w:lineRule="auto"/>
        <w:rPr>
          <w:rFonts w:ascii="Times New Roman" w:hAnsi="Times New Roman" w:cs="Times New Roman"/>
          <w:sz w:val="21"/>
        </w:rPr>
        <w:sectPr>
          <w:footerReference r:id="rId11" w:type="default"/>
          <w:pgSz w:w="11906" w:h="16838"/>
          <w:pgMar w:top="1440" w:right="1800" w:bottom="1440" w:left="1800" w:header="851" w:footer="992" w:gutter="0"/>
          <w:cols w:space="425" w:num="1"/>
          <w:docGrid w:type="lines" w:linePitch="312" w:charSpace="0"/>
        </w:sectPr>
      </w:pPr>
      <w:r>
        <w:rPr>
          <w:rFonts w:ascii="Times New Roman" w:hAnsi="Times New Roman" w:eastAsia="黑体" w:cs="Times New Roman"/>
          <w:b/>
          <w:sz w:val="21"/>
        </w:rPr>
        <w:t>4</w:t>
      </w:r>
      <w:r>
        <w:rPr>
          <w:rFonts w:ascii="Times New Roman" w:hAnsi="Times New Roman" w:cs="Times New Roman"/>
          <w:b/>
          <w:sz w:val="21"/>
        </w:rPr>
        <w:t>.</w:t>
      </w:r>
      <w:r>
        <w:rPr>
          <w:rFonts w:ascii="Times New Roman" w:hAnsi="Times New Roman" w:eastAsia="黑体" w:cs="Times New Roman"/>
          <w:b/>
          <w:sz w:val="21"/>
        </w:rPr>
        <w:t>15</w:t>
      </w:r>
      <w:r>
        <w:rPr>
          <w:rFonts w:ascii="Times New Roman" w:hAnsi="Times New Roman" w:cs="Times New Roman"/>
          <w:b/>
          <w:sz w:val="21"/>
        </w:rPr>
        <w:t>.</w:t>
      </w:r>
      <w:r>
        <w:rPr>
          <w:rFonts w:ascii="Times New Roman" w:hAnsi="Times New Roman" w:eastAsia="黑体" w:cs="Times New Roman"/>
          <w:b/>
          <w:sz w:val="21"/>
        </w:rPr>
        <w:t>9</w:t>
      </w:r>
      <w:r>
        <w:rPr>
          <w:rFonts w:ascii="Times New Roman" w:hAnsi="Times New Roman" w:cs="Times New Roman"/>
          <w:b/>
          <w:sz w:val="21"/>
        </w:rPr>
        <w:t xml:space="preserve"> </w:t>
      </w:r>
      <w:r>
        <w:rPr>
          <w:rFonts w:ascii="Times New Roman" w:hAnsi="Times New Roman" w:cs="Times New Roman"/>
          <w:sz w:val="21"/>
        </w:rPr>
        <w:t xml:space="preserve"> 在牧区封育时应对牲畜进行舍饲圈养。</w:t>
      </w:r>
    </w:p>
    <w:p w14:paraId="38F985FF">
      <w:pPr>
        <w:keepNext/>
        <w:keepLines/>
        <w:spacing w:before="260" w:after="260" w:line="578" w:lineRule="auto"/>
        <w:jc w:val="center"/>
        <w:outlineLvl w:val="0"/>
        <w:rPr>
          <w:rFonts w:ascii="Times New Roman" w:hAnsi="Times New Roman" w:eastAsia="黑体" w:cs="Times New Roman"/>
          <w:bCs/>
          <w:kern w:val="44"/>
          <w:sz w:val="32"/>
          <w:szCs w:val="44"/>
        </w:rPr>
      </w:pPr>
      <w:bookmarkStart w:id="492" w:name="_Toc8866"/>
      <w:bookmarkStart w:id="493" w:name="_Toc24766"/>
      <w:r>
        <w:rPr>
          <w:rFonts w:ascii="Times New Roman" w:hAnsi="Times New Roman" w:eastAsia="黑体" w:cs="Times New Roman"/>
          <w:bCs/>
          <w:kern w:val="44"/>
          <w:sz w:val="32"/>
          <w:szCs w:val="44"/>
        </w:rPr>
        <w:t>5 生产建设项目水土保持工程</w:t>
      </w:r>
      <w:bookmarkEnd w:id="492"/>
      <w:bookmarkEnd w:id="493"/>
    </w:p>
    <w:p w14:paraId="372DE03B">
      <w:pPr>
        <w:keepNext/>
        <w:keepLines/>
        <w:spacing w:before="260" w:after="260" w:line="416" w:lineRule="auto"/>
        <w:jc w:val="center"/>
        <w:outlineLvl w:val="1"/>
        <w:rPr>
          <w:rFonts w:ascii="Times New Roman" w:hAnsi="Times New Roman" w:eastAsia="黑体" w:cs="Times New Roman"/>
          <w:bCs/>
          <w:sz w:val="30"/>
          <w:szCs w:val="32"/>
        </w:rPr>
      </w:pPr>
      <w:bookmarkStart w:id="494" w:name="_Toc5958"/>
      <w:bookmarkStart w:id="495" w:name="_Toc19982"/>
      <w:r>
        <w:rPr>
          <w:rFonts w:ascii="Times New Roman" w:hAnsi="Times New Roman" w:eastAsia="黑体" w:cs="Times New Roman"/>
          <w:bCs/>
          <w:sz w:val="30"/>
          <w:szCs w:val="32"/>
        </w:rPr>
        <w:t>5</w:t>
      </w:r>
      <w:r>
        <w:rPr>
          <w:rFonts w:ascii="Times New Roman" w:hAnsi="Times New Roman" w:cs="Times New Roman"/>
          <w:bCs/>
          <w:sz w:val="30"/>
          <w:szCs w:val="32"/>
        </w:rPr>
        <w:t>.</w:t>
      </w:r>
      <w:r>
        <w:rPr>
          <w:rFonts w:ascii="Times New Roman" w:hAnsi="Times New Roman" w:eastAsia="黑体" w:cs="Times New Roman"/>
          <w:bCs/>
          <w:sz w:val="30"/>
          <w:szCs w:val="32"/>
        </w:rPr>
        <w:t>1 工程级别与设计标准</w:t>
      </w:r>
      <w:bookmarkEnd w:id="494"/>
      <w:bookmarkEnd w:id="495"/>
    </w:p>
    <w:p w14:paraId="41CBA0A0">
      <w:pPr>
        <w:keepNext/>
        <w:keepLines/>
        <w:spacing w:before="260" w:after="260" w:line="415"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Ⅰ </w:t>
      </w:r>
      <w:r>
        <w:rPr>
          <w:rFonts w:ascii="Times New Roman" w:hAnsi="Times New Roman" w:eastAsia="黑体" w:cs="Times New Roman"/>
          <w:bCs/>
          <w:sz w:val="24"/>
          <w:szCs w:val="24"/>
        </w:rPr>
        <w:t>弃渣场</w:t>
      </w:r>
    </w:p>
    <w:p w14:paraId="094423D3">
      <w:pPr>
        <w:spacing w:line="360" w:lineRule="auto"/>
        <w:jc w:val="left"/>
        <w:rPr>
          <w:rFonts w:ascii="Times New Roman" w:hAnsi="Times New Roman" w:cs="Times New Roman"/>
          <w:sz w:val="21"/>
          <w:szCs w:val="24"/>
        </w:rPr>
      </w:pPr>
      <w:r>
        <w:rPr>
          <w:rFonts w:ascii="Times New Roman" w:hAnsi="Times New Roman" w:cs="Times New Roman"/>
          <w:b/>
          <w:sz w:val="21"/>
        </w:rPr>
        <w:t>5.1.1</w:t>
      </w:r>
      <w:r>
        <w:rPr>
          <w:rFonts w:ascii="Times New Roman" w:hAnsi="Times New Roman" w:cs="Times New Roman"/>
          <w:sz w:val="21"/>
        </w:rPr>
        <w:t xml:space="preserve"> </w:t>
      </w:r>
      <w:r>
        <w:rPr>
          <w:rFonts w:hint="eastAsia" w:ascii="Times New Roman" w:hAnsi="Times New Roman" w:cs="Times New Roman"/>
          <w:sz w:val="21"/>
        </w:rPr>
        <w:t xml:space="preserve"> </w:t>
      </w:r>
      <w:r>
        <w:rPr>
          <w:rFonts w:ascii="Times New Roman" w:hAnsi="Times New Roman" w:cs="Times New Roman"/>
          <w:sz w:val="21"/>
          <w:szCs w:val="24"/>
        </w:rPr>
        <w:t>弃渣场级别应根据堆渣量、最大堆渣高度、以及弃渣场失事后对主体工程或环境造成的危害程度，并应按表5.1.1-1的规定确定。</w:t>
      </w:r>
    </w:p>
    <w:p w14:paraId="719141FD">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1-1  弃渣场级别</w:t>
      </w:r>
    </w:p>
    <w:tbl>
      <w:tblPr>
        <w:tblStyle w:val="10"/>
        <w:tblW w:w="4937" w:type="pct"/>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73"/>
        <w:gridCol w:w="2496"/>
        <w:gridCol w:w="2162"/>
        <w:gridCol w:w="2041"/>
      </w:tblGrid>
      <w:tr w14:paraId="077D23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901" w:type="pct"/>
            <w:tcBorders>
              <w:top w:val="single" w:color="auto" w:sz="12" w:space="0"/>
              <w:left w:val="single" w:color="auto" w:sz="12" w:space="0"/>
              <w:bottom w:val="single" w:color="auto" w:sz="4" w:space="0"/>
              <w:right w:val="single" w:color="auto" w:sz="4" w:space="0"/>
            </w:tcBorders>
            <w:vAlign w:val="center"/>
          </w:tcPr>
          <w:p w14:paraId="06448F4D">
            <w:pPr>
              <w:jc w:val="center"/>
              <w:rPr>
                <w:rFonts w:ascii="Times New Roman" w:hAnsi="Times New Roman" w:cs="Times New Roman"/>
                <w:kern w:val="0"/>
                <w:sz w:val="15"/>
                <w:szCs w:val="15"/>
              </w:rPr>
            </w:pPr>
            <w:r>
              <w:rPr>
                <w:rFonts w:ascii="Times New Roman" w:hAnsi="Times New Roman" w:cs="Times New Roman"/>
                <w:kern w:val="0"/>
                <w:sz w:val="15"/>
                <w:szCs w:val="15"/>
              </w:rPr>
              <w:t>渣场级别</w:t>
            </w:r>
          </w:p>
        </w:tc>
        <w:tc>
          <w:tcPr>
            <w:tcW w:w="1527" w:type="pct"/>
            <w:tcBorders>
              <w:top w:val="single" w:color="auto" w:sz="12" w:space="0"/>
              <w:left w:val="single" w:color="auto" w:sz="4" w:space="0"/>
              <w:bottom w:val="single" w:color="auto" w:sz="4" w:space="0"/>
              <w:right w:val="single" w:color="auto" w:sz="4" w:space="0"/>
            </w:tcBorders>
            <w:vAlign w:val="center"/>
          </w:tcPr>
          <w:p w14:paraId="3F66715A">
            <w:pPr>
              <w:jc w:val="center"/>
              <w:rPr>
                <w:rFonts w:ascii="Times New Roman" w:hAnsi="Times New Roman" w:cs="Times New Roman"/>
                <w:kern w:val="0"/>
                <w:sz w:val="15"/>
                <w:szCs w:val="15"/>
              </w:rPr>
            </w:pPr>
            <w:r>
              <w:rPr>
                <w:rFonts w:ascii="Times New Roman" w:hAnsi="Times New Roman" w:cs="Times New Roman"/>
                <w:kern w:val="0"/>
                <w:sz w:val="15"/>
                <w:szCs w:val="15"/>
              </w:rPr>
              <w:t>堆渣量</w:t>
            </w:r>
            <w:r>
              <w:rPr>
                <w:rFonts w:ascii="Times New Roman" w:hAnsi="Times New Roman" w:cs="Times New Roman"/>
                <w:i/>
                <w:kern w:val="0"/>
                <w:sz w:val="15"/>
                <w:szCs w:val="15"/>
              </w:rPr>
              <w:t>V</w:t>
            </w:r>
            <w:r>
              <w:rPr>
                <w:rFonts w:ascii="Times New Roman" w:hAnsi="Times New Roman" w:cs="Times New Roman"/>
                <w:kern w:val="0"/>
                <w:sz w:val="15"/>
                <w:szCs w:val="15"/>
              </w:rPr>
              <w:t>（万m</w:t>
            </w:r>
            <w:r>
              <w:rPr>
                <w:rFonts w:ascii="Times New Roman" w:hAnsi="Times New Roman" w:cs="Times New Roman"/>
                <w:kern w:val="0"/>
                <w:sz w:val="15"/>
                <w:szCs w:val="15"/>
                <w:vertAlign w:val="superscript"/>
              </w:rPr>
              <w:t>3</w:t>
            </w:r>
            <w:r>
              <w:rPr>
                <w:rFonts w:ascii="Times New Roman" w:hAnsi="Times New Roman" w:cs="Times New Roman"/>
                <w:kern w:val="0"/>
                <w:sz w:val="15"/>
                <w:szCs w:val="15"/>
              </w:rPr>
              <w:t>）</w:t>
            </w:r>
          </w:p>
        </w:tc>
        <w:tc>
          <w:tcPr>
            <w:tcW w:w="1323" w:type="pct"/>
            <w:tcBorders>
              <w:top w:val="single" w:color="auto" w:sz="12" w:space="0"/>
              <w:left w:val="single" w:color="auto" w:sz="4" w:space="0"/>
              <w:bottom w:val="single" w:color="auto" w:sz="4" w:space="0"/>
              <w:right w:val="single" w:color="auto" w:sz="4" w:space="0"/>
            </w:tcBorders>
            <w:vAlign w:val="center"/>
          </w:tcPr>
          <w:p w14:paraId="154E8473">
            <w:pPr>
              <w:jc w:val="center"/>
              <w:rPr>
                <w:rFonts w:ascii="Times New Roman" w:hAnsi="Times New Roman" w:cs="Times New Roman"/>
                <w:kern w:val="0"/>
                <w:sz w:val="15"/>
                <w:szCs w:val="15"/>
              </w:rPr>
            </w:pPr>
            <w:r>
              <w:rPr>
                <w:rFonts w:ascii="Times New Roman" w:hAnsi="Times New Roman" w:cs="Times New Roman"/>
                <w:kern w:val="0"/>
                <w:sz w:val="15"/>
                <w:szCs w:val="15"/>
              </w:rPr>
              <w:t>最大堆渣高度</w:t>
            </w:r>
            <w:r>
              <w:rPr>
                <w:rFonts w:ascii="Times New Roman" w:hAnsi="Times New Roman" w:cs="Times New Roman"/>
                <w:i/>
                <w:kern w:val="0"/>
                <w:sz w:val="15"/>
                <w:szCs w:val="15"/>
              </w:rPr>
              <w:t>H</w:t>
            </w:r>
            <w:r>
              <w:rPr>
                <w:rFonts w:ascii="Times New Roman" w:hAnsi="Times New Roman" w:cs="Times New Roman"/>
                <w:kern w:val="0"/>
                <w:sz w:val="15"/>
                <w:szCs w:val="15"/>
              </w:rPr>
              <w:t>（m）</w:t>
            </w:r>
          </w:p>
        </w:tc>
        <w:tc>
          <w:tcPr>
            <w:tcW w:w="1249" w:type="pct"/>
            <w:tcBorders>
              <w:top w:val="single" w:color="auto" w:sz="12" w:space="0"/>
              <w:left w:val="single" w:color="auto" w:sz="4" w:space="0"/>
              <w:bottom w:val="single" w:color="auto" w:sz="4" w:space="0"/>
              <w:right w:val="single" w:color="auto" w:sz="12" w:space="0"/>
            </w:tcBorders>
            <w:vAlign w:val="center"/>
          </w:tcPr>
          <w:p w14:paraId="592A6833">
            <w:pPr>
              <w:jc w:val="center"/>
              <w:rPr>
                <w:rFonts w:ascii="Times New Roman" w:hAnsi="Times New Roman" w:cs="Times New Roman"/>
                <w:kern w:val="0"/>
                <w:sz w:val="15"/>
                <w:szCs w:val="15"/>
              </w:rPr>
            </w:pPr>
            <w:r>
              <w:rPr>
                <w:rFonts w:ascii="Times New Roman" w:hAnsi="Times New Roman" w:cs="Times New Roman"/>
                <w:kern w:val="0"/>
                <w:sz w:val="15"/>
                <w:szCs w:val="15"/>
              </w:rPr>
              <w:t>渣场失事对主体工程或环境造成的危害程度</w:t>
            </w:r>
          </w:p>
        </w:tc>
      </w:tr>
      <w:tr w14:paraId="7FBDEB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01" w:type="pct"/>
            <w:tcBorders>
              <w:top w:val="single" w:color="auto" w:sz="4" w:space="0"/>
              <w:left w:val="single" w:color="auto" w:sz="12" w:space="0"/>
              <w:bottom w:val="single" w:color="auto" w:sz="4" w:space="0"/>
              <w:right w:val="single" w:color="auto" w:sz="4" w:space="0"/>
            </w:tcBorders>
            <w:vAlign w:val="center"/>
          </w:tcPr>
          <w:p w14:paraId="19752B88">
            <w:pPr>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527" w:type="pct"/>
            <w:tcBorders>
              <w:top w:val="single" w:color="auto" w:sz="4" w:space="0"/>
              <w:left w:val="single" w:color="auto" w:sz="4" w:space="0"/>
              <w:bottom w:val="single" w:color="auto" w:sz="4" w:space="0"/>
              <w:right w:val="single" w:color="auto" w:sz="4" w:space="0"/>
            </w:tcBorders>
            <w:vAlign w:val="center"/>
          </w:tcPr>
          <w:p w14:paraId="0F1FC565">
            <w:pPr>
              <w:jc w:val="center"/>
              <w:rPr>
                <w:rFonts w:ascii="Times New Roman" w:hAnsi="Times New Roman" w:cs="Times New Roman"/>
                <w:kern w:val="0"/>
                <w:sz w:val="15"/>
                <w:szCs w:val="15"/>
              </w:rPr>
            </w:pPr>
            <w:r>
              <w:rPr>
                <w:rFonts w:ascii="Times New Roman" w:hAnsi="Times New Roman" w:cs="Times New Roman"/>
                <w:i/>
                <w:kern w:val="0"/>
                <w:sz w:val="15"/>
                <w:szCs w:val="15"/>
              </w:rPr>
              <w:t>V</w:t>
            </w:r>
            <w:r>
              <w:rPr>
                <w:rFonts w:ascii="Times New Roman" w:hAnsi="Times New Roman" w:cs="Times New Roman"/>
                <w:kern w:val="0"/>
                <w:sz w:val="15"/>
                <w:szCs w:val="15"/>
              </w:rPr>
              <w:t>≥1000</w:t>
            </w:r>
          </w:p>
        </w:tc>
        <w:tc>
          <w:tcPr>
            <w:tcW w:w="1323" w:type="pct"/>
            <w:tcBorders>
              <w:top w:val="single" w:color="auto" w:sz="4" w:space="0"/>
              <w:left w:val="single" w:color="auto" w:sz="4" w:space="0"/>
              <w:bottom w:val="single" w:color="auto" w:sz="4" w:space="0"/>
              <w:right w:val="single" w:color="auto" w:sz="4" w:space="0"/>
            </w:tcBorders>
            <w:vAlign w:val="center"/>
          </w:tcPr>
          <w:p w14:paraId="1F344F71">
            <w:pPr>
              <w:jc w:val="center"/>
              <w:rPr>
                <w:rFonts w:ascii="Times New Roman" w:hAnsi="Times New Roman" w:cs="Times New Roman"/>
                <w:kern w:val="0"/>
                <w:sz w:val="15"/>
                <w:szCs w:val="15"/>
              </w:rPr>
            </w:pPr>
            <w:r>
              <w:rPr>
                <w:rFonts w:ascii="Times New Roman" w:hAnsi="Times New Roman" w:cs="Times New Roman"/>
                <w:i/>
                <w:kern w:val="0"/>
                <w:sz w:val="15"/>
                <w:szCs w:val="15"/>
              </w:rPr>
              <w:t>H</w:t>
            </w:r>
            <w:r>
              <w:rPr>
                <w:rFonts w:ascii="Times New Roman" w:hAnsi="Times New Roman" w:cs="Times New Roman"/>
                <w:kern w:val="0"/>
                <w:sz w:val="15"/>
                <w:szCs w:val="15"/>
              </w:rPr>
              <w:t>≥150</w:t>
            </w:r>
          </w:p>
        </w:tc>
        <w:tc>
          <w:tcPr>
            <w:tcW w:w="1249" w:type="pct"/>
            <w:tcBorders>
              <w:top w:val="single" w:color="auto" w:sz="4" w:space="0"/>
              <w:left w:val="single" w:color="auto" w:sz="4" w:space="0"/>
              <w:bottom w:val="single" w:color="auto" w:sz="4" w:space="0"/>
              <w:right w:val="single" w:color="auto" w:sz="12" w:space="0"/>
            </w:tcBorders>
            <w:vAlign w:val="center"/>
          </w:tcPr>
          <w:p w14:paraId="27AA2F60">
            <w:pPr>
              <w:jc w:val="center"/>
              <w:rPr>
                <w:rFonts w:ascii="Times New Roman" w:hAnsi="Times New Roman" w:cs="Times New Roman"/>
                <w:kern w:val="0"/>
                <w:sz w:val="15"/>
                <w:szCs w:val="15"/>
              </w:rPr>
            </w:pPr>
            <w:r>
              <w:rPr>
                <w:rFonts w:ascii="Times New Roman" w:hAnsi="Times New Roman" w:cs="Times New Roman"/>
                <w:kern w:val="0"/>
                <w:sz w:val="15"/>
                <w:szCs w:val="15"/>
              </w:rPr>
              <w:t>严重</w:t>
            </w:r>
          </w:p>
        </w:tc>
      </w:tr>
      <w:tr w14:paraId="6810C8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01" w:type="pct"/>
            <w:tcBorders>
              <w:top w:val="single" w:color="auto" w:sz="4" w:space="0"/>
              <w:left w:val="single" w:color="auto" w:sz="12" w:space="0"/>
              <w:bottom w:val="single" w:color="auto" w:sz="4" w:space="0"/>
              <w:right w:val="single" w:color="auto" w:sz="4" w:space="0"/>
            </w:tcBorders>
            <w:vAlign w:val="center"/>
          </w:tcPr>
          <w:p w14:paraId="6E901D38">
            <w:pPr>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527" w:type="pct"/>
            <w:tcBorders>
              <w:top w:val="single" w:color="auto" w:sz="4" w:space="0"/>
              <w:left w:val="single" w:color="auto" w:sz="4" w:space="0"/>
              <w:bottom w:val="single" w:color="auto" w:sz="4" w:space="0"/>
              <w:right w:val="single" w:color="auto" w:sz="4" w:space="0"/>
            </w:tcBorders>
            <w:vAlign w:val="center"/>
          </w:tcPr>
          <w:p w14:paraId="6E3DED3E">
            <w:pPr>
              <w:jc w:val="center"/>
              <w:rPr>
                <w:rFonts w:ascii="Times New Roman" w:hAnsi="Times New Roman" w:cs="Times New Roman"/>
                <w:kern w:val="0"/>
                <w:sz w:val="15"/>
                <w:szCs w:val="15"/>
              </w:rPr>
            </w:pPr>
            <w:r>
              <w:rPr>
                <w:rFonts w:ascii="Times New Roman" w:hAnsi="Times New Roman" w:cs="Times New Roman"/>
                <w:kern w:val="0"/>
                <w:sz w:val="15"/>
                <w:szCs w:val="15"/>
              </w:rPr>
              <w:t>1000＞</w:t>
            </w:r>
            <w:r>
              <w:rPr>
                <w:rFonts w:ascii="Times New Roman" w:hAnsi="Times New Roman" w:cs="Times New Roman"/>
                <w:i/>
                <w:kern w:val="0"/>
                <w:sz w:val="15"/>
                <w:szCs w:val="15"/>
              </w:rPr>
              <w:t>V</w:t>
            </w:r>
            <w:r>
              <w:rPr>
                <w:rFonts w:ascii="Times New Roman" w:hAnsi="Times New Roman" w:cs="Times New Roman"/>
                <w:kern w:val="0"/>
                <w:sz w:val="15"/>
                <w:szCs w:val="15"/>
              </w:rPr>
              <w:t>≥500</w:t>
            </w:r>
          </w:p>
        </w:tc>
        <w:tc>
          <w:tcPr>
            <w:tcW w:w="1323" w:type="pct"/>
            <w:tcBorders>
              <w:top w:val="single" w:color="auto" w:sz="4" w:space="0"/>
              <w:left w:val="single" w:color="auto" w:sz="4" w:space="0"/>
              <w:bottom w:val="single" w:color="auto" w:sz="4" w:space="0"/>
              <w:right w:val="single" w:color="auto" w:sz="4" w:space="0"/>
            </w:tcBorders>
            <w:vAlign w:val="center"/>
          </w:tcPr>
          <w:p w14:paraId="39730520">
            <w:pPr>
              <w:jc w:val="center"/>
              <w:rPr>
                <w:rFonts w:ascii="Times New Roman" w:hAnsi="Times New Roman" w:cs="Times New Roman"/>
                <w:kern w:val="0"/>
                <w:sz w:val="15"/>
                <w:szCs w:val="15"/>
              </w:rPr>
            </w:pPr>
            <w:r>
              <w:rPr>
                <w:rFonts w:ascii="Times New Roman" w:hAnsi="Times New Roman" w:cs="Times New Roman"/>
                <w:kern w:val="0"/>
                <w:sz w:val="15"/>
                <w:szCs w:val="15"/>
              </w:rPr>
              <w:t>150＞</w:t>
            </w:r>
            <w:r>
              <w:rPr>
                <w:rFonts w:ascii="Times New Roman" w:hAnsi="Times New Roman" w:cs="Times New Roman"/>
                <w:i/>
                <w:kern w:val="0"/>
                <w:sz w:val="15"/>
                <w:szCs w:val="15"/>
              </w:rPr>
              <w:t>H</w:t>
            </w:r>
            <w:r>
              <w:rPr>
                <w:rFonts w:ascii="Times New Roman" w:hAnsi="Times New Roman" w:cs="Times New Roman"/>
                <w:kern w:val="0"/>
                <w:sz w:val="15"/>
                <w:szCs w:val="15"/>
              </w:rPr>
              <w:t>≥100</w:t>
            </w:r>
          </w:p>
        </w:tc>
        <w:tc>
          <w:tcPr>
            <w:tcW w:w="1249" w:type="pct"/>
            <w:tcBorders>
              <w:top w:val="single" w:color="auto" w:sz="4" w:space="0"/>
              <w:left w:val="single" w:color="auto" w:sz="4" w:space="0"/>
              <w:bottom w:val="single" w:color="auto" w:sz="4" w:space="0"/>
              <w:right w:val="single" w:color="auto" w:sz="12" w:space="0"/>
            </w:tcBorders>
            <w:vAlign w:val="center"/>
          </w:tcPr>
          <w:p w14:paraId="3394989E">
            <w:pPr>
              <w:jc w:val="center"/>
              <w:rPr>
                <w:rFonts w:ascii="Times New Roman" w:hAnsi="Times New Roman" w:cs="Times New Roman"/>
                <w:kern w:val="0"/>
                <w:sz w:val="15"/>
                <w:szCs w:val="15"/>
              </w:rPr>
            </w:pPr>
            <w:r>
              <w:rPr>
                <w:rFonts w:ascii="Times New Roman" w:hAnsi="Times New Roman" w:cs="Times New Roman"/>
                <w:kern w:val="0"/>
                <w:sz w:val="15"/>
                <w:szCs w:val="15"/>
              </w:rPr>
              <w:t>较严重</w:t>
            </w:r>
          </w:p>
        </w:tc>
      </w:tr>
      <w:tr w14:paraId="5E5D06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01" w:type="pct"/>
            <w:tcBorders>
              <w:top w:val="single" w:color="auto" w:sz="4" w:space="0"/>
              <w:left w:val="single" w:color="auto" w:sz="12" w:space="0"/>
              <w:bottom w:val="single" w:color="auto" w:sz="4" w:space="0"/>
              <w:right w:val="single" w:color="auto" w:sz="4" w:space="0"/>
            </w:tcBorders>
            <w:vAlign w:val="center"/>
          </w:tcPr>
          <w:p w14:paraId="22C68C83">
            <w:pPr>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527" w:type="pct"/>
            <w:tcBorders>
              <w:top w:val="single" w:color="auto" w:sz="4" w:space="0"/>
              <w:left w:val="single" w:color="auto" w:sz="4" w:space="0"/>
              <w:bottom w:val="single" w:color="auto" w:sz="4" w:space="0"/>
              <w:right w:val="single" w:color="auto" w:sz="4" w:space="0"/>
            </w:tcBorders>
            <w:vAlign w:val="center"/>
          </w:tcPr>
          <w:p w14:paraId="47903C66">
            <w:pPr>
              <w:jc w:val="center"/>
              <w:rPr>
                <w:rFonts w:ascii="Times New Roman" w:hAnsi="Times New Roman" w:cs="Times New Roman"/>
                <w:kern w:val="0"/>
                <w:sz w:val="15"/>
                <w:szCs w:val="15"/>
              </w:rPr>
            </w:pPr>
            <w:r>
              <w:rPr>
                <w:rFonts w:ascii="Times New Roman" w:hAnsi="Times New Roman" w:cs="Times New Roman"/>
                <w:kern w:val="0"/>
                <w:sz w:val="15"/>
                <w:szCs w:val="15"/>
              </w:rPr>
              <w:t>500＞</w:t>
            </w:r>
            <w:r>
              <w:rPr>
                <w:rFonts w:ascii="Times New Roman" w:hAnsi="Times New Roman" w:cs="Times New Roman"/>
                <w:i/>
                <w:kern w:val="0"/>
                <w:sz w:val="15"/>
                <w:szCs w:val="15"/>
              </w:rPr>
              <w:t>V</w:t>
            </w:r>
            <w:r>
              <w:rPr>
                <w:rFonts w:ascii="Times New Roman" w:hAnsi="Times New Roman" w:cs="Times New Roman"/>
                <w:kern w:val="0"/>
                <w:sz w:val="15"/>
                <w:szCs w:val="15"/>
              </w:rPr>
              <w:t>≥100</w:t>
            </w:r>
          </w:p>
        </w:tc>
        <w:tc>
          <w:tcPr>
            <w:tcW w:w="1323" w:type="pct"/>
            <w:tcBorders>
              <w:top w:val="single" w:color="auto" w:sz="4" w:space="0"/>
              <w:left w:val="single" w:color="auto" w:sz="4" w:space="0"/>
              <w:bottom w:val="single" w:color="auto" w:sz="4" w:space="0"/>
              <w:right w:val="single" w:color="auto" w:sz="4" w:space="0"/>
            </w:tcBorders>
            <w:vAlign w:val="center"/>
          </w:tcPr>
          <w:p w14:paraId="5F2665AE">
            <w:pPr>
              <w:jc w:val="center"/>
              <w:rPr>
                <w:rFonts w:ascii="Times New Roman" w:hAnsi="Times New Roman" w:cs="Times New Roman"/>
                <w:kern w:val="0"/>
                <w:sz w:val="15"/>
                <w:szCs w:val="15"/>
              </w:rPr>
            </w:pPr>
            <w:r>
              <w:rPr>
                <w:rFonts w:ascii="Times New Roman" w:hAnsi="Times New Roman" w:cs="Times New Roman"/>
                <w:kern w:val="0"/>
                <w:sz w:val="15"/>
                <w:szCs w:val="15"/>
              </w:rPr>
              <w:t>100＞</w:t>
            </w:r>
            <w:r>
              <w:rPr>
                <w:rFonts w:ascii="Times New Roman" w:hAnsi="Times New Roman" w:cs="Times New Roman"/>
                <w:i/>
                <w:kern w:val="0"/>
                <w:sz w:val="15"/>
                <w:szCs w:val="15"/>
              </w:rPr>
              <w:t>H</w:t>
            </w:r>
            <w:r>
              <w:rPr>
                <w:rFonts w:ascii="Times New Roman" w:hAnsi="Times New Roman" w:cs="Times New Roman"/>
                <w:kern w:val="0"/>
                <w:sz w:val="15"/>
                <w:szCs w:val="15"/>
              </w:rPr>
              <w:t>≥60</w:t>
            </w:r>
          </w:p>
        </w:tc>
        <w:tc>
          <w:tcPr>
            <w:tcW w:w="1249" w:type="pct"/>
            <w:tcBorders>
              <w:top w:val="single" w:color="auto" w:sz="4" w:space="0"/>
              <w:left w:val="single" w:color="auto" w:sz="4" w:space="0"/>
              <w:bottom w:val="single" w:color="auto" w:sz="4" w:space="0"/>
              <w:right w:val="single" w:color="auto" w:sz="12" w:space="0"/>
            </w:tcBorders>
            <w:vAlign w:val="center"/>
          </w:tcPr>
          <w:p w14:paraId="368D2CD8">
            <w:pPr>
              <w:jc w:val="center"/>
              <w:rPr>
                <w:rFonts w:ascii="Times New Roman" w:hAnsi="Times New Roman" w:cs="Times New Roman"/>
                <w:kern w:val="0"/>
                <w:sz w:val="15"/>
                <w:szCs w:val="15"/>
              </w:rPr>
            </w:pPr>
            <w:r>
              <w:rPr>
                <w:rFonts w:ascii="Times New Roman" w:hAnsi="Times New Roman" w:cs="Times New Roman"/>
                <w:kern w:val="0"/>
                <w:sz w:val="15"/>
                <w:szCs w:val="15"/>
              </w:rPr>
              <w:t>中等严重</w:t>
            </w:r>
          </w:p>
        </w:tc>
      </w:tr>
      <w:tr w14:paraId="26425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01" w:type="pct"/>
            <w:tcBorders>
              <w:top w:val="single" w:color="auto" w:sz="4" w:space="0"/>
              <w:left w:val="single" w:color="auto" w:sz="12" w:space="0"/>
              <w:bottom w:val="single" w:color="auto" w:sz="4" w:space="0"/>
              <w:right w:val="single" w:color="auto" w:sz="4" w:space="0"/>
            </w:tcBorders>
            <w:vAlign w:val="center"/>
          </w:tcPr>
          <w:p w14:paraId="3CDC19DF">
            <w:pPr>
              <w:jc w:val="center"/>
              <w:rPr>
                <w:rFonts w:ascii="Times New Roman" w:hAnsi="Times New Roman" w:cs="Times New Roman"/>
                <w:kern w:val="0"/>
                <w:sz w:val="15"/>
                <w:szCs w:val="15"/>
              </w:rPr>
            </w:pPr>
            <w:r>
              <w:rPr>
                <w:rFonts w:ascii="Times New Roman" w:hAnsi="Times New Roman" w:cs="Times New Roman"/>
                <w:kern w:val="0"/>
                <w:sz w:val="15"/>
                <w:szCs w:val="15"/>
              </w:rPr>
              <w:t>4</w:t>
            </w:r>
          </w:p>
        </w:tc>
        <w:tc>
          <w:tcPr>
            <w:tcW w:w="1527" w:type="pct"/>
            <w:tcBorders>
              <w:top w:val="single" w:color="auto" w:sz="4" w:space="0"/>
              <w:left w:val="single" w:color="auto" w:sz="4" w:space="0"/>
              <w:bottom w:val="single" w:color="auto" w:sz="4" w:space="0"/>
              <w:right w:val="single" w:color="auto" w:sz="4" w:space="0"/>
            </w:tcBorders>
            <w:vAlign w:val="center"/>
          </w:tcPr>
          <w:p w14:paraId="08A83BF0">
            <w:pPr>
              <w:jc w:val="center"/>
              <w:rPr>
                <w:rFonts w:ascii="Times New Roman" w:hAnsi="Times New Roman" w:cs="Times New Roman"/>
                <w:kern w:val="0"/>
                <w:sz w:val="15"/>
                <w:szCs w:val="15"/>
              </w:rPr>
            </w:pPr>
            <w:r>
              <w:rPr>
                <w:rFonts w:ascii="Times New Roman" w:hAnsi="Times New Roman" w:cs="Times New Roman"/>
                <w:kern w:val="0"/>
                <w:sz w:val="15"/>
                <w:szCs w:val="15"/>
              </w:rPr>
              <w:t>100＞</w:t>
            </w:r>
            <w:r>
              <w:rPr>
                <w:rFonts w:ascii="Times New Roman" w:hAnsi="Times New Roman" w:cs="Times New Roman"/>
                <w:i/>
                <w:kern w:val="0"/>
                <w:sz w:val="15"/>
                <w:szCs w:val="15"/>
              </w:rPr>
              <w:t>V</w:t>
            </w:r>
            <w:r>
              <w:rPr>
                <w:rFonts w:ascii="Times New Roman" w:hAnsi="Times New Roman" w:cs="Times New Roman"/>
                <w:kern w:val="0"/>
                <w:sz w:val="15"/>
                <w:szCs w:val="15"/>
              </w:rPr>
              <w:t>≥50</w:t>
            </w:r>
          </w:p>
        </w:tc>
        <w:tc>
          <w:tcPr>
            <w:tcW w:w="1323" w:type="pct"/>
            <w:tcBorders>
              <w:top w:val="single" w:color="auto" w:sz="4" w:space="0"/>
              <w:left w:val="single" w:color="auto" w:sz="4" w:space="0"/>
              <w:bottom w:val="single" w:color="auto" w:sz="4" w:space="0"/>
              <w:right w:val="single" w:color="auto" w:sz="4" w:space="0"/>
            </w:tcBorders>
            <w:vAlign w:val="center"/>
          </w:tcPr>
          <w:p w14:paraId="4D1CC64C">
            <w:pPr>
              <w:jc w:val="center"/>
              <w:rPr>
                <w:rFonts w:ascii="Times New Roman" w:hAnsi="Times New Roman" w:cs="Times New Roman"/>
                <w:kern w:val="0"/>
                <w:sz w:val="15"/>
                <w:szCs w:val="15"/>
              </w:rPr>
            </w:pPr>
            <w:r>
              <w:rPr>
                <w:rFonts w:ascii="Times New Roman" w:hAnsi="Times New Roman" w:cs="Times New Roman"/>
                <w:kern w:val="0"/>
                <w:sz w:val="15"/>
                <w:szCs w:val="15"/>
              </w:rPr>
              <w:t>60＞</w:t>
            </w:r>
            <w:r>
              <w:rPr>
                <w:rFonts w:ascii="Times New Roman" w:hAnsi="Times New Roman" w:cs="Times New Roman"/>
                <w:i/>
                <w:kern w:val="0"/>
                <w:sz w:val="15"/>
                <w:szCs w:val="15"/>
              </w:rPr>
              <w:t>H</w:t>
            </w:r>
            <w:r>
              <w:rPr>
                <w:rFonts w:ascii="Times New Roman" w:hAnsi="Times New Roman" w:cs="Times New Roman"/>
                <w:kern w:val="0"/>
                <w:sz w:val="15"/>
                <w:szCs w:val="15"/>
              </w:rPr>
              <w:t>≥20</w:t>
            </w:r>
          </w:p>
        </w:tc>
        <w:tc>
          <w:tcPr>
            <w:tcW w:w="1249" w:type="pct"/>
            <w:tcBorders>
              <w:top w:val="single" w:color="auto" w:sz="4" w:space="0"/>
              <w:left w:val="single" w:color="auto" w:sz="4" w:space="0"/>
              <w:bottom w:val="single" w:color="auto" w:sz="4" w:space="0"/>
              <w:right w:val="single" w:color="auto" w:sz="12" w:space="0"/>
            </w:tcBorders>
            <w:vAlign w:val="center"/>
          </w:tcPr>
          <w:p w14:paraId="45B7662E">
            <w:pPr>
              <w:jc w:val="center"/>
              <w:rPr>
                <w:rFonts w:ascii="Times New Roman" w:hAnsi="Times New Roman" w:cs="Times New Roman"/>
                <w:kern w:val="0"/>
                <w:sz w:val="15"/>
                <w:szCs w:val="15"/>
              </w:rPr>
            </w:pPr>
            <w:r>
              <w:rPr>
                <w:rFonts w:ascii="Times New Roman" w:hAnsi="Times New Roman" w:cs="Times New Roman"/>
                <w:kern w:val="0"/>
                <w:sz w:val="15"/>
                <w:szCs w:val="15"/>
              </w:rPr>
              <w:t>较轻</w:t>
            </w:r>
          </w:p>
        </w:tc>
      </w:tr>
      <w:tr w14:paraId="097FE2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01" w:type="pct"/>
            <w:tcBorders>
              <w:top w:val="single" w:color="auto" w:sz="4" w:space="0"/>
              <w:left w:val="single" w:color="auto" w:sz="12" w:space="0"/>
              <w:bottom w:val="single" w:color="auto" w:sz="12" w:space="0"/>
              <w:right w:val="single" w:color="auto" w:sz="4" w:space="0"/>
            </w:tcBorders>
            <w:vAlign w:val="center"/>
          </w:tcPr>
          <w:p w14:paraId="4FE04F02">
            <w:pPr>
              <w:jc w:val="center"/>
              <w:rPr>
                <w:rFonts w:ascii="Times New Roman" w:hAnsi="Times New Roman" w:cs="Times New Roman"/>
                <w:kern w:val="0"/>
                <w:sz w:val="15"/>
                <w:szCs w:val="15"/>
              </w:rPr>
            </w:pPr>
            <w:r>
              <w:rPr>
                <w:rFonts w:ascii="Times New Roman" w:hAnsi="Times New Roman" w:cs="Times New Roman"/>
                <w:kern w:val="0"/>
                <w:sz w:val="15"/>
                <w:szCs w:val="15"/>
              </w:rPr>
              <w:t>5</w:t>
            </w:r>
          </w:p>
        </w:tc>
        <w:tc>
          <w:tcPr>
            <w:tcW w:w="1527" w:type="pct"/>
            <w:tcBorders>
              <w:top w:val="single" w:color="auto" w:sz="4" w:space="0"/>
              <w:left w:val="single" w:color="auto" w:sz="4" w:space="0"/>
              <w:bottom w:val="single" w:color="auto" w:sz="12" w:space="0"/>
              <w:right w:val="single" w:color="auto" w:sz="4" w:space="0"/>
            </w:tcBorders>
            <w:vAlign w:val="center"/>
          </w:tcPr>
          <w:p w14:paraId="1A40F8B4">
            <w:pPr>
              <w:jc w:val="center"/>
              <w:rPr>
                <w:rFonts w:ascii="Times New Roman" w:hAnsi="Times New Roman" w:cs="Times New Roman"/>
                <w:kern w:val="0"/>
                <w:sz w:val="15"/>
                <w:szCs w:val="15"/>
              </w:rPr>
            </w:pPr>
            <w:r>
              <w:rPr>
                <w:rFonts w:ascii="Times New Roman" w:hAnsi="Times New Roman" w:cs="Times New Roman"/>
                <w:i/>
                <w:kern w:val="0"/>
                <w:sz w:val="15"/>
                <w:szCs w:val="15"/>
              </w:rPr>
              <w:t>V</w:t>
            </w:r>
            <w:r>
              <w:rPr>
                <w:rFonts w:ascii="Times New Roman" w:hAnsi="Times New Roman" w:cs="Times New Roman"/>
                <w:kern w:val="0"/>
                <w:sz w:val="15"/>
                <w:szCs w:val="15"/>
              </w:rPr>
              <w:t>＜50</w:t>
            </w:r>
          </w:p>
        </w:tc>
        <w:tc>
          <w:tcPr>
            <w:tcW w:w="1323" w:type="pct"/>
            <w:tcBorders>
              <w:top w:val="single" w:color="auto" w:sz="4" w:space="0"/>
              <w:left w:val="single" w:color="auto" w:sz="4" w:space="0"/>
              <w:bottom w:val="single" w:color="auto" w:sz="12" w:space="0"/>
              <w:right w:val="single" w:color="auto" w:sz="4" w:space="0"/>
            </w:tcBorders>
            <w:vAlign w:val="center"/>
          </w:tcPr>
          <w:p w14:paraId="3ED8A477">
            <w:pPr>
              <w:jc w:val="center"/>
              <w:rPr>
                <w:rFonts w:ascii="Times New Roman" w:hAnsi="Times New Roman" w:cs="Times New Roman"/>
                <w:kern w:val="0"/>
                <w:sz w:val="15"/>
                <w:szCs w:val="15"/>
              </w:rPr>
            </w:pPr>
            <w:r>
              <w:rPr>
                <w:rFonts w:ascii="Times New Roman" w:hAnsi="Times New Roman" w:cs="Times New Roman"/>
                <w:i/>
                <w:kern w:val="0"/>
                <w:sz w:val="15"/>
                <w:szCs w:val="15"/>
              </w:rPr>
              <w:t>H</w:t>
            </w:r>
            <w:r>
              <w:rPr>
                <w:rFonts w:ascii="Times New Roman" w:hAnsi="Times New Roman" w:cs="Times New Roman"/>
                <w:kern w:val="0"/>
                <w:sz w:val="15"/>
                <w:szCs w:val="15"/>
              </w:rPr>
              <w:t>＜20</w:t>
            </w:r>
          </w:p>
        </w:tc>
        <w:tc>
          <w:tcPr>
            <w:tcW w:w="1249" w:type="pct"/>
            <w:tcBorders>
              <w:top w:val="single" w:color="auto" w:sz="4" w:space="0"/>
              <w:left w:val="single" w:color="auto" w:sz="4" w:space="0"/>
              <w:bottom w:val="single" w:color="auto" w:sz="12" w:space="0"/>
              <w:right w:val="single" w:color="auto" w:sz="12" w:space="0"/>
            </w:tcBorders>
            <w:vAlign w:val="center"/>
          </w:tcPr>
          <w:p w14:paraId="7C890D1A">
            <w:pPr>
              <w:jc w:val="center"/>
              <w:rPr>
                <w:rFonts w:ascii="Times New Roman" w:hAnsi="Times New Roman" w:cs="Times New Roman"/>
                <w:kern w:val="0"/>
                <w:sz w:val="15"/>
                <w:szCs w:val="15"/>
              </w:rPr>
            </w:pPr>
            <w:r>
              <w:rPr>
                <w:rFonts w:ascii="Times New Roman" w:hAnsi="Times New Roman" w:cs="Times New Roman"/>
                <w:kern w:val="0"/>
                <w:sz w:val="15"/>
                <w:szCs w:val="15"/>
              </w:rPr>
              <w:t>无危害</w:t>
            </w:r>
          </w:p>
        </w:tc>
      </w:tr>
    </w:tbl>
    <w:p w14:paraId="24EBE86C">
      <w:pPr>
        <w:ind w:left="876" w:leftChars="112" w:hanging="562" w:hangingChars="356"/>
        <w:jc w:val="left"/>
        <w:rPr>
          <w:rFonts w:ascii="Times New Roman" w:hAnsi="Times New Roman" w:cs="Times New Roman"/>
          <w:bCs/>
          <w:strike/>
          <w:spacing w:val="4"/>
          <w:sz w:val="15"/>
          <w:szCs w:val="15"/>
        </w:rPr>
      </w:pPr>
      <w:r>
        <w:rPr>
          <w:rFonts w:ascii="Times New Roman" w:hAnsi="Times New Roman" w:cs="Times New Roman"/>
          <w:bCs/>
          <w:spacing w:val="4"/>
          <w:sz w:val="15"/>
          <w:szCs w:val="15"/>
        </w:rPr>
        <w:t>注：1  根据堆渣量、最大堆渣高度、渣场失事对主体工程或环境造成的危害程度确定的渣场级别不一致时，就高不就低。</w:t>
      </w:r>
    </w:p>
    <w:p w14:paraId="073E8336">
      <w:pPr>
        <w:ind w:left="876" w:leftChars="225" w:hanging="246" w:hangingChars="156"/>
        <w:rPr>
          <w:rFonts w:ascii="Times New Roman" w:hAnsi="Times New Roman" w:cs="Times New Roman"/>
          <w:bCs/>
          <w:spacing w:val="4"/>
          <w:sz w:val="15"/>
          <w:szCs w:val="15"/>
        </w:rPr>
      </w:pPr>
      <w:r>
        <w:rPr>
          <w:rFonts w:ascii="Times New Roman" w:hAnsi="Times New Roman" w:cs="Times New Roman"/>
          <w:bCs/>
          <w:spacing w:val="4"/>
          <w:sz w:val="15"/>
          <w:szCs w:val="15"/>
        </w:rPr>
        <w:t>2  渣场失事对主体工程的危害：指对主体工程施工和运行的影响程度；渣场失事对</w:t>
      </w:r>
      <w:r>
        <w:rPr>
          <w:rFonts w:hint="eastAsia" w:ascii="Times New Roman" w:hAnsi="Times New Roman" w:cs="Times New Roman"/>
          <w:bCs/>
          <w:spacing w:val="4"/>
          <w:sz w:val="15"/>
          <w:szCs w:val="15"/>
        </w:rPr>
        <w:t>环境</w:t>
      </w:r>
      <w:r>
        <w:rPr>
          <w:rFonts w:ascii="Times New Roman" w:hAnsi="Times New Roman" w:cs="Times New Roman"/>
          <w:bCs/>
          <w:spacing w:val="4"/>
          <w:sz w:val="15"/>
          <w:szCs w:val="15"/>
        </w:rPr>
        <w:t>的危害：指对弃渣场周边城镇、乡村、工矿企业、重要基础设施、一般基础设施、农业生产设施等环境及建筑物的影响程度；</w:t>
      </w:r>
    </w:p>
    <w:p w14:paraId="13D16E97">
      <w:pPr>
        <w:ind w:firstLine="632" w:firstLineChars="400"/>
        <w:rPr>
          <w:rFonts w:ascii="Times New Roman" w:hAnsi="Times New Roman" w:cs="Times New Roman"/>
          <w:bCs/>
          <w:spacing w:val="4"/>
          <w:sz w:val="15"/>
          <w:szCs w:val="15"/>
        </w:rPr>
      </w:pPr>
      <w:r>
        <w:rPr>
          <w:rFonts w:ascii="Times New Roman" w:hAnsi="Times New Roman" w:cs="Times New Roman"/>
          <w:bCs/>
          <w:spacing w:val="4"/>
          <w:sz w:val="15"/>
          <w:szCs w:val="15"/>
        </w:rPr>
        <w:t>3  严重危害：相关建筑物遭到大的破坏或功能受到大的影响；</w:t>
      </w:r>
    </w:p>
    <w:p w14:paraId="188D3FA8">
      <w:pPr>
        <w:ind w:firstLine="869" w:firstLineChars="550"/>
        <w:rPr>
          <w:rFonts w:ascii="Times New Roman" w:hAnsi="Times New Roman" w:cs="Times New Roman"/>
          <w:bCs/>
          <w:spacing w:val="4"/>
          <w:sz w:val="15"/>
          <w:szCs w:val="15"/>
        </w:rPr>
      </w:pPr>
      <w:r>
        <w:rPr>
          <w:rFonts w:ascii="Times New Roman" w:hAnsi="Times New Roman" w:cs="Times New Roman"/>
          <w:bCs/>
          <w:spacing w:val="4"/>
          <w:sz w:val="15"/>
          <w:szCs w:val="15"/>
        </w:rPr>
        <w:t>较严重危害：相关建筑物遭到较大破坏或功能受到较大影响，需进行专门修复后才能投入正常使用；</w:t>
      </w:r>
    </w:p>
    <w:p w14:paraId="073B3A1F">
      <w:pPr>
        <w:ind w:firstLine="869" w:firstLineChars="550"/>
        <w:rPr>
          <w:rFonts w:ascii="Times New Roman" w:hAnsi="Times New Roman" w:cs="Times New Roman"/>
          <w:bCs/>
          <w:spacing w:val="4"/>
          <w:sz w:val="15"/>
          <w:szCs w:val="15"/>
        </w:rPr>
      </w:pPr>
      <w:r>
        <w:rPr>
          <w:rFonts w:ascii="Times New Roman" w:hAnsi="Times New Roman" w:cs="Times New Roman"/>
          <w:bCs/>
          <w:spacing w:val="4"/>
          <w:sz w:val="15"/>
          <w:szCs w:val="15"/>
        </w:rPr>
        <w:t>中等严重危害：相关建筑物遭到破坏或功能受到影响，及时修复可投入正常使用；</w:t>
      </w:r>
    </w:p>
    <w:p w14:paraId="2BE279E7">
      <w:pPr>
        <w:ind w:firstLine="869" w:firstLineChars="550"/>
        <w:rPr>
          <w:rFonts w:ascii="Times New Roman" w:hAnsi="Times New Roman" w:cs="Times New Roman"/>
          <w:bCs/>
          <w:spacing w:val="4"/>
          <w:sz w:val="15"/>
          <w:szCs w:val="15"/>
        </w:rPr>
      </w:pPr>
      <w:r>
        <w:rPr>
          <w:rFonts w:ascii="Times New Roman" w:hAnsi="Times New Roman" w:cs="Times New Roman"/>
          <w:bCs/>
          <w:spacing w:val="4"/>
          <w:sz w:val="15"/>
          <w:szCs w:val="15"/>
        </w:rPr>
        <w:t>较轻危害：相关建筑物受到的影响很小，不影响原有功能，无需修复即可投入正常使用。</w:t>
      </w:r>
    </w:p>
    <w:p w14:paraId="792E4CAC">
      <w:pPr>
        <w:ind w:firstLine="632" w:firstLineChars="400"/>
        <w:jc w:val="left"/>
        <w:rPr>
          <w:rFonts w:ascii="Times New Roman" w:hAnsi="Times New Roman" w:cs="Times New Roman"/>
          <w:bCs/>
          <w:spacing w:val="4"/>
          <w:sz w:val="15"/>
          <w:szCs w:val="15"/>
        </w:rPr>
      </w:pPr>
      <w:bookmarkStart w:id="496" w:name="_Hlk198021797"/>
      <w:r>
        <w:rPr>
          <w:rFonts w:ascii="Times New Roman" w:hAnsi="Times New Roman" w:cs="Times New Roman"/>
          <w:bCs/>
          <w:spacing w:val="4"/>
          <w:sz w:val="15"/>
          <w:szCs w:val="15"/>
        </w:rPr>
        <w:t>4  堆渣量按照松方确定；堆渣最大高度为堆渣体最高点与最低点之间的高差。</w:t>
      </w:r>
    </w:p>
    <w:bookmarkEnd w:id="496"/>
    <w:p w14:paraId="67AEE3DB">
      <w:pPr>
        <w:jc w:val="center"/>
        <w:rPr>
          <w:rFonts w:ascii="Times New Roman" w:hAnsi="Times New Roman" w:eastAsia="黑体" w:cs="Times New Roman"/>
          <w:strike/>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1-2  弃渣场防洪标准</w:t>
      </w:r>
    </w:p>
    <w:tbl>
      <w:tblPr>
        <w:tblStyle w:val="10"/>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43"/>
        <w:gridCol w:w="1910"/>
        <w:gridCol w:w="1639"/>
        <w:gridCol w:w="1625"/>
        <w:gridCol w:w="1457"/>
      </w:tblGrid>
      <w:tr w14:paraId="12943C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993" w:type="pct"/>
            <w:vMerge w:val="restart"/>
            <w:tcBorders>
              <w:tl2br w:val="nil"/>
              <w:tr2bl w:val="nil"/>
            </w:tcBorders>
            <w:vAlign w:val="center"/>
          </w:tcPr>
          <w:p w14:paraId="00636F04">
            <w:pPr>
              <w:jc w:val="center"/>
              <w:rPr>
                <w:rFonts w:ascii="Times New Roman" w:hAnsi="Times New Roman" w:cs="Times New Roman"/>
                <w:kern w:val="0"/>
                <w:sz w:val="15"/>
                <w:szCs w:val="15"/>
              </w:rPr>
            </w:pPr>
            <w:r>
              <w:rPr>
                <w:rFonts w:ascii="Times New Roman" w:hAnsi="Times New Roman" w:cs="Times New Roman"/>
                <w:kern w:val="0"/>
                <w:sz w:val="15"/>
                <w:szCs w:val="15"/>
              </w:rPr>
              <w:t>弃渣场级别</w:t>
            </w:r>
          </w:p>
        </w:tc>
        <w:tc>
          <w:tcPr>
            <w:tcW w:w="4006" w:type="pct"/>
            <w:gridSpan w:val="4"/>
            <w:tcBorders>
              <w:tl2br w:val="nil"/>
              <w:tr2bl w:val="nil"/>
            </w:tcBorders>
            <w:vAlign w:val="center"/>
          </w:tcPr>
          <w:p w14:paraId="00354779">
            <w:pPr>
              <w:jc w:val="center"/>
              <w:rPr>
                <w:rFonts w:ascii="Times New Roman" w:hAnsi="Times New Roman" w:cs="Times New Roman"/>
                <w:kern w:val="0"/>
                <w:sz w:val="15"/>
                <w:szCs w:val="15"/>
              </w:rPr>
            </w:pPr>
            <w:r>
              <w:rPr>
                <w:rFonts w:ascii="Times New Roman" w:hAnsi="Times New Roman" w:cs="Times New Roman"/>
                <w:kern w:val="0"/>
                <w:sz w:val="15"/>
                <w:szCs w:val="15"/>
              </w:rPr>
              <w:t>防洪标准[重现期（年）]</w:t>
            </w:r>
          </w:p>
        </w:tc>
      </w:tr>
      <w:tr w14:paraId="65B9D5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93" w:type="pct"/>
            <w:vMerge w:val="continue"/>
            <w:tcBorders>
              <w:tl2br w:val="nil"/>
              <w:tr2bl w:val="nil"/>
            </w:tcBorders>
            <w:vAlign w:val="center"/>
          </w:tcPr>
          <w:p w14:paraId="4F8A1927">
            <w:pPr>
              <w:jc w:val="center"/>
              <w:rPr>
                <w:rFonts w:ascii="Times New Roman" w:hAnsi="Times New Roman" w:cs="Times New Roman"/>
                <w:kern w:val="0"/>
                <w:sz w:val="15"/>
                <w:szCs w:val="15"/>
              </w:rPr>
            </w:pPr>
          </w:p>
        </w:tc>
        <w:tc>
          <w:tcPr>
            <w:tcW w:w="2144" w:type="pct"/>
            <w:gridSpan w:val="2"/>
            <w:tcBorders>
              <w:tl2br w:val="nil"/>
              <w:tr2bl w:val="nil"/>
            </w:tcBorders>
            <w:vAlign w:val="center"/>
          </w:tcPr>
          <w:p w14:paraId="6D9EEB32">
            <w:pPr>
              <w:jc w:val="center"/>
              <w:rPr>
                <w:rFonts w:ascii="Times New Roman" w:hAnsi="Times New Roman" w:cs="Times New Roman"/>
                <w:kern w:val="0"/>
                <w:sz w:val="15"/>
                <w:szCs w:val="15"/>
              </w:rPr>
            </w:pPr>
            <w:r>
              <w:rPr>
                <w:rFonts w:ascii="Times New Roman" w:hAnsi="Times New Roman" w:cs="Times New Roman"/>
                <w:kern w:val="0"/>
                <w:sz w:val="15"/>
                <w:szCs w:val="15"/>
              </w:rPr>
              <w:t>山区、丘陵区</w:t>
            </w:r>
          </w:p>
        </w:tc>
        <w:tc>
          <w:tcPr>
            <w:tcW w:w="1862" w:type="pct"/>
            <w:gridSpan w:val="2"/>
            <w:tcBorders>
              <w:tl2br w:val="nil"/>
              <w:tr2bl w:val="nil"/>
            </w:tcBorders>
            <w:vAlign w:val="center"/>
          </w:tcPr>
          <w:p w14:paraId="23F60404">
            <w:pPr>
              <w:jc w:val="center"/>
              <w:rPr>
                <w:rFonts w:ascii="Times New Roman" w:hAnsi="Times New Roman" w:cs="Times New Roman"/>
                <w:kern w:val="0"/>
                <w:sz w:val="15"/>
                <w:szCs w:val="15"/>
              </w:rPr>
            </w:pPr>
            <w:r>
              <w:rPr>
                <w:rFonts w:ascii="Times New Roman" w:hAnsi="Times New Roman" w:cs="Times New Roman"/>
                <w:kern w:val="0"/>
                <w:sz w:val="15"/>
                <w:szCs w:val="15"/>
              </w:rPr>
              <w:t>平原区、滨海区</w:t>
            </w:r>
          </w:p>
        </w:tc>
      </w:tr>
      <w:tr w14:paraId="12DBD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993" w:type="pct"/>
            <w:vMerge w:val="continue"/>
            <w:tcBorders>
              <w:tl2br w:val="nil"/>
              <w:tr2bl w:val="nil"/>
            </w:tcBorders>
            <w:vAlign w:val="center"/>
          </w:tcPr>
          <w:p w14:paraId="01AB44DF">
            <w:pPr>
              <w:jc w:val="center"/>
              <w:rPr>
                <w:rFonts w:ascii="Times New Roman" w:hAnsi="Times New Roman" w:cs="Times New Roman"/>
                <w:kern w:val="0"/>
                <w:sz w:val="15"/>
                <w:szCs w:val="15"/>
              </w:rPr>
            </w:pPr>
          </w:p>
        </w:tc>
        <w:tc>
          <w:tcPr>
            <w:tcW w:w="1154" w:type="pct"/>
            <w:tcBorders>
              <w:tl2br w:val="nil"/>
              <w:tr2bl w:val="nil"/>
            </w:tcBorders>
            <w:vAlign w:val="center"/>
          </w:tcPr>
          <w:p w14:paraId="7302C42C">
            <w:pPr>
              <w:jc w:val="center"/>
              <w:rPr>
                <w:rFonts w:ascii="Times New Roman" w:hAnsi="Times New Roman" w:cs="Times New Roman"/>
                <w:kern w:val="0"/>
                <w:sz w:val="15"/>
                <w:szCs w:val="15"/>
              </w:rPr>
            </w:pPr>
            <w:r>
              <w:rPr>
                <w:rFonts w:ascii="Times New Roman" w:hAnsi="Times New Roman" w:cs="Times New Roman"/>
                <w:kern w:val="0"/>
                <w:sz w:val="15"/>
                <w:szCs w:val="15"/>
              </w:rPr>
              <w:t>设计</w:t>
            </w:r>
          </w:p>
        </w:tc>
        <w:tc>
          <w:tcPr>
            <w:tcW w:w="989" w:type="pct"/>
            <w:tcBorders>
              <w:tl2br w:val="nil"/>
              <w:tr2bl w:val="nil"/>
            </w:tcBorders>
            <w:vAlign w:val="center"/>
          </w:tcPr>
          <w:p w14:paraId="08DF5A2A">
            <w:pPr>
              <w:jc w:val="center"/>
              <w:rPr>
                <w:rFonts w:ascii="Times New Roman" w:hAnsi="Times New Roman" w:cs="Times New Roman"/>
                <w:kern w:val="0"/>
                <w:sz w:val="15"/>
                <w:szCs w:val="15"/>
              </w:rPr>
            </w:pPr>
            <w:r>
              <w:rPr>
                <w:rFonts w:ascii="Times New Roman" w:hAnsi="Times New Roman" w:cs="Times New Roman"/>
                <w:kern w:val="0"/>
                <w:sz w:val="15"/>
                <w:szCs w:val="15"/>
              </w:rPr>
              <w:t>校核</w:t>
            </w:r>
          </w:p>
        </w:tc>
        <w:tc>
          <w:tcPr>
            <w:tcW w:w="982" w:type="pct"/>
            <w:tcBorders>
              <w:tl2br w:val="nil"/>
              <w:tr2bl w:val="nil"/>
            </w:tcBorders>
            <w:vAlign w:val="center"/>
          </w:tcPr>
          <w:p w14:paraId="0CD7D7EE">
            <w:pPr>
              <w:jc w:val="center"/>
              <w:rPr>
                <w:rFonts w:ascii="Times New Roman" w:hAnsi="Times New Roman" w:cs="Times New Roman"/>
                <w:kern w:val="0"/>
                <w:sz w:val="15"/>
                <w:szCs w:val="15"/>
              </w:rPr>
            </w:pPr>
            <w:r>
              <w:rPr>
                <w:rFonts w:ascii="Times New Roman" w:hAnsi="Times New Roman" w:cs="Times New Roman"/>
                <w:kern w:val="0"/>
                <w:sz w:val="15"/>
                <w:szCs w:val="15"/>
              </w:rPr>
              <w:t>设计</w:t>
            </w:r>
          </w:p>
        </w:tc>
        <w:tc>
          <w:tcPr>
            <w:tcW w:w="879" w:type="pct"/>
            <w:tcBorders>
              <w:tl2br w:val="nil"/>
              <w:tr2bl w:val="nil"/>
            </w:tcBorders>
            <w:vAlign w:val="center"/>
          </w:tcPr>
          <w:p w14:paraId="63C9E62C">
            <w:pPr>
              <w:jc w:val="center"/>
              <w:rPr>
                <w:rFonts w:ascii="Times New Roman" w:hAnsi="Times New Roman" w:cs="Times New Roman"/>
                <w:kern w:val="0"/>
                <w:sz w:val="15"/>
                <w:szCs w:val="15"/>
              </w:rPr>
            </w:pPr>
            <w:r>
              <w:rPr>
                <w:rFonts w:ascii="Times New Roman" w:hAnsi="Times New Roman" w:cs="Times New Roman"/>
                <w:kern w:val="0"/>
                <w:sz w:val="15"/>
                <w:szCs w:val="15"/>
              </w:rPr>
              <w:t>校核</w:t>
            </w:r>
          </w:p>
        </w:tc>
      </w:tr>
      <w:tr w14:paraId="6CEB4B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993" w:type="pct"/>
            <w:tcBorders>
              <w:tl2br w:val="nil"/>
              <w:tr2bl w:val="nil"/>
            </w:tcBorders>
            <w:vAlign w:val="center"/>
          </w:tcPr>
          <w:p w14:paraId="29BCB78D">
            <w:pPr>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154" w:type="pct"/>
            <w:tcBorders>
              <w:tl2br w:val="nil"/>
              <w:tr2bl w:val="nil"/>
            </w:tcBorders>
            <w:vAlign w:val="center"/>
          </w:tcPr>
          <w:p w14:paraId="0AEC6C36">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100</w:t>
            </w:r>
          </w:p>
        </w:tc>
        <w:tc>
          <w:tcPr>
            <w:tcW w:w="989" w:type="pct"/>
            <w:tcBorders>
              <w:tl2br w:val="nil"/>
              <w:tr2bl w:val="nil"/>
            </w:tcBorders>
            <w:vAlign w:val="center"/>
          </w:tcPr>
          <w:p w14:paraId="780A8F81">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200</w:t>
            </w:r>
          </w:p>
        </w:tc>
        <w:tc>
          <w:tcPr>
            <w:tcW w:w="982" w:type="pct"/>
            <w:tcBorders>
              <w:tl2br w:val="nil"/>
              <w:tr2bl w:val="nil"/>
            </w:tcBorders>
            <w:vAlign w:val="center"/>
          </w:tcPr>
          <w:p w14:paraId="4F0A44F6">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50</w:t>
            </w:r>
          </w:p>
        </w:tc>
        <w:tc>
          <w:tcPr>
            <w:tcW w:w="879" w:type="pct"/>
            <w:tcBorders>
              <w:tl2br w:val="nil"/>
              <w:tr2bl w:val="nil"/>
            </w:tcBorders>
            <w:vAlign w:val="center"/>
          </w:tcPr>
          <w:p w14:paraId="6126CB30">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100</w:t>
            </w:r>
          </w:p>
        </w:tc>
      </w:tr>
      <w:tr w14:paraId="4DFEF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993" w:type="pct"/>
            <w:tcBorders>
              <w:tl2br w:val="nil"/>
              <w:tr2bl w:val="nil"/>
            </w:tcBorders>
            <w:vAlign w:val="center"/>
          </w:tcPr>
          <w:p w14:paraId="35ED63CC">
            <w:pPr>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154" w:type="pct"/>
            <w:tcBorders>
              <w:tl2br w:val="nil"/>
              <w:tr2bl w:val="nil"/>
            </w:tcBorders>
            <w:vAlign w:val="center"/>
          </w:tcPr>
          <w:p w14:paraId="6ADC3CB3">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100～50</w:t>
            </w:r>
          </w:p>
        </w:tc>
        <w:tc>
          <w:tcPr>
            <w:tcW w:w="989" w:type="pct"/>
            <w:tcBorders>
              <w:tl2br w:val="nil"/>
              <w:tr2bl w:val="nil"/>
            </w:tcBorders>
            <w:vAlign w:val="center"/>
          </w:tcPr>
          <w:p w14:paraId="2ABE3038">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200～100</w:t>
            </w:r>
          </w:p>
        </w:tc>
        <w:tc>
          <w:tcPr>
            <w:tcW w:w="982" w:type="pct"/>
            <w:tcBorders>
              <w:tl2br w:val="nil"/>
              <w:tr2bl w:val="nil"/>
            </w:tcBorders>
            <w:vAlign w:val="center"/>
          </w:tcPr>
          <w:p w14:paraId="771B1F8E">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50～30</w:t>
            </w:r>
          </w:p>
        </w:tc>
        <w:tc>
          <w:tcPr>
            <w:tcW w:w="879" w:type="pct"/>
            <w:tcBorders>
              <w:tl2br w:val="nil"/>
              <w:tr2bl w:val="nil"/>
            </w:tcBorders>
            <w:vAlign w:val="center"/>
          </w:tcPr>
          <w:p w14:paraId="5C9FD93D">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100～50</w:t>
            </w:r>
          </w:p>
        </w:tc>
      </w:tr>
      <w:tr w14:paraId="08FDE2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993" w:type="pct"/>
            <w:tcBorders>
              <w:tl2br w:val="nil"/>
              <w:tr2bl w:val="nil"/>
            </w:tcBorders>
            <w:vAlign w:val="center"/>
          </w:tcPr>
          <w:p w14:paraId="31C7F8DE">
            <w:pPr>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154" w:type="pct"/>
            <w:tcBorders>
              <w:tl2br w:val="nil"/>
              <w:tr2bl w:val="nil"/>
            </w:tcBorders>
            <w:vAlign w:val="center"/>
          </w:tcPr>
          <w:p w14:paraId="7BBB2656">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50～30</w:t>
            </w:r>
          </w:p>
        </w:tc>
        <w:tc>
          <w:tcPr>
            <w:tcW w:w="989" w:type="pct"/>
            <w:tcBorders>
              <w:tl2br w:val="nil"/>
              <w:tr2bl w:val="nil"/>
            </w:tcBorders>
            <w:vAlign w:val="center"/>
          </w:tcPr>
          <w:p w14:paraId="5BC446B8">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100～50</w:t>
            </w:r>
          </w:p>
        </w:tc>
        <w:tc>
          <w:tcPr>
            <w:tcW w:w="982" w:type="pct"/>
            <w:tcBorders>
              <w:tl2br w:val="nil"/>
              <w:tr2bl w:val="nil"/>
            </w:tcBorders>
            <w:vAlign w:val="center"/>
          </w:tcPr>
          <w:p w14:paraId="6772C130">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30～20</w:t>
            </w:r>
          </w:p>
        </w:tc>
        <w:tc>
          <w:tcPr>
            <w:tcW w:w="879" w:type="pct"/>
            <w:tcBorders>
              <w:tl2br w:val="nil"/>
              <w:tr2bl w:val="nil"/>
            </w:tcBorders>
            <w:vAlign w:val="center"/>
          </w:tcPr>
          <w:p w14:paraId="05D055DE">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50～30</w:t>
            </w:r>
          </w:p>
        </w:tc>
      </w:tr>
      <w:tr w14:paraId="64633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993" w:type="pct"/>
            <w:tcBorders>
              <w:tl2br w:val="nil"/>
              <w:tr2bl w:val="nil"/>
            </w:tcBorders>
            <w:vAlign w:val="center"/>
          </w:tcPr>
          <w:p w14:paraId="46B8D9E6">
            <w:pPr>
              <w:jc w:val="center"/>
              <w:rPr>
                <w:rFonts w:ascii="Times New Roman" w:hAnsi="Times New Roman" w:cs="Times New Roman"/>
                <w:kern w:val="0"/>
                <w:sz w:val="15"/>
                <w:szCs w:val="15"/>
              </w:rPr>
            </w:pPr>
            <w:r>
              <w:rPr>
                <w:rFonts w:ascii="Times New Roman" w:hAnsi="Times New Roman" w:cs="Times New Roman"/>
                <w:kern w:val="0"/>
                <w:sz w:val="15"/>
                <w:szCs w:val="15"/>
              </w:rPr>
              <w:t>4</w:t>
            </w:r>
          </w:p>
        </w:tc>
        <w:tc>
          <w:tcPr>
            <w:tcW w:w="1154" w:type="pct"/>
            <w:tcBorders>
              <w:tl2br w:val="nil"/>
              <w:tr2bl w:val="nil"/>
            </w:tcBorders>
            <w:vAlign w:val="center"/>
          </w:tcPr>
          <w:p w14:paraId="41D22E5F">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30～20</w:t>
            </w:r>
          </w:p>
        </w:tc>
        <w:tc>
          <w:tcPr>
            <w:tcW w:w="989" w:type="pct"/>
            <w:tcBorders>
              <w:tl2br w:val="nil"/>
              <w:tr2bl w:val="nil"/>
            </w:tcBorders>
            <w:vAlign w:val="center"/>
          </w:tcPr>
          <w:p w14:paraId="4B5DE622">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50～30</w:t>
            </w:r>
          </w:p>
        </w:tc>
        <w:tc>
          <w:tcPr>
            <w:tcW w:w="982" w:type="pct"/>
            <w:tcBorders>
              <w:tl2br w:val="nil"/>
              <w:tr2bl w:val="nil"/>
            </w:tcBorders>
            <w:vAlign w:val="center"/>
          </w:tcPr>
          <w:p w14:paraId="3E773AE9">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20～10</w:t>
            </w:r>
          </w:p>
        </w:tc>
        <w:tc>
          <w:tcPr>
            <w:tcW w:w="879" w:type="pct"/>
            <w:tcBorders>
              <w:tl2br w:val="nil"/>
              <w:tr2bl w:val="nil"/>
            </w:tcBorders>
            <w:vAlign w:val="center"/>
          </w:tcPr>
          <w:p w14:paraId="282F164A">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30～20</w:t>
            </w:r>
          </w:p>
        </w:tc>
      </w:tr>
      <w:tr w14:paraId="18A38B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993" w:type="pct"/>
            <w:tcBorders>
              <w:tl2br w:val="nil"/>
              <w:tr2bl w:val="nil"/>
            </w:tcBorders>
            <w:vAlign w:val="center"/>
          </w:tcPr>
          <w:p w14:paraId="42C4BFC4">
            <w:pPr>
              <w:jc w:val="center"/>
              <w:rPr>
                <w:rFonts w:ascii="Times New Roman" w:hAnsi="Times New Roman" w:cs="Times New Roman"/>
                <w:kern w:val="0"/>
                <w:sz w:val="15"/>
                <w:szCs w:val="15"/>
              </w:rPr>
            </w:pPr>
            <w:r>
              <w:rPr>
                <w:rFonts w:ascii="Times New Roman" w:hAnsi="Times New Roman" w:cs="Times New Roman"/>
                <w:kern w:val="0"/>
                <w:sz w:val="15"/>
                <w:szCs w:val="15"/>
              </w:rPr>
              <w:t>5</w:t>
            </w:r>
          </w:p>
        </w:tc>
        <w:tc>
          <w:tcPr>
            <w:tcW w:w="1154" w:type="pct"/>
            <w:tcBorders>
              <w:tl2br w:val="nil"/>
              <w:tr2bl w:val="nil"/>
            </w:tcBorders>
            <w:vAlign w:val="center"/>
          </w:tcPr>
          <w:p w14:paraId="203F57CA">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20～10</w:t>
            </w:r>
          </w:p>
        </w:tc>
        <w:tc>
          <w:tcPr>
            <w:tcW w:w="989" w:type="pct"/>
            <w:tcBorders>
              <w:tl2br w:val="nil"/>
              <w:tr2bl w:val="nil"/>
            </w:tcBorders>
            <w:vAlign w:val="center"/>
          </w:tcPr>
          <w:p w14:paraId="5E1001FD">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30～20</w:t>
            </w:r>
          </w:p>
        </w:tc>
        <w:tc>
          <w:tcPr>
            <w:tcW w:w="982" w:type="pct"/>
            <w:tcBorders>
              <w:tl2br w:val="nil"/>
              <w:tr2bl w:val="nil"/>
            </w:tcBorders>
            <w:vAlign w:val="center"/>
          </w:tcPr>
          <w:p w14:paraId="7C09647F">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w:t>
            </w:r>
          </w:p>
        </w:tc>
        <w:tc>
          <w:tcPr>
            <w:tcW w:w="879" w:type="pct"/>
            <w:tcBorders>
              <w:tl2br w:val="nil"/>
              <w:tr2bl w:val="nil"/>
            </w:tcBorders>
            <w:vAlign w:val="center"/>
          </w:tcPr>
          <w:p w14:paraId="0BFDEFC7">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w:t>
            </w:r>
          </w:p>
        </w:tc>
      </w:tr>
    </w:tbl>
    <w:p w14:paraId="7F0DA3B4">
      <w:pPr>
        <w:keepNext/>
        <w:keepLines/>
        <w:spacing w:before="260" w:after="260" w:line="415"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Ⅱ </w:t>
      </w:r>
      <w:r>
        <w:rPr>
          <w:rFonts w:ascii="Times New Roman" w:hAnsi="Times New Roman" w:eastAsia="黑体" w:cs="Times New Roman"/>
          <w:bCs/>
          <w:sz w:val="24"/>
          <w:szCs w:val="24"/>
        </w:rPr>
        <w:t>拦渣工程</w:t>
      </w:r>
    </w:p>
    <w:p w14:paraId="3A29FD03">
      <w:pPr>
        <w:spacing w:line="360" w:lineRule="auto"/>
        <w:rPr>
          <w:rFonts w:ascii="Times New Roman" w:hAnsi="Times New Roman" w:cs="Times New Roman"/>
          <w:sz w:val="21"/>
          <w:szCs w:val="24"/>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w:t>
      </w: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弃渣场拦渣工程建筑物级别应根据弃渣场对应的级别选择，分为5级，按表5.1.2-1的规定确定，并应符合下列要求：</w:t>
      </w:r>
    </w:p>
    <w:p w14:paraId="7BDC33FA">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1</w:t>
      </w:r>
      <w:r>
        <w:rPr>
          <w:rFonts w:ascii="Times New Roman" w:hAnsi="Times New Roman" w:cs="Times New Roman"/>
          <w:sz w:val="21"/>
          <w:szCs w:val="24"/>
        </w:rPr>
        <w:t xml:space="preserve">  拦渣堤、拦渣坝、挡渣墙工程建筑物级别应按渣场级别确定。</w:t>
      </w:r>
    </w:p>
    <w:p w14:paraId="04081280">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2</w:t>
      </w:r>
      <w:r>
        <w:rPr>
          <w:rFonts w:ascii="Times New Roman" w:hAnsi="Times New Roman" w:cs="Times New Roman"/>
          <w:sz w:val="21"/>
          <w:szCs w:val="24"/>
        </w:rPr>
        <w:t xml:space="preserve">  当拦渣工程高度</w:t>
      </w:r>
      <w:r>
        <w:rPr>
          <w:rFonts w:hint="eastAsia" w:ascii="Times New Roman" w:hAnsi="Times New Roman" w:cs="Times New Roman"/>
          <w:sz w:val="21"/>
          <w:szCs w:val="24"/>
        </w:rPr>
        <w:t>大于</w:t>
      </w:r>
      <w:r>
        <w:rPr>
          <w:rFonts w:ascii="Times New Roman" w:hAnsi="Times New Roman" w:cs="Times New Roman"/>
          <w:sz w:val="21"/>
          <w:szCs w:val="24"/>
        </w:rPr>
        <w:t>15m，弃渣场等级为1、2级时，挡渣墙建筑物级别可提高1级。</w:t>
      </w:r>
    </w:p>
    <w:p w14:paraId="2D090C64">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2-1  弃渣场拦渣工程建筑物级别</w:t>
      </w:r>
    </w:p>
    <w:tbl>
      <w:tblPr>
        <w:tblStyle w:val="10"/>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412"/>
        <w:gridCol w:w="2413"/>
        <w:gridCol w:w="1612"/>
      </w:tblGrid>
      <w:tr w14:paraId="3965C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10" w:type="pct"/>
            <w:vMerge w:val="restart"/>
            <w:vAlign w:val="center"/>
          </w:tcPr>
          <w:p w14:paraId="1A6AAE97">
            <w:pPr>
              <w:jc w:val="center"/>
              <w:rPr>
                <w:rFonts w:ascii="Times New Roman" w:hAnsi="Times New Roman" w:cs="Times New Roman"/>
                <w:kern w:val="0"/>
                <w:sz w:val="15"/>
                <w:szCs w:val="15"/>
              </w:rPr>
            </w:pPr>
            <w:r>
              <w:rPr>
                <w:rFonts w:ascii="Times New Roman" w:hAnsi="Times New Roman" w:cs="Times New Roman"/>
                <w:kern w:val="0"/>
                <w:sz w:val="15"/>
                <w:szCs w:val="15"/>
              </w:rPr>
              <w:t>渣场级别</w:t>
            </w:r>
          </w:p>
        </w:tc>
        <w:tc>
          <w:tcPr>
            <w:tcW w:w="3889" w:type="pct"/>
            <w:gridSpan w:val="3"/>
            <w:vAlign w:val="center"/>
          </w:tcPr>
          <w:p w14:paraId="0F4FA537">
            <w:pPr>
              <w:jc w:val="center"/>
              <w:rPr>
                <w:rFonts w:ascii="Times New Roman" w:hAnsi="Times New Roman" w:cs="Times New Roman"/>
                <w:kern w:val="0"/>
                <w:sz w:val="15"/>
                <w:szCs w:val="15"/>
              </w:rPr>
            </w:pPr>
            <w:r>
              <w:rPr>
                <w:rFonts w:ascii="Times New Roman" w:hAnsi="Times New Roman" w:cs="Times New Roman"/>
                <w:kern w:val="0"/>
                <w:sz w:val="15"/>
                <w:szCs w:val="15"/>
              </w:rPr>
              <w:t>拦渣工程拦挡建筑物级别</w:t>
            </w:r>
          </w:p>
        </w:tc>
      </w:tr>
      <w:tr w14:paraId="31C1E6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10" w:type="pct"/>
            <w:vMerge w:val="continue"/>
            <w:vAlign w:val="center"/>
          </w:tcPr>
          <w:p w14:paraId="2075BFE9">
            <w:pPr>
              <w:jc w:val="center"/>
              <w:rPr>
                <w:rFonts w:ascii="Times New Roman" w:hAnsi="Times New Roman" w:cs="Times New Roman"/>
                <w:kern w:val="0"/>
                <w:sz w:val="15"/>
                <w:szCs w:val="15"/>
              </w:rPr>
            </w:pPr>
          </w:p>
        </w:tc>
        <w:tc>
          <w:tcPr>
            <w:tcW w:w="1457" w:type="pct"/>
            <w:vAlign w:val="center"/>
          </w:tcPr>
          <w:p w14:paraId="67261596">
            <w:pPr>
              <w:jc w:val="center"/>
              <w:rPr>
                <w:rFonts w:ascii="Times New Roman" w:hAnsi="Times New Roman" w:cs="Times New Roman"/>
                <w:kern w:val="0"/>
                <w:sz w:val="15"/>
                <w:szCs w:val="15"/>
              </w:rPr>
            </w:pPr>
            <w:r>
              <w:rPr>
                <w:rFonts w:ascii="Times New Roman" w:hAnsi="Times New Roman" w:cs="Times New Roman"/>
                <w:kern w:val="0"/>
                <w:sz w:val="15"/>
                <w:szCs w:val="15"/>
              </w:rPr>
              <w:t>拦渣堤工程</w:t>
            </w:r>
          </w:p>
        </w:tc>
        <w:tc>
          <w:tcPr>
            <w:tcW w:w="1458" w:type="pct"/>
            <w:vAlign w:val="center"/>
          </w:tcPr>
          <w:p w14:paraId="37588610">
            <w:pPr>
              <w:jc w:val="center"/>
              <w:rPr>
                <w:rFonts w:ascii="Times New Roman" w:hAnsi="Times New Roman" w:cs="Times New Roman"/>
                <w:kern w:val="0"/>
                <w:sz w:val="15"/>
                <w:szCs w:val="15"/>
              </w:rPr>
            </w:pPr>
            <w:r>
              <w:rPr>
                <w:rFonts w:ascii="Times New Roman" w:hAnsi="Times New Roman" w:cs="Times New Roman"/>
                <w:kern w:val="0"/>
                <w:sz w:val="15"/>
                <w:szCs w:val="15"/>
              </w:rPr>
              <w:t>拦渣坝工程</w:t>
            </w:r>
          </w:p>
        </w:tc>
        <w:tc>
          <w:tcPr>
            <w:tcW w:w="973" w:type="pct"/>
            <w:vAlign w:val="center"/>
          </w:tcPr>
          <w:p w14:paraId="071C03F1">
            <w:pPr>
              <w:jc w:val="center"/>
              <w:rPr>
                <w:rFonts w:ascii="Times New Roman" w:hAnsi="Times New Roman" w:cs="Times New Roman"/>
                <w:kern w:val="0"/>
                <w:sz w:val="15"/>
                <w:szCs w:val="15"/>
              </w:rPr>
            </w:pPr>
            <w:r>
              <w:rPr>
                <w:rFonts w:ascii="Times New Roman" w:hAnsi="Times New Roman" w:cs="Times New Roman"/>
                <w:kern w:val="0"/>
                <w:sz w:val="15"/>
                <w:szCs w:val="15"/>
              </w:rPr>
              <w:t>挡渣墙工程</w:t>
            </w:r>
          </w:p>
        </w:tc>
      </w:tr>
      <w:tr w14:paraId="348E72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10" w:type="pct"/>
            <w:vAlign w:val="center"/>
          </w:tcPr>
          <w:p w14:paraId="35724C11">
            <w:pPr>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457" w:type="pct"/>
            <w:vAlign w:val="center"/>
          </w:tcPr>
          <w:p w14:paraId="0C611CD6">
            <w:pPr>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458" w:type="pct"/>
            <w:vAlign w:val="center"/>
          </w:tcPr>
          <w:p w14:paraId="1A792C23">
            <w:pPr>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973" w:type="pct"/>
            <w:vAlign w:val="center"/>
          </w:tcPr>
          <w:p w14:paraId="414D3090">
            <w:pPr>
              <w:jc w:val="center"/>
              <w:rPr>
                <w:rFonts w:ascii="Times New Roman" w:hAnsi="Times New Roman" w:cs="Times New Roman"/>
                <w:kern w:val="0"/>
                <w:sz w:val="15"/>
                <w:szCs w:val="15"/>
              </w:rPr>
            </w:pPr>
            <w:r>
              <w:rPr>
                <w:rFonts w:ascii="Times New Roman" w:hAnsi="Times New Roman" w:cs="Times New Roman"/>
                <w:kern w:val="0"/>
                <w:sz w:val="15"/>
                <w:szCs w:val="15"/>
              </w:rPr>
              <w:t>2</w:t>
            </w:r>
          </w:p>
        </w:tc>
      </w:tr>
      <w:tr w14:paraId="191627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10" w:type="pct"/>
            <w:vAlign w:val="center"/>
          </w:tcPr>
          <w:p w14:paraId="69C8A7CD">
            <w:pPr>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457" w:type="pct"/>
            <w:vAlign w:val="center"/>
          </w:tcPr>
          <w:p w14:paraId="76B0E213">
            <w:pPr>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458" w:type="pct"/>
            <w:vAlign w:val="center"/>
          </w:tcPr>
          <w:p w14:paraId="64D6B979">
            <w:pPr>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973" w:type="pct"/>
            <w:vAlign w:val="center"/>
          </w:tcPr>
          <w:p w14:paraId="3D5A7752">
            <w:pPr>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r w14:paraId="71CDF5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10" w:type="pct"/>
            <w:vAlign w:val="center"/>
          </w:tcPr>
          <w:p w14:paraId="4784E1EF">
            <w:pPr>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457" w:type="pct"/>
            <w:vAlign w:val="center"/>
          </w:tcPr>
          <w:p w14:paraId="501255FF">
            <w:pPr>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458" w:type="pct"/>
            <w:vAlign w:val="center"/>
          </w:tcPr>
          <w:p w14:paraId="08BA89F3">
            <w:pPr>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973" w:type="pct"/>
            <w:vAlign w:val="center"/>
          </w:tcPr>
          <w:p w14:paraId="11DAA920">
            <w:pPr>
              <w:jc w:val="center"/>
              <w:rPr>
                <w:rFonts w:ascii="Times New Roman" w:hAnsi="Times New Roman" w:cs="Times New Roman"/>
                <w:kern w:val="0"/>
                <w:sz w:val="15"/>
                <w:szCs w:val="15"/>
              </w:rPr>
            </w:pPr>
            <w:r>
              <w:rPr>
                <w:rFonts w:ascii="Times New Roman" w:hAnsi="Times New Roman" w:cs="Times New Roman"/>
                <w:kern w:val="0"/>
                <w:sz w:val="15"/>
                <w:szCs w:val="15"/>
              </w:rPr>
              <w:t>4</w:t>
            </w:r>
          </w:p>
        </w:tc>
      </w:tr>
      <w:tr w14:paraId="134D4B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10" w:type="pct"/>
            <w:vAlign w:val="center"/>
          </w:tcPr>
          <w:p w14:paraId="17BF0F0A">
            <w:pPr>
              <w:jc w:val="center"/>
              <w:rPr>
                <w:rFonts w:ascii="Times New Roman" w:hAnsi="Times New Roman" w:cs="Times New Roman"/>
                <w:kern w:val="0"/>
                <w:sz w:val="15"/>
                <w:szCs w:val="15"/>
              </w:rPr>
            </w:pPr>
            <w:r>
              <w:rPr>
                <w:rFonts w:ascii="Times New Roman" w:hAnsi="Times New Roman" w:cs="Times New Roman"/>
                <w:kern w:val="0"/>
                <w:sz w:val="15"/>
                <w:szCs w:val="15"/>
              </w:rPr>
              <w:t>4</w:t>
            </w:r>
          </w:p>
        </w:tc>
        <w:tc>
          <w:tcPr>
            <w:tcW w:w="1457" w:type="pct"/>
            <w:vAlign w:val="center"/>
          </w:tcPr>
          <w:p w14:paraId="2B3CD4B2">
            <w:pPr>
              <w:jc w:val="center"/>
              <w:rPr>
                <w:rFonts w:ascii="Times New Roman" w:hAnsi="Times New Roman" w:cs="Times New Roman"/>
                <w:kern w:val="0"/>
                <w:sz w:val="15"/>
                <w:szCs w:val="15"/>
              </w:rPr>
            </w:pPr>
            <w:r>
              <w:rPr>
                <w:rFonts w:ascii="Times New Roman" w:hAnsi="Times New Roman" w:cs="Times New Roman"/>
                <w:kern w:val="0"/>
                <w:sz w:val="15"/>
                <w:szCs w:val="15"/>
              </w:rPr>
              <w:t>4</w:t>
            </w:r>
          </w:p>
        </w:tc>
        <w:tc>
          <w:tcPr>
            <w:tcW w:w="1458" w:type="pct"/>
            <w:vAlign w:val="center"/>
          </w:tcPr>
          <w:p w14:paraId="2C1F9E14">
            <w:pPr>
              <w:jc w:val="center"/>
              <w:rPr>
                <w:rFonts w:ascii="Times New Roman" w:hAnsi="Times New Roman" w:cs="Times New Roman"/>
                <w:kern w:val="0"/>
                <w:sz w:val="15"/>
                <w:szCs w:val="15"/>
              </w:rPr>
            </w:pPr>
            <w:r>
              <w:rPr>
                <w:rFonts w:ascii="Times New Roman" w:hAnsi="Times New Roman" w:cs="Times New Roman"/>
                <w:kern w:val="0"/>
                <w:sz w:val="15"/>
                <w:szCs w:val="15"/>
              </w:rPr>
              <w:t>4</w:t>
            </w:r>
          </w:p>
        </w:tc>
        <w:tc>
          <w:tcPr>
            <w:tcW w:w="973" w:type="pct"/>
            <w:vAlign w:val="center"/>
          </w:tcPr>
          <w:p w14:paraId="7622B815">
            <w:pPr>
              <w:jc w:val="center"/>
              <w:rPr>
                <w:rFonts w:ascii="Times New Roman" w:hAnsi="Times New Roman" w:cs="Times New Roman"/>
                <w:kern w:val="0"/>
                <w:sz w:val="15"/>
                <w:szCs w:val="15"/>
              </w:rPr>
            </w:pPr>
            <w:r>
              <w:rPr>
                <w:rFonts w:ascii="Times New Roman" w:hAnsi="Times New Roman" w:cs="Times New Roman"/>
                <w:kern w:val="0"/>
                <w:sz w:val="15"/>
                <w:szCs w:val="15"/>
              </w:rPr>
              <w:t>5</w:t>
            </w:r>
          </w:p>
        </w:tc>
      </w:tr>
      <w:tr w14:paraId="7C8532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10" w:type="pct"/>
            <w:vAlign w:val="center"/>
          </w:tcPr>
          <w:p w14:paraId="3B0DBB3F">
            <w:pPr>
              <w:jc w:val="center"/>
              <w:rPr>
                <w:rFonts w:ascii="Times New Roman" w:hAnsi="Times New Roman" w:cs="Times New Roman"/>
                <w:kern w:val="0"/>
                <w:sz w:val="15"/>
                <w:szCs w:val="15"/>
              </w:rPr>
            </w:pPr>
            <w:r>
              <w:rPr>
                <w:rFonts w:ascii="Times New Roman" w:hAnsi="Times New Roman" w:cs="Times New Roman"/>
                <w:kern w:val="0"/>
                <w:sz w:val="15"/>
                <w:szCs w:val="15"/>
              </w:rPr>
              <w:t>5</w:t>
            </w:r>
          </w:p>
        </w:tc>
        <w:tc>
          <w:tcPr>
            <w:tcW w:w="1457" w:type="pct"/>
            <w:vAlign w:val="center"/>
          </w:tcPr>
          <w:p w14:paraId="06874475">
            <w:pPr>
              <w:jc w:val="center"/>
              <w:rPr>
                <w:rFonts w:ascii="Times New Roman" w:hAnsi="Times New Roman" w:cs="Times New Roman"/>
                <w:kern w:val="0"/>
                <w:sz w:val="15"/>
                <w:szCs w:val="15"/>
              </w:rPr>
            </w:pPr>
            <w:r>
              <w:rPr>
                <w:rFonts w:ascii="Times New Roman" w:hAnsi="Times New Roman" w:cs="Times New Roman"/>
                <w:kern w:val="0"/>
                <w:sz w:val="15"/>
                <w:szCs w:val="15"/>
              </w:rPr>
              <w:t>5</w:t>
            </w:r>
          </w:p>
        </w:tc>
        <w:tc>
          <w:tcPr>
            <w:tcW w:w="1458" w:type="pct"/>
            <w:vAlign w:val="center"/>
          </w:tcPr>
          <w:p w14:paraId="69A380A0">
            <w:pPr>
              <w:jc w:val="center"/>
              <w:rPr>
                <w:rFonts w:ascii="Times New Roman" w:hAnsi="Times New Roman" w:cs="Times New Roman"/>
                <w:kern w:val="0"/>
                <w:sz w:val="15"/>
                <w:szCs w:val="15"/>
              </w:rPr>
            </w:pPr>
            <w:r>
              <w:rPr>
                <w:rFonts w:ascii="Times New Roman" w:hAnsi="Times New Roman" w:cs="Times New Roman"/>
                <w:kern w:val="0"/>
                <w:sz w:val="15"/>
                <w:szCs w:val="15"/>
              </w:rPr>
              <w:t>5</w:t>
            </w:r>
          </w:p>
        </w:tc>
        <w:tc>
          <w:tcPr>
            <w:tcW w:w="973" w:type="pct"/>
            <w:vAlign w:val="center"/>
          </w:tcPr>
          <w:p w14:paraId="29993583">
            <w:pPr>
              <w:jc w:val="center"/>
              <w:rPr>
                <w:rFonts w:ascii="Times New Roman" w:hAnsi="Times New Roman" w:cs="Times New Roman"/>
                <w:kern w:val="0"/>
                <w:sz w:val="15"/>
                <w:szCs w:val="15"/>
              </w:rPr>
            </w:pPr>
            <w:r>
              <w:rPr>
                <w:rFonts w:ascii="Times New Roman" w:hAnsi="Times New Roman" w:cs="Times New Roman"/>
                <w:kern w:val="0"/>
                <w:sz w:val="15"/>
                <w:szCs w:val="15"/>
              </w:rPr>
              <w:t>5</w:t>
            </w:r>
          </w:p>
        </w:tc>
      </w:tr>
    </w:tbl>
    <w:p w14:paraId="3E2779FF">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拦渣堤（坝）工程不应设校核洪水标准，设计防洪标准宜按表5.1.2-2的规定确定。</w:t>
      </w:r>
    </w:p>
    <w:p w14:paraId="3B38E647">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2-2  拦渣堤（坝）工程防洪标准</w:t>
      </w:r>
    </w:p>
    <w:tbl>
      <w:tblPr>
        <w:tblStyle w:val="10"/>
        <w:tblW w:w="4998" w:type="pct"/>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108" w:type="dxa"/>
          <w:bottom w:w="0" w:type="dxa"/>
          <w:right w:w="108" w:type="dxa"/>
        </w:tblCellMar>
      </w:tblPr>
      <w:tblGrid>
        <w:gridCol w:w="2394"/>
        <w:gridCol w:w="2913"/>
        <w:gridCol w:w="2966"/>
      </w:tblGrid>
      <w:tr w14:paraId="71F790B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447" w:type="pct"/>
            <w:vMerge w:val="restart"/>
            <w:tcBorders>
              <w:tl2br w:val="nil"/>
              <w:tr2bl w:val="nil"/>
            </w:tcBorders>
            <w:vAlign w:val="center"/>
          </w:tcPr>
          <w:p w14:paraId="13FCBC2D">
            <w:pPr>
              <w:jc w:val="center"/>
              <w:rPr>
                <w:rFonts w:ascii="Times New Roman" w:hAnsi="Times New Roman" w:cs="Times New Roman"/>
                <w:kern w:val="0"/>
                <w:sz w:val="15"/>
                <w:szCs w:val="15"/>
              </w:rPr>
            </w:pPr>
            <w:r>
              <w:rPr>
                <w:rFonts w:ascii="Times New Roman" w:hAnsi="Times New Roman" w:cs="Times New Roman"/>
                <w:kern w:val="0"/>
                <w:sz w:val="15"/>
                <w:szCs w:val="15"/>
              </w:rPr>
              <w:t>拦渣堤（坝）工程级别</w:t>
            </w:r>
          </w:p>
        </w:tc>
        <w:tc>
          <w:tcPr>
            <w:tcW w:w="3552" w:type="pct"/>
            <w:gridSpan w:val="2"/>
            <w:tcBorders>
              <w:tl2br w:val="nil"/>
              <w:tr2bl w:val="nil"/>
            </w:tcBorders>
            <w:vAlign w:val="center"/>
          </w:tcPr>
          <w:p w14:paraId="2A32809A">
            <w:pPr>
              <w:jc w:val="center"/>
              <w:rPr>
                <w:rFonts w:ascii="Times New Roman" w:hAnsi="Times New Roman" w:cs="Times New Roman"/>
                <w:kern w:val="0"/>
                <w:sz w:val="15"/>
                <w:szCs w:val="15"/>
              </w:rPr>
            </w:pPr>
            <w:r>
              <w:rPr>
                <w:rFonts w:ascii="Times New Roman" w:hAnsi="Times New Roman" w:cs="Times New Roman"/>
                <w:kern w:val="0"/>
                <w:sz w:val="15"/>
                <w:szCs w:val="15"/>
              </w:rPr>
              <w:t>防洪标准[重现期（年）]</w:t>
            </w:r>
          </w:p>
        </w:tc>
      </w:tr>
      <w:tr w14:paraId="7F57A53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447" w:type="pct"/>
            <w:vMerge w:val="continue"/>
            <w:tcBorders>
              <w:tl2br w:val="nil"/>
              <w:tr2bl w:val="nil"/>
            </w:tcBorders>
            <w:vAlign w:val="center"/>
          </w:tcPr>
          <w:p w14:paraId="6337E5E9">
            <w:pPr>
              <w:jc w:val="center"/>
              <w:rPr>
                <w:rFonts w:ascii="Times New Roman" w:hAnsi="Times New Roman" w:cs="Times New Roman"/>
                <w:kern w:val="0"/>
                <w:sz w:val="15"/>
                <w:szCs w:val="15"/>
              </w:rPr>
            </w:pPr>
          </w:p>
        </w:tc>
        <w:tc>
          <w:tcPr>
            <w:tcW w:w="1760" w:type="pct"/>
            <w:tcBorders>
              <w:tl2br w:val="nil"/>
              <w:tr2bl w:val="nil"/>
            </w:tcBorders>
            <w:vAlign w:val="center"/>
          </w:tcPr>
          <w:p w14:paraId="50F72CD6">
            <w:pPr>
              <w:jc w:val="center"/>
              <w:rPr>
                <w:rFonts w:ascii="Times New Roman" w:hAnsi="Times New Roman" w:cs="Times New Roman"/>
                <w:kern w:val="0"/>
                <w:sz w:val="15"/>
                <w:szCs w:val="15"/>
              </w:rPr>
            </w:pPr>
            <w:r>
              <w:rPr>
                <w:rFonts w:ascii="Times New Roman" w:hAnsi="Times New Roman" w:cs="Times New Roman"/>
                <w:kern w:val="0"/>
                <w:sz w:val="15"/>
                <w:szCs w:val="15"/>
              </w:rPr>
              <w:t>山区、丘陵区</w:t>
            </w:r>
          </w:p>
        </w:tc>
        <w:tc>
          <w:tcPr>
            <w:tcW w:w="1791" w:type="pct"/>
            <w:tcBorders>
              <w:tl2br w:val="nil"/>
              <w:tr2bl w:val="nil"/>
            </w:tcBorders>
            <w:vAlign w:val="center"/>
          </w:tcPr>
          <w:p w14:paraId="08F1BD31">
            <w:pPr>
              <w:jc w:val="center"/>
              <w:rPr>
                <w:rFonts w:ascii="Times New Roman" w:hAnsi="Times New Roman" w:cs="Times New Roman"/>
                <w:kern w:val="0"/>
                <w:sz w:val="15"/>
                <w:szCs w:val="15"/>
              </w:rPr>
            </w:pPr>
            <w:r>
              <w:rPr>
                <w:rFonts w:ascii="Times New Roman" w:hAnsi="Times New Roman" w:cs="Times New Roman"/>
                <w:kern w:val="0"/>
                <w:sz w:val="15"/>
                <w:szCs w:val="15"/>
              </w:rPr>
              <w:t>平原区、滨海区</w:t>
            </w:r>
          </w:p>
        </w:tc>
      </w:tr>
      <w:tr w14:paraId="0646DAC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447" w:type="pct"/>
            <w:tcBorders>
              <w:tl2br w:val="nil"/>
              <w:tr2bl w:val="nil"/>
            </w:tcBorders>
            <w:vAlign w:val="center"/>
          </w:tcPr>
          <w:p w14:paraId="0E7AF3C1">
            <w:pPr>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760" w:type="pct"/>
            <w:tcBorders>
              <w:tl2br w:val="nil"/>
              <w:tr2bl w:val="nil"/>
            </w:tcBorders>
            <w:vAlign w:val="center"/>
          </w:tcPr>
          <w:p w14:paraId="5F2D2262">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100</w:t>
            </w:r>
          </w:p>
        </w:tc>
        <w:tc>
          <w:tcPr>
            <w:tcW w:w="1791" w:type="pct"/>
            <w:tcBorders>
              <w:tl2br w:val="nil"/>
              <w:tr2bl w:val="nil"/>
            </w:tcBorders>
            <w:vAlign w:val="center"/>
          </w:tcPr>
          <w:p w14:paraId="0CBDB7BC">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50</w:t>
            </w:r>
          </w:p>
        </w:tc>
      </w:tr>
      <w:tr w14:paraId="51508FE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447" w:type="pct"/>
            <w:tcBorders>
              <w:tl2br w:val="nil"/>
              <w:tr2bl w:val="nil"/>
            </w:tcBorders>
            <w:vAlign w:val="center"/>
          </w:tcPr>
          <w:p w14:paraId="3D6C070D">
            <w:pPr>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760" w:type="pct"/>
            <w:tcBorders>
              <w:tl2br w:val="nil"/>
              <w:tr2bl w:val="nil"/>
            </w:tcBorders>
            <w:vAlign w:val="center"/>
          </w:tcPr>
          <w:p w14:paraId="08E67146">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100～50</w:t>
            </w:r>
          </w:p>
        </w:tc>
        <w:tc>
          <w:tcPr>
            <w:tcW w:w="1791" w:type="pct"/>
            <w:tcBorders>
              <w:tl2br w:val="nil"/>
              <w:tr2bl w:val="nil"/>
            </w:tcBorders>
            <w:vAlign w:val="center"/>
          </w:tcPr>
          <w:p w14:paraId="2101E863">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50～30</w:t>
            </w:r>
          </w:p>
        </w:tc>
      </w:tr>
      <w:tr w14:paraId="254F1EF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447" w:type="pct"/>
            <w:tcBorders>
              <w:tl2br w:val="nil"/>
              <w:tr2bl w:val="nil"/>
            </w:tcBorders>
            <w:vAlign w:val="center"/>
          </w:tcPr>
          <w:p w14:paraId="1F3E32DD">
            <w:pPr>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760" w:type="pct"/>
            <w:tcBorders>
              <w:tl2br w:val="nil"/>
              <w:tr2bl w:val="nil"/>
            </w:tcBorders>
            <w:vAlign w:val="center"/>
          </w:tcPr>
          <w:p w14:paraId="3EBB8AF0">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50～30</w:t>
            </w:r>
          </w:p>
        </w:tc>
        <w:tc>
          <w:tcPr>
            <w:tcW w:w="1791" w:type="pct"/>
            <w:tcBorders>
              <w:tl2br w:val="nil"/>
              <w:tr2bl w:val="nil"/>
            </w:tcBorders>
            <w:vAlign w:val="center"/>
          </w:tcPr>
          <w:p w14:paraId="6BF79CA9">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30～20</w:t>
            </w:r>
          </w:p>
        </w:tc>
      </w:tr>
      <w:tr w14:paraId="56C4227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447" w:type="pct"/>
            <w:tcBorders>
              <w:tl2br w:val="nil"/>
              <w:tr2bl w:val="nil"/>
            </w:tcBorders>
            <w:vAlign w:val="center"/>
          </w:tcPr>
          <w:p w14:paraId="0013EFF3">
            <w:pPr>
              <w:jc w:val="center"/>
              <w:rPr>
                <w:rFonts w:ascii="Times New Roman" w:hAnsi="Times New Roman" w:cs="Times New Roman"/>
                <w:kern w:val="0"/>
                <w:sz w:val="15"/>
                <w:szCs w:val="15"/>
              </w:rPr>
            </w:pPr>
            <w:r>
              <w:rPr>
                <w:rFonts w:ascii="Times New Roman" w:hAnsi="Times New Roman" w:cs="Times New Roman"/>
                <w:kern w:val="0"/>
                <w:sz w:val="15"/>
                <w:szCs w:val="15"/>
              </w:rPr>
              <w:t>4</w:t>
            </w:r>
          </w:p>
        </w:tc>
        <w:tc>
          <w:tcPr>
            <w:tcW w:w="1760" w:type="pct"/>
            <w:tcBorders>
              <w:tl2br w:val="nil"/>
              <w:tr2bl w:val="nil"/>
            </w:tcBorders>
            <w:vAlign w:val="center"/>
          </w:tcPr>
          <w:p w14:paraId="1AF981E6">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30～20</w:t>
            </w:r>
          </w:p>
        </w:tc>
        <w:tc>
          <w:tcPr>
            <w:tcW w:w="1791" w:type="pct"/>
            <w:tcBorders>
              <w:tl2br w:val="nil"/>
              <w:tr2bl w:val="nil"/>
            </w:tcBorders>
            <w:vAlign w:val="center"/>
          </w:tcPr>
          <w:p w14:paraId="009D4FE1">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20～10</w:t>
            </w:r>
          </w:p>
        </w:tc>
      </w:tr>
      <w:tr w14:paraId="4478072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1447" w:type="pct"/>
            <w:tcBorders>
              <w:tl2br w:val="nil"/>
              <w:tr2bl w:val="nil"/>
            </w:tcBorders>
            <w:vAlign w:val="center"/>
          </w:tcPr>
          <w:p w14:paraId="6F031343">
            <w:pPr>
              <w:jc w:val="center"/>
              <w:rPr>
                <w:rFonts w:ascii="Times New Roman" w:hAnsi="Times New Roman" w:cs="Times New Roman"/>
                <w:kern w:val="0"/>
                <w:sz w:val="15"/>
                <w:szCs w:val="15"/>
              </w:rPr>
            </w:pPr>
            <w:r>
              <w:rPr>
                <w:rFonts w:ascii="Times New Roman" w:hAnsi="Times New Roman" w:cs="Times New Roman"/>
                <w:kern w:val="0"/>
                <w:sz w:val="15"/>
                <w:szCs w:val="15"/>
              </w:rPr>
              <w:t>5</w:t>
            </w:r>
          </w:p>
        </w:tc>
        <w:tc>
          <w:tcPr>
            <w:tcW w:w="1760" w:type="pct"/>
            <w:tcBorders>
              <w:tl2br w:val="nil"/>
              <w:tr2bl w:val="nil"/>
            </w:tcBorders>
            <w:vAlign w:val="center"/>
          </w:tcPr>
          <w:p w14:paraId="1080D1B8">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20～10</w:t>
            </w:r>
          </w:p>
        </w:tc>
        <w:tc>
          <w:tcPr>
            <w:tcW w:w="1791" w:type="pct"/>
            <w:tcBorders>
              <w:tl2br w:val="nil"/>
              <w:tr2bl w:val="nil"/>
            </w:tcBorders>
            <w:vAlign w:val="center"/>
          </w:tcPr>
          <w:p w14:paraId="41E6FEEB">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w:t>
            </w:r>
          </w:p>
        </w:tc>
      </w:tr>
    </w:tbl>
    <w:p w14:paraId="1F08DAF6">
      <w:pPr>
        <w:keepNext/>
        <w:keepLines/>
        <w:spacing w:before="260" w:after="260" w:line="415"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Ⅲ </w:t>
      </w:r>
      <w:r>
        <w:rPr>
          <w:rFonts w:ascii="Times New Roman" w:hAnsi="Times New Roman" w:eastAsia="黑体" w:cs="Times New Roman"/>
          <w:bCs/>
          <w:sz w:val="24"/>
          <w:szCs w:val="24"/>
        </w:rPr>
        <w:t>防洪排导工程</w:t>
      </w:r>
    </w:p>
    <w:p w14:paraId="7005F5D1">
      <w:pPr>
        <w:spacing w:line="360" w:lineRule="auto"/>
        <w:jc w:val="left"/>
        <w:rPr>
          <w:rFonts w:ascii="Times New Roman" w:hAnsi="Times New Roman" w:cs="Times New Roman"/>
          <w:sz w:val="21"/>
        </w:rPr>
      </w:pPr>
      <w:r>
        <w:rPr>
          <w:rFonts w:ascii="Times New Roman" w:hAnsi="Times New Roman" w:cs="Times New Roman"/>
          <w:b/>
          <w:sz w:val="21"/>
        </w:rPr>
        <w:t>5.1.3</w:t>
      </w:r>
      <w:r>
        <w:rPr>
          <w:rFonts w:ascii="Times New Roman" w:hAnsi="Times New Roman" w:cs="Times New Roman"/>
          <w:sz w:val="21"/>
        </w:rPr>
        <w:t xml:space="preserve">  防洪排导工程洪水标准应根据其相应建筑物级别，按表5.1.3-1规定确定，并应符合下列规定：</w:t>
      </w:r>
    </w:p>
    <w:p w14:paraId="7CCEE5DF">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防洪排导工程失事可能对周边及下游工矿企业、居民点、交通运输等基础设施造成重大危害时，1级防洪排导工程校核洪水标准采用300年一遇，2～4级防洪排导工程的校核洪水标准可按表5.1.3-1的规定提高1级。</w:t>
      </w:r>
    </w:p>
    <w:p w14:paraId="4DDAEA44">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 xml:space="preserve">2  </w:t>
      </w:r>
      <w:r>
        <w:rPr>
          <w:rFonts w:ascii="Times New Roman" w:hAnsi="Times New Roman" w:cs="Times New Roman"/>
          <w:sz w:val="21"/>
        </w:rPr>
        <w:t>永久性排洪工程消能防冲设计的洪水标准，与排洪工程的设计洪水标准一致，并应考虑在低于消能防冲设计洪水标准时可能出现的不利情况。</w:t>
      </w:r>
    </w:p>
    <w:p w14:paraId="72BE0DE8">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局部山坡、弃渣场顶面、坡面等弃渣场永久性截排水</w:t>
      </w:r>
      <w:r>
        <w:rPr>
          <w:rFonts w:hint="eastAsia" w:ascii="Times New Roman" w:hAnsi="Times New Roman" w:cs="Times New Roman"/>
          <w:sz w:val="21"/>
        </w:rPr>
        <w:t>工程</w:t>
      </w:r>
      <w:r>
        <w:rPr>
          <w:rFonts w:ascii="Times New Roman" w:hAnsi="Times New Roman" w:cs="Times New Roman"/>
          <w:sz w:val="21"/>
        </w:rPr>
        <w:t>的排水设计标准按表5.1.3-2规定确定。</w:t>
      </w:r>
    </w:p>
    <w:p w14:paraId="4023AA88">
      <w:pPr>
        <w:spacing w:line="360" w:lineRule="auto"/>
        <w:ind w:firstLine="420" w:firstLineChars="200"/>
        <w:jc w:val="left"/>
        <w:rPr>
          <w:rFonts w:ascii="Times New Roman" w:hAnsi="Times New Roman" w:cs="Times New Roman"/>
          <w:sz w:val="21"/>
        </w:rPr>
      </w:pPr>
    </w:p>
    <w:p w14:paraId="5291CFFB">
      <w:pPr>
        <w:spacing w:line="360" w:lineRule="auto"/>
        <w:ind w:firstLine="420" w:firstLineChars="200"/>
        <w:jc w:val="left"/>
        <w:rPr>
          <w:rFonts w:ascii="Times New Roman" w:hAnsi="Times New Roman" w:cs="Times New Roman"/>
          <w:sz w:val="21"/>
        </w:rPr>
      </w:pPr>
    </w:p>
    <w:p w14:paraId="713D45A0">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3-1  拦洪、排洪工程洪水标准</w:t>
      </w:r>
    </w:p>
    <w:tbl>
      <w:tblPr>
        <w:tblStyle w:val="10"/>
        <w:tblW w:w="4892" w:type="pct"/>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431"/>
        <w:gridCol w:w="1352"/>
        <w:gridCol w:w="1354"/>
        <w:gridCol w:w="1348"/>
        <w:gridCol w:w="1302"/>
      </w:tblGrid>
      <w:tr w14:paraId="5457470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357" w:type="dxa"/>
            <w:vMerge w:val="restart"/>
            <w:tcBorders>
              <w:tl2br w:val="nil"/>
              <w:tr2bl w:val="nil"/>
            </w:tcBorders>
            <w:vAlign w:val="center"/>
          </w:tcPr>
          <w:p w14:paraId="4DD99FCE">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弃渣场级别</w:t>
            </w:r>
          </w:p>
        </w:tc>
        <w:tc>
          <w:tcPr>
            <w:tcW w:w="1476" w:type="dxa"/>
            <w:vMerge w:val="restart"/>
            <w:tcBorders>
              <w:tl2br w:val="nil"/>
              <w:tr2bl w:val="nil"/>
            </w:tcBorders>
            <w:vAlign w:val="center"/>
          </w:tcPr>
          <w:p w14:paraId="6AC59782">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拦洪、排洪工程级别</w:t>
            </w:r>
          </w:p>
        </w:tc>
        <w:tc>
          <w:tcPr>
            <w:tcW w:w="5505" w:type="dxa"/>
            <w:gridSpan w:val="4"/>
            <w:tcBorders>
              <w:tl2br w:val="nil"/>
              <w:tr2bl w:val="nil"/>
            </w:tcBorders>
            <w:vAlign w:val="center"/>
          </w:tcPr>
          <w:p w14:paraId="6BE00696">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拦洪、排洪标准[重现期（年）]</w:t>
            </w:r>
          </w:p>
        </w:tc>
      </w:tr>
      <w:tr w14:paraId="395EB85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357" w:type="dxa"/>
            <w:vMerge w:val="continue"/>
            <w:tcBorders>
              <w:tl2br w:val="nil"/>
              <w:tr2bl w:val="nil"/>
            </w:tcBorders>
            <w:vAlign w:val="center"/>
          </w:tcPr>
          <w:p w14:paraId="6CDAE3ED">
            <w:pPr>
              <w:spacing w:line="360" w:lineRule="auto"/>
              <w:jc w:val="center"/>
              <w:rPr>
                <w:rFonts w:ascii="Times New Roman" w:hAnsi="Times New Roman" w:cs="Times New Roman"/>
                <w:kern w:val="0"/>
                <w:sz w:val="15"/>
                <w:szCs w:val="15"/>
              </w:rPr>
            </w:pPr>
          </w:p>
        </w:tc>
        <w:tc>
          <w:tcPr>
            <w:tcW w:w="1476" w:type="dxa"/>
            <w:vMerge w:val="continue"/>
            <w:tcBorders>
              <w:tl2br w:val="nil"/>
              <w:tr2bl w:val="nil"/>
            </w:tcBorders>
            <w:vAlign w:val="center"/>
          </w:tcPr>
          <w:p w14:paraId="7ABDB6D0">
            <w:pPr>
              <w:spacing w:line="360" w:lineRule="auto"/>
              <w:jc w:val="center"/>
              <w:rPr>
                <w:rFonts w:ascii="Times New Roman" w:hAnsi="Times New Roman" w:cs="Times New Roman"/>
                <w:kern w:val="0"/>
                <w:sz w:val="15"/>
                <w:szCs w:val="15"/>
              </w:rPr>
            </w:pPr>
          </w:p>
        </w:tc>
        <w:tc>
          <w:tcPr>
            <w:tcW w:w="2780" w:type="dxa"/>
            <w:gridSpan w:val="2"/>
            <w:tcBorders>
              <w:tl2br w:val="nil"/>
              <w:tr2bl w:val="nil"/>
            </w:tcBorders>
            <w:vAlign w:val="center"/>
          </w:tcPr>
          <w:p w14:paraId="1FF6548A">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山区、丘陵区</w:t>
            </w:r>
          </w:p>
        </w:tc>
        <w:tc>
          <w:tcPr>
            <w:tcW w:w="2725" w:type="dxa"/>
            <w:gridSpan w:val="2"/>
            <w:tcBorders>
              <w:tl2br w:val="nil"/>
              <w:tr2bl w:val="nil"/>
            </w:tcBorders>
            <w:vAlign w:val="center"/>
          </w:tcPr>
          <w:p w14:paraId="177BBBBC">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平原区、滨海区</w:t>
            </w:r>
          </w:p>
        </w:tc>
      </w:tr>
      <w:tr w14:paraId="3E6B474B">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357" w:type="dxa"/>
            <w:vMerge w:val="continue"/>
            <w:tcBorders>
              <w:tl2br w:val="nil"/>
              <w:tr2bl w:val="nil"/>
            </w:tcBorders>
            <w:vAlign w:val="center"/>
          </w:tcPr>
          <w:p w14:paraId="2B00E307">
            <w:pPr>
              <w:spacing w:line="360" w:lineRule="auto"/>
              <w:jc w:val="center"/>
              <w:rPr>
                <w:rFonts w:ascii="Times New Roman" w:hAnsi="Times New Roman" w:cs="Times New Roman"/>
                <w:kern w:val="0"/>
                <w:sz w:val="15"/>
                <w:szCs w:val="15"/>
              </w:rPr>
            </w:pPr>
          </w:p>
        </w:tc>
        <w:tc>
          <w:tcPr>
            <w:tcW w:w="1476" w:type="dxa"/>
            <w:vMerge w:val="continue"/>
            <w:tcBorders>
              <w:tl2br w:val="nil"/>
              <w:tr2bl w:val="nil"/>
            </w:tcBorders>
            <w:vAlign w:val="center"/>
          </w:tcPr>
          <w:p w14:paraId="7DE82E30">
            <w:pPr>
              <w:spacing w:line="360" w:lineRule="auto"/>
              <w:jc w:val="center"/>
              <w:rPr>
                <w:rFonts w:ascii="Times New Roman" w:hAnsi="Times New Roman" w:cs="Times New Roman"/>
                <w:kern w:val="0"/>
                <w:sz w:val="15"/>
                <w:szCs w:val="15"/>
              </w:rPr>
            </w:pPr>
          </w:p>
        </w:tc>
        <w:tc>
          <w:tcPr>
            <w:tcW w:w="1389" w:type="dxa"/>
            <w:tcBorders>
              <w:tl2br w:val="nil"/>
              <w:tr2bl w:val="nil"/>
            </w:tcBorders>
            <w:vAlign w:val="center"/>
          </w:tcPr>
          <w:p w14:paraId="5C0DD68B">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设计</w:t>
            </w:r>
          </w:p>
        </w:tc>
        <w:tc>
          <w:tcPr>
            <w:tcW w:w="1391" w:type="dxa"/>
            <w:tcBorders>
              <w:tl2br w:val="nil"/>
              <w:tr2bl w:val="nil"/>
            </w:tcBorders>
            <w:vAlign w:val="center"/>
          </w:tcPr>
          <w:p w14:paraId="20D79EBE">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校核</w:t>
            </w:r>
          </w:p>
        </w:tc>
        <w:tc>
          <w:tcPr>
            <w:tcW w:w="1389" w:type="dxa"/>
            <w:tcBorders>
              <w:tl2br w:val="nil"/>
              <w:tr2bl w:val="nil"/>
            </w:tcBorders>
            <w:vAlign w:val="center"/>
          </w:tcPr>
          <w:p w14:paraId="70BEBC30">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设计</w:t>
            </w:r>
          </w:p>
        </w:tc>
        <w:tc>
          <w:tcPr>
            <w:tcW w:w="1336" w:type="dxa"/>
            <w:tcBorders>
              <w:tl2br w:val="nil"/>
              <w:tr2bl w:val="nil"/>
            </w:tcBorders>
            <w:vAlign w:val="center"/>
          </w:tcPr>
          <w:p w14:paraId="2C612080">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校核</w:t>
            </w:r>
          </w:p>
        </w:tc>
      </w:tr>
      <w:tr w14:paraId="32FC9CC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357" w:type="dxa"/>
            <w:tcBorders>
              <w:tl2br w:val="nil"/>
              <w:tr2bl w:val="nil"/>
            </w:tcBorders>
            <w:vAlign w:val="center"/>
          </w:tcPr>
          <w:p w14:paraId="2294FC1D">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476" w:type="dxa"/>
            <w:tcBorders>
              <w:tl2br w:val="nil"/>
              <w:tr2bl w:val="nil"/>
            </w:tcBorders>
            <w:vAlign w:val="center"/>
          </w:tcPr>
          <w:p w14:paraId="51A1E9E7">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389" w:type="dxa"/>
            <w:tcBorders>
              <w:tl2br w:val="nil"/>
              <w:tr2bl w:val="nil"/>
            </w:tcBorders>
            <w:vAlign w:val="center"/>
          </w:tcPr>
          <w:p w14:paraId="3DB93F32">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100</w:t>
            </w:r>
          </w:p>
        </w:tc>
        <w:tc>
          <w:tcPr>
            <w:tcW w:w="1391" w:type="dxa"/>
            <w:tcBorders>
              <w:tl2br w:val="nil"/>
              <w:tr2bl w:val="nil"/>
            </w:tcBorders>
            <w:vAlign w:val="center"/>
          </w:tcPr>
          <w:p w14:paraId="75049569">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200</w:t>
            </w:r>
          </w:p>
        </w:tc>
        <w:tc>
          <w:tcPr>
            <w:tcW w:w="1389" w:type="dxa"/>
            <w:tcBorders>
              <w:tl2br w:val="nil"/>
              <w:tr2bl w:val="nil"/>
            </w:tcBorders>
            <w:vAlign w:val="center"/>
          </w:tcPr>
          <w:p w14:paraId="02EB47DB">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50</w:t>
            </w:r>
          </w:p>
        </w:tc>
        <w:tc>
          <w:tcPr>
            <w:tcW w:w="1336" w:type="dxa"/>
            <w:tcBorders>
              <w:tl2br w:val="nil"/>
              <w:tr2bl w:val="nil"/>
            </w:tcBorders>
            <w:vAlign w:val="center"/>
          </w:tcPr>
          <w:p w14:paraId="3DA1AE54">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100</w:t>
            </w:r>
          </w:p>
        </w:tc>
      </w:tr>
      <w:tr w14:paraId="5C643F8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357" w:type="dxa"/>
            <w:tcBorders>
              <w:tl2br w:val="nil"/>
              <w:tr2bl w:val="nil"/>
            </w:tcBorders>
            <w:vAlign w:val="center"/>
          </w:tcPr>
          <w:p w14:paraId="2413E94C">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476" w:type="dxa"/>
            <w:tcBorders>
              <w:tl2br w:val="nil"/>
              <w:tr2bl w:val="nil"/>
            </w:tcBorders>
            <w:vAlign w:val="center"/>
          </w:tcPr>
          <w:p w14:paraId="3C8B53C9">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389" w:type="dxa"/>
            <w:tcBorders>
              <w:tl2br w:val="nil"/>
              <w:tr2bl w:val="nil"/>
            </w:tcBorders>
            <w:vAlign w:val="center"/>
          </w:tcPr>
          <w:p w14:paraId="38BC41C0">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100～50</w:t>
            </w:r>
          </w:p>
        </w:tc>
        <w:tc>
          <w:tcPr>
            <w:tcW w:w="1391" w:type="dxa"/>
            <w:tcBorders>
              <w:tl2br w:val="nil"/>
              <w:tr2bl w:val="nil"/>
            </w:tcBorders>
            <w:vAlign w:val="center"/>
          </w:tcPr>
          <w:p w14:paraId="720DF1E2">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200～100</w:t>
            </w:r>
          </w:p>
        </w:tc>
        <w:tc>
          <w:tcPr>
            <w:tcW w:w="1389" w:type="dxa"/>
            <w:tcBorders>
              <w:tl2br w:val="nil"/>
              <w:tr2bl w:val="nil"/>
            </w:tcBorders>
            <w:vAlign w:val="center"/>
          </w:tcPr>
          <w:p w14:paraId="745915F4">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50～30</w:t>
            </w:r>
          </w:p>
        </w:tc>
        <w:tc>
          <w:tcPr>
            <w:tcW w:w="1336" w:type="dxa"/>
            <w:tcBorders>
              <w:tl2br w:val="nil"/>
              <w:tr2bl w:val="nil"/>
            </w:tcBorders>
            <w:vAlign w:val="center"/>
          </w:tcPr>
          <w:p w14:paraId="3A0D3FBE">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100～50</w:t>
            </w:r>
          </w:p>
        </w:tc>
      </w:tr>
      <w:tr w14:paraId="44782B2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357" w:type="dxa"/>
            <w:tcBorders>
              <w:tl2br w:val="nil"/>
              <w:tr2bl w:val="nil"/>
            </w:tcBorders>
            <w:vAlign w:val="center"/>
          </w:tcPr>
          <w:p w14:paraId="4C025BEB">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476" w:type="dxa"/>
            <w:tcBorders>
              <w:tl2br w:val="nil"/>
              <w:tr2bl w:val="nil"/>
            </w:tcBorders>
            <w:vAlign w:val="center"/>
          </w:tcPr>
          <w:p w14:paraId="7E765016">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389" w:type="dxa"/>
            <w:tcBorders>
              <w:tl2br w:val="nil"/>
              <w:tr2bl w:val="nil"/>
            </w:tcBorders>
            <w:vAlign w:val="center"/>
          </w:tcPr>
          <w:p w14:paraId="01FF769A">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50～30</w:t>
            </w:r>
          </w:p>
        </w:tc>
        <w:tc>
          <w:tcPr>
            <w:tcW w:w="1391" w:type="dxa"/>
            <w:tcBorders>
              <w:tl2br w:val="nil"/>
              <w:tr2bl w:val="nil"/>
            </w:tcBorders>
            <w:vAlign w:val="center"/>
          </w:tcPr>
          <w:p w14:paraId="736E5602">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100～50</w:t>
            </w:r>
          </w:p>
        </w:tc>
        <w:tc>
          <w:tcPr>
            <w:tcW w:w="1389" w:type="dxa"/>
            <w:tcBorders>
              <w:tl2br w:val="nil"/>
              <w:tr2bl w:val="nil"/>
            </w:tcBorders>
            <w:vAlign w:val="center"/>
          </w:tcPr>
          <w:p w14:paraId="3CB24845">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30～20</w:t>
            </w:r>
          </w:p>
        </w:tc>
        <w:tc>
          <w:tcPr>
            <w:tcW w:w="1336" w:type="dxa"/>
            <w:tcBorders>
              <w:tl2br w:val="nil"/>
              <w:tr2bl w:val="nil"/>
            </w:tcBorders>
            <w:vAlign w:val="center"/>
          </w:tcPr>
          <w:p w14:paraId="6E541C7C">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50～30</w:t>
            </w:r>
          </w:p>
        </w:tc>
      </w:tr>
      <w:tr w14:paraId="6369C49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357" w:type="dxa"/>
            <w:tcBorders>
              <w:tl2br w:val="nil"/>
              <w:tr2bl w:val="nil"/>
            </w:tcBorders>
            <w:vAlign w:val="center"/>
          </w:tcPr>
          <w:p w14:paraId="56DB1A3F">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4</w:t>
            </w:r>
          </w:p>
        </w:tc>
        <w:tc>
          <w:tcPr>
            <w:tcW w:w="1476" w:type="dxa"/>
            <w:tcBorders>
              <w:tl2br w:val="nil"/>
              <w:tr2bl w:val="nil"/>
            </w:tcBorders>
            <w:vAlign w:val="center"/>
          </w:tcPr>
          <w:p w14:paraId="428CFA8F">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4</w:t>
            </w:r>
          </w:p>
        </w:tc>
        <w:tc>
          <w:tcPr>
            <w:tcW w:w="1389" w:type="dxa"/>
            <w:tcBorders>
              <w:tl2br w:val="nil"/>
              <w:tr2bl w:val="nil"/>
            </w:tcBorders>
            <w:vAlign w:val="center"/>
          </w:tcPr>
          <w:p w14:paraId="4556CE67">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30～20</w:t>
            </w:r>
          </w:p>
        </w:tc>
        <w:tc>
          <w:tcPr>
            <w:tcW w:w="1391" w:type="dxa"/>
            <w:tcBorders>
              <w:tl2br w:val="nil"/>
              <w:tr2bl w:val="nil"/>
            </w:tcBorders>
            <w:vAlign w:val="center"/>
          </w:tcPr>
          <w:p w14:paraId="20A0DD64">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50～30</w:t>
            </w:r>
          </w:p>
        </w:tc>
        <w:tc>
          <w:tcPr>
            <w:tcW w:w="1389" w:type="dxa"/>
            <w:tcBorders>
              <w:tl2br w:val="nil"/>
              <w:tr2bl w:val="nil"/>
            </w:tcBorders>
            <w:vAlign w:val="center"/>
          </w:tcPr>
          <w:p w14:paraId="05F63AA4">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20～10</w:t>
            </w:r>
          </w:p>
        </w:tc>
        <w:tc>
          <w:tcPr>
            <w:tcW w:w="1336" w:type="dxa"/>
            <w:tcBorders>
              <w:tl2br w:val="nil"/>
              <w:tr2bl w:val="nil"/>
            </w:tcBorders>
            <w:vAlign w:val="center"/>
          </w:tcPr>
          <w:p w14:paraId="739953A9">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30～20</w:t>
            </w:r>
          </w:p>
        </w:tc>
      </w:tr>
      <w:tr w14:paraId="098AFAC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357" w:type="dxa"/>
            <w:tcBorders>
              <w:tl2br w:val="nil"/>
              <w:tr2bl w:val="nil"/>
            </w:tcBorders>
            <w:vAlign w:val="center"/>
          </w:tcPr>
          <w:p w14:paraId="5939BDF7">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5</w:t>
            </w:r>
          </w:p>
        </w:tc>
        <w:tc>
          <w:tcPr>
            <w:tcW w:w="1476" w:type="dxa"/>
            <w:tcBorders>
              <w:tl2br w:val="nil"/>
              <w:tr2bl w:val="nil"/>
            </w:tcBorders>
            <w:vAlign w:val="center"/>
          </w:tcPr>
          <w:p w14:paraId="508BECEA">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5</w:t>
            </w:r>
          </w:p>
        </w:tc>
        <w:tc>
          <w:tcPr>
            <w:tcW w:w="1389" w:type="dxa"/>
            <w:tcBorders>
              <w:tl2br w:val="nil"/>
              <w:tr2bl w:val="nil"/>
            </w:tcBorders>
            <w:vAlign w:val="center"/>
          </w:tcPr>
          <w:p w14:paraId="24E6A5EA">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20～10</w:t>
            </w:r>
          </w:p>
        </w:tc>
        <w:tc>
          <w:tcPr>
            <w:tcW w:w="1391" w:type="dxa"/>
            <w:tcBorders>
              <w:tl2br w:val="nil"/>
              <w:tr2bl w:val="nil"/>
            </w:tcBorders>
            <w:vAlign w:val="center"/>
          </w:tcPr>
          <w:p w14:paraId="43B4E6B8">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30～20</w:t>
            </w:r>
          </w:p>
        </w:tc>
        <w:tc>
          <w:tcPr>
            <w:tcW w:w="1389" w:type="dxa"/>
            <w:tcBorders>
              <w:tl2br w:val="nil"/>
              <w:tr2bl w:val="nil"/>
            </w:tcBorders>
            <w:vAlign w:val="center"/>
          </w:tcPr>
          <w:p w14:paraId="79F7597C">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w:t>
            </w:r>
          </w:p>
        </w:tc>
        <w:tc>
          <w:tcPr>
            <w:tcW w:w="1336" w:type="dxa"/>
            <w:tcBorders>
              <w:tl2br w:val="nil"/>
              <w:tr2bl w:val="nil"/>
            </w:tcBorders>
            <w:vAlign w:val="center"/>
          </w:tcPr>
          <w:p w14:paraId="489332FD">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w:t>
            </w:r>
          </w:p>
        </w:tc>
      </w:tr>
    </w:tbl>
    <w:p w14:paraId="4339754F">
      <w:pPr>
        <w:jc w:val="center"/>
        <w:rPr>
          <w:rFonts w:ascii="Times New Roman" w:hAnsi="Times New Roman" w:cs="Times New Roman"/>
          <w:sz w:val="21"/>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3-2  弃渣场永久性截排水</w:t>
      </w:r>
      <w:r>
        <w:rPr>
          <w:rFonts w:hint="eastAsia" w:ascii="Times New Roman" w:hAnsi="Times New Roman" w:eastAsia="黑体" w:cs="Times New Roman"/>
          <w:sz w:val="18"/>
          <w:szCs w:val="18"/>
        </w:rPr>
        <w:t>工程</w:t>
      </w:r>
      <w:r>
        <w:rPr>
          <w:rFonts w:ascii="Times New Roman" w:hAnsi="Times New Roman" w:eastAsia="黑体" w:cs="Times New Roman"/>
          <w:sz w:val="18"/>
          <w:szCs w:val="18"/>
        </w:rPr>
        <w:t>排水设计标准</w:t>
      </w:r>
    </w:p>
    <w:tbl>
      <w:tblPr>
        <w:tblStyle w:val="11"/>
        <w:tblW w:w="0" w:type="auto"/>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108" w:type="dxa"/>
          <w:bottom w:w="0" w:type="dxa"/>
          <w:right w:w="108" w:type="dxa"/>
        </w:tblCellMar>
      </w:tblPr>
      <w:tblGrid>
        <w:gridCol w:w="2710"/>
        <w:gridCol w:w="2816"/>
        <w:gridCol w:w="2750"/>
      </w:tblGrid>
      <w:tr w14:paraId="35A584EA">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jc w:val="center"/>
        </w:trPr>
        <w:tc>
          <w:tcPr>
            <w:tcW w:w="2732" w:type="dxa"/>
            <w:vAlign w:val="center"/>
          </w:tcPr>
          <w:p w14:paraId="5B896C66">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弃渣场级别</w:t>
            </w:r>
          </w:p>
        </w:tc>
        <w:tc>
          <w:tcPr>
            <w:tcW w:w="2840" w:type="dxa"/>
            <w:vAlign w:val="center"/>
          </w:tcPr>
          <w:p w14:paraId="65616AA8">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截排水工程级别</w:t>
            </w:r>
          </w:p>
        </w:tc>
        <w:tc>
          <w:tcPr>
            <w:tcW w:w="2771" w:type="dxa"/>
            <w:vAlign w:val="center"/>
          </w:tcPr>
          <w:p w14:paraId="3F807455">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排水设计标准</w:t>
            </w:r>
          </w:p>
        </w:tc>
      </w:tr>
      <w:tr w14:paraId="5AA0B5E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jc w:val="center"/>
        </w:trPr>
        <w:tc>
          <w:tcPr>
            <w:tcW w:w="2732" w:type="dxa"/>
            <w:vAlign w:val="center"/>
          </w:tcPr>
          <w:p w14:paraId="11F4E62C">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1～3</w:t>
            </w:r>
          </w:p>
        </w:tc>
        <w:tc>
          <w:tcPr>
            <w:tcW w:w="2840" w:type="dxa"/>
            <w:vAlign w:val="center"/>
          </w:tcPr>
          <w:p w14:paraId="00CE40FF">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2771" w:type="dxa"/>
            <w:vAlign w:val="center"/>
          </w:tcPr>
          <w:p w14:paraId="44E5C0F0">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5年一遇10min</w:t>
            </w:r>
          </w:p>
        </w:tc>
      </w:tr>
      <w:tr w14:paraId="7A0C9EA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jc w:val="center"/>
        </w:trPr>
        <w:tc>
          <w:tcPr>
            <w:tcW w:w="2732" w:type="dxa"/>
            <w:vAlign w:val="center"/>
          </w:tcPr>
          <w:p w14:paraId="4669D94D">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4～5</w:t>
            </w:r>
          </w:p>
        </w:tc>
        <w:tc>
          <w:tcPr>
            <w:tcW w:w="2840" w:type="dxa"/>
            <w:vAlign w:val="center"/>
          </w:tcPr>
          <w:p w14:paraId="148F33FD">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2771" w:type="dxa"/>
            <w:vAlign w:val="center"/>
          </w:tcPr>
          <w:p w14:paraId="15542ABA">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3年一遇10min</w:t>
            </w:r>
          </w:p>
        </w:tc>
      </w:tr>
    </w:tbl>
    <w:p w14:paraId="14B7AD0D">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Ⅳ </w:t>
      </w:r>
      <w:r>
        <w:rPr>
          <w:rFonts w:hint="eastAsia" w:ascii="Times New Roman" w:hAnsi="Times New Roman" w:eastAsia="黑体" w:cs="Times New Roman"/>
          <w:bCs/>
          <w:sz w:val="24"/>
          <w:szCs w:val="24"/>
        </w:rPr>
        <w:t>防风</w:t>
      </w:r>
      <w:r>
        <w:rPr>
          <w:rFonts w:ascii="Times New Roman" w:hAnsi="Times New Roman" w:eastAsia="黑体" w:cs="Times New Roman"/>
          <w:bCs/>
          <w:sz w:val="24"/>
          <w:szCs w:val="24"/>
        </w:rPr>
        <w:t>固沙工程</w:t>
      </w:r>
    </w:p>
    <w:p w14:paraId="77016C9C">
      <w:pPr>
        <w:spacing w:line="360" w:lineRule="auto"/>
        <w:rPr>
          <w:rFonts w:ascii="Times New Roman" w:hAnsi="Times New Roman" w:cs="Times New Roman"/>
          <w:sz w:val="21"/>
          <w:szCs w:val="21"/>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sz w:val="21"/>
          <w:szCs w:val="24"/>
        </w:rPr>
        <w:t xml:space="preserve"> </w:t>
      </w:r>
      <w:r>
        <w:rPr>
          <w:rFonts w:ascii="Times New Roman" w:hAnsi="Times New Roman" w:cs="Times New Roman"/>
          <w:sz w:val="21"/>
          <w:szCs w:val="21"/>
        </w:rPr>
        <w:t xml:space="preserve"> 防风固沙工程级别，应根据风沙危害程度、保护对象、所处位置、工程规模、治理面积等因素，并应按表</w:t>
      </w:r>
      <w:r>
        <w:rPr>
          <w:rFonts w:ascii="Times New Roman" w:hAnsi="Times New Roman" w:cs="Times New Roman"/>
          <w:sz w:val="21"/>
          <w:szCs w:val="24"/>
        </w:rPr>
        <w:t>5.1.4</w:t>
      </w:r>
      <w:r>
        <w:rPr>
          <w:rFonts w:ascii="Times New Roman" w:hAnsi="Times New Roman" w:cs="Times New Roman"/>
          <w:sz w:val="21"/>
          <w:szCs w:val="21"/>
        </w:rPr>
        <w:t>规定确定。</w:t>
      </w:r>
    </w:p>
    <w:p w14:paraId="7BB1BB1F">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4  防风固沙工程级别</w:t>
      </w:r>
    </w:p>
    <w:tbl>
      <w:tblPr>
        <w:tblStyle w:val="10"/>
        <w:tblW w:w="4883" w:type="pct"/>
        <w:tblInd w:w="7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95"/>
        <w:gridCol w:w="1915"/>
        <w:gridCol w:w="1911"/>
        <w:gridCol w:w="1148"/>
        <w:gridCol w:w="1413"/>
      </w:tblGrid>
      <w:tr w14:paraId="18F0C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3" w:hRule="atLeast"/>
          <w:tblHeader/>
        </w:trPr>
        <w:tc>
          <w:tcPr>
            <w:tcW w:w="2232" w:type="pct"/>
            <w:gridSpan w:val="2"/>
            <w:vAlign w:val="center"/>
          </w:tcPr>
          <w:p w14:paraId="0D4473A4">
            <w:pPr>
              <w:adjustRightInd w:val="0"/>
              <w:ind w:right="-96"/>
              <w:jc w:val="center"/>
              <w:rPr>
                <w:rFonts w:ascii="Times New Roman" w:hAnsi="Times New Roman" w:cs="Times New Roman"/>
                <w:sz w:val="15"/>
                <w:szCs w:val="15"/>
              </w:rPr>
            </w:pPr>
            <w:r>
              <w:rPr>
                <w:rFonts w:ascii="Times New Roman" w:hAnsi="Times New Roman" w:cs="Times New Roman"/>
                <w:sz w:val="15"/>
                <w:szCs w:val="15"/>
              </w:rPr>
              <w:t>防治级别</w:t>
            </w:r>
          </w:p>
        </w:tc>
        <w:tc>
          <w:tcPr>
            <w:tcW w:w="1182" w:type="pct"/>
            <w:vAlign w:val="center"/>
          </w:tcPr>
          <w:p w14:paraId="4B801BBF">
            <w:pPr>
              <w:adjustRightInd w:val="0"/>
              <w:ind w:right="-96"/>
              <w:jc w:val="center"/>
              <w:rPr>
                <w:rFonts w:ascii="Times New Roman" w:hAnsi="Times New Roman" w:cs="Times New Roman"/>
                <w:sz w:val="15"/>
                <w:szCs w:val="15"/>
              </w:rPr>
            </w:pPr>
            <w:r>
              <w:rPr>
                <w:rFonts w:ascii="Times New Roman" w:hAnsi="Times New Roman" w:cs="Times New Roman"/>
                <w:sz w:val="15"/>
                <w:szCs w:val="15"/>
              </w:rPr>
              <w:t>严重</w:t>
            </w:r>
          </w:p>
        </w:tc>
        <w:tc>
          <w:tcPr>
            <w:tcW w:w="710" w:type="pct"/>
            <w:vAlign w:val="center"/>
          </w:tcPr>
          <w:p w14:paraId="5077EB08">
            <w:pPr>
              <w:adjustRightInd w:val="0"/>
              <w:ind w:right="-96"/>
              <w:jc w:val="center"/>
              <w:rPr>
                <w:rFonts w:ascii="Times New Roman" w:hAnsi="Times New Roman" w:cs="Times New Roman"/>
                <w:sz w:val="15"/>
                <w:szCs w:val="15"/>
              </w:rPr>
            </w:pPr>
            <w:r>
              <w:rPr>
                <w:rFonts w:ascii="Times New Roman" w:hAnsi="Times New Roman" w:cs="Times New Roman"/>
                <w:sz w:val="15"/>
                <w:szCs w:val="15"/>
              </w:rPr>
              <w:t>中等</w:t>
            </w:r>
          </w:p>
        </w:tc>
        <w:tc>
          <w:tcPr>
            <w:tcW w:w="874" w:type="pct"/>
            <w:vAlign w:val="center"/>
          </w:tcPr>
          <w:p w14:paraId="3C804615">
            <w:pPr>
              <w:adjustRightInd w:val="0"/>
              <w:ind w:right="-96"/>
              <w:jc w:val="center"/>
              <w:rPr>
                <w:rFonts w:ascii="Times New Roman" w:hAnsi="Times New Roman" w:cs="Times New Roman"/>
                <w:sz w:val="15"/>
                <w:szCs w:val="15"/>
              </w:rPr>
            </w:pPr>
            <w:r>
              <w:rPr>
                <w:rFonts w:ascii="Times New Roman" w:hAnsi="Times New Roman" w:cs="Times New Roman"/>
                <w:sz w:val="15"/>
                <w:szCs w:val="15"/>
              </w:rPr>
              <w:t>轻度</w:t>
            </w:r>
          </w:p>
        </w:tc>
      </w:tr>
      <w:tr w14:paraId="7CED3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1048" w:type="pct"/>
            <w:vMerge w:val="restart"/>
            <w:vAlign w:val="center"/>
          </w:tcPr>
          <w:p w14:paraId="7393723D">
            <w:pPr>
              <w:adjustRightInd w:val="0"/>
              <w:ind w:right="-96"/>
              <w:jc w:val="center"/>
              <w:rPr>
                <w:rFonts w:ascii="Times New Roman" w:hAnsi="Times New Roman" w:cs="Times New Roman"/>
                <w:sz w:val="15"/>
                <w:szCs w:val="15"/>
              </w:rPr>
            </w:pPr>
            <w:r>
              <w:rPr>
                <w:rFonts w:ascii="Times New Roman" w:hAnsi="Times New Roman" w:cs="Times New Roman"/>
                <w:sz w:val="15"/>
                <w:szCs w:val="15"/>
              </w:rPr>
              <w:t>公路等级</w:t>
            </w:r>
          </w:p>
        </w:tc>
        <w:tc>
          <w:tcPr>
            <w:tcW w:w="1183" w:type="pct"/>
          </w:tcPr>
          <w:p w14:paraId="734FFC4A">
            <w:pPr>
              <w:adjustRightInd w:val="0"/>
              <w:ind w:right="-96"/>
              <w:jc w:val="center"/>
              <w:rPr>
                <w:rFonts w:ascii="Times New Roman" w:hAnsi="Times New Roman" w:cs="Times New Roman"/>
                <w:sz w:val="15"/>
                <w:szCs w:val="15"/>
              </w:rPr>
            </w:pPr>
            <w:r>
              <w:rPr>
                <w:rFonts w:ascii="Times New Roman" w:hAnsi="Times New Roman" w:cs="Times New Roman"/>
                <w:sz w:val="15"/>
                <w:szCs w:val="15"/>
              </w:rPr>
              <w:t>高速及一级</w:t>
            </w:r>
          </w:p>
        </w:tc>
        <w:tc>
          <w:tcPr>
            <w:tcW w:w="1182" w:type="pct"/>
            <w:vAlign w:val="center"/>
          </w:tcPr>
          <w:p w14:paraId="78913EFE">
            <w:pPr>
              <w:adjustRightInd w:val="0"/>
              <w:ind w:right="-96"/>
              <w:jc w:val="center"/>
              <w:rPr>
                <w:rFonts w:ascii="Times New Roman" w:hAnsi="Times New Roman" w:cs="Times New Roman"/>
                <w:sz w:val="15"/>
                <w:szCs w:val="15"/>
              </w:rPr>
            </w:pPr>
            <w:r>
              <w:rPr>
                <w:rFonts w:ascii="Times New Roman" w:hAnsi="Times New Roman" w:cs="Times New Roman"/>
                <w:sz w:val="15"/>
                <w:szCs w:val="15"/>
              </w:rPr>
              <w:t>1</w:t>
            </w:r>
          </w:p>
        </w:tc>
        <w:tc>
          <w:tcPr>
            <w:tcW w:w="710" w:type="pct"/>
            <w:vAlign w:val="center"/>
          </w:tcPr>
          <w:p w14:paraId="34DC689E">
            <w:pPr>
              <w:adjustRightInd w:val="0"/>
              <w:ind w:right="-96"/>
              <w:jc w:val="center"/>
              <w:rPr>
                <w:rFonts w:ascii="Times New Roman" w:hAnsi="Times New Roman" w:cs="Times New Roman"/>
                <w:sz w:val="15"/>
                <w:szCs w:val="15"/>
              </w:rPr>
            </w:pPr>
            <w:r>
              <w:rPr>
                <w:rFonts w:ascii="Times New Roman" w:hAnsi="Times New Roman" w:cs="Times New Roman"/>
                <w:sz w:val="15"/>
                <w:szCs w:val="15"/>
              </w:rPr>
              <w:t>2</w:t>
            </w:r>
          </w:p>
        </w:tc>
        <w:tc>
          <w:tcPr>
            <w:tcW w:w="874" w:type="pct"/>
            <w:vAlign w:val="center"/>
          </w:tcPr>
          <w:p w14:paraId="0D299FA4">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r>
      <w:tr w14:paraId="5B85B9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1048" w:type="pct"/>
            <w:vMerge w:val="continue"/>
            <w:vAlign w:val="center"/>
          </w:tcPr>
          <w:p w14:paraId="589C5E75">
            <w:pPr>
              <w:adjustRightInd w:val="0"/>
              <w:ind w:right="-96"/>
              <w:jc w:val="center"/>
              <w:rPr>
                <w:rFonts w:ascii="Times New Roman" w:hAnsi="Times New Roman" w:cs="Times New Roman"/>
                <w:sz w:val="15"/>
                <w:szCs w:val="15"/>
              </w:rPr>
            </w:pPr>
          </w:p>
        </w:tc>
        <w:tc>
          <w:tcPr>
            <w:tcW w:w="1183" w:type="pct"/>
          </w:tcPr>
          <w:p w14:paraId="6DA2BFC4">
            <w:pPr>
              <w:adjustRightInd w:val="0"/>
              <w:ind w:right="-96"/>
              <w:jc w:val="center"/>
              <w:rPr>
                <w:rFonts w:ascii="Times New Roman" w:hAnsi="Times New Roman" w:cs="Times New Roman"/>
                <w:sz w:val="15"/>
                <w:szCs w:val="15"/>
              </w:rPr>
            </w:pPr>
            <w:r>
              <w:rPr>
                <w:rFonts w:ascii="Times New Roman" w:hAnsi="Times New Roman" w:cs="Times New Roman"/>
                <w:sz w:val="15"/>
                <w:szCs w:val="15"/>
              </w:rPr>
              <w:t>二级</w:t>
            </w:r>
          </w:p>
        </w:tc>
        <w:tc>
          <w:tcPr>
            <w:tcW w:w="1182" w:type="pct"/>
            <w:vAlign w:val="center"/>
          </w:tcPr>
          <w:p w14:paraId="70551F3D">
            <w:pPr>
              <w:adjustRightInd w:val="0"/>
              <w:ind w:right="-96"/>
              <w:jc w:val="center"/>
              <w:rPr>
                <w:rFonts w:ascii="Times New Roman" w:hAnsi="Times New Roman" w:cs="Times New Roman"/>
                <w:sz w:val="15"/>
                <w:szCs w:val="15"/>
              </w:rPr>
            </w:pPr>
            <w:r>
              <w:rPr>
                <w:rFonts w:ascii="Times New Roman" w:hAnsi="Times New Roman" w:cs="Times New Roman"/>
                <w:sz w:val="15"/>
                <w:szCs w:val="15"/>
              </w:rPr>
              <w:t>2</w:t>
            </w:r>
          </w:p>
        </w:tc>
        <w:tc>
          <w:tcPr>
            <w:tcW w:w="710" w:type="pct"/>
            <w:vAlign w:val="center"/>
          </w:tcPr>
          <w:p w14:paraId="455C55D1">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c>
          <w:tcPr>
            <w:tcW w:w="874" w:type="pct"/>
            <w:vAlign w:val="center"/>
          </w:tcPr>
          <w:p w14:paraId="0B72FEFE">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r>
      <w:tr w14:paraId="77C00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48" w:type="pct"/>
            <w:vMerge w:val="continue"/>
            <w:vAlign w:val="center"/>
          </w:tcPr>
          <w:p w14:paraId="7222F3F5">
            <w:pPr>
              <w:adjustRightInd w:val="0"/>
              <w:ind w:right="-96"/>
              <w:jc w:val="center"/>
              <w:rPr>
                <w:rFonts w:ascii="Times New Roman" w:hAnsi="Times New Roman" w:cs="Times New Roman"/>
                <w:sz w:val="15"/>
                <w:szCs w:val="15"/>
              </w:rPr>
            </w:pPr>
          </w:p>
        </w:tc>
        <w:tc>
          <w:tcPr>
            <w:tcW w:w="1183" w:type="pct"/>
          </w:tcPr>
          <w:p w14:paraId="70EDAC1D">
            <w:pPr>
              <w:adjustRightInd w:val="0"/>
              <w:ind w:right="-96"/>
              <w:jc w:val="center"/>
              <w:rPr>
                <w:rFonts w:ascii="Times New Roman" w:hAnsi="Times New Roman" w:cs="Times New Roman"/>
                <w:sz w:val="15"/>
                <w:szCs w:val="15"/>
              </w:rPr>
            </w:pPr>
            <w:r>
              <w:rPr>
                <w:rFonts w:ascii="Times New Roman" w:hAnsi="Times New Roman" w:cs="Times New Roman"/>
                <w:sz w:val="15"/>
                <w:szCs w:val="15"/>
              </w:rPr>
              <w:t>三级及等外</w:t>
            </w:r>
          </w:p>
        </w:tc>
        <w:tc>
          <w:tcPr>
            <w:tcW w:w="1182" w:type="pct"/>
            <w:vAlign w:val="center"/>
          </w:tcPr>
          <w:p w14:paraId="4DAF75AB">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c>
          <w:tcPr>
            <w:tcW w:w="710" w:type="pct"/>
            <w:vAlign w:val="center"/>
          </w:tcPr>
          <w:p w14:paraId="7C6D3F7D">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c>
          <w:tcPr>
            <w:tcW w:w="874" w:type="pct"/>
            <w:vAlign w:val="center"/>
          </w:tcPr>
          <w:p w14:paraId="1ECE2969">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r>
      <w:tr w14:paraId="375D43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2" w:hRule="atLeast"/>
        </w:trPr>
        <w:tc>
          <w:tcPr>
            <w:tcW w:w="1048" w:type="pct"/>
            <w:vMerge w:val="restart"/>
            <w:vAlign w:val="center"/>
          </w:tcPr>
          <w:p w14:paraId="58F91A52">
            <w:pPr>
              <w:adjustRightInd w:val="0"/>
              <w:ind w:right="-96"/>
              <w:jc w:val="center"/>
              <w:rPr>
                <w:rFonts w:ascii="Times New Roman" w:hAnsi="Times New Roman" w:cs="Times New Roman"/>
                <w:sz w:val="15"/>
                <w:szCs w:val="15"/>
              </w:rPr>
            </w:pPr>
            <w:r>
              <w:rPr>
                <w:rFonts w:ascii="Times New Roman" w:hAnsi="Times New Roman" w:cs="Times New Roman"/>
                <w:sz w:val="15"/>
                <w:szCs w:val="15"/>
              </w:rPr>
              <w:t>铁路等级</w:t>
            </w:r>
          </w:p>
        </w:tc>
        <w:tc>
          <w:tcPr>
            <w:tcW w:w="1183" w:type="pct"/>
          </w:tcPr>
          <w:p w14:paraId="4101C02A">
            <w:pPr>
              <w:adjustRightInd w:val="0"/>
              <w:ind w:right="-96"/>
              <w:jc w:val="center"/>
              <w:rPr>
                <w:rFonts w:ascii="Times New Roman" w:hAnsi="Times New Roman" w:cs="Times New Roman"/>
                <w:sz w:val="15"/>
                <w:szCs w:val="15"/>
              </w:rPr>
            </w:pPr>
            <w:r>
              <w:rPr>
                <w:rFonts w:ascii="Times New Roman" w:hAnsi="Times New Roman" w:cs="Times New Roman"/>
                <w:sz w:val="15"/>
                <w:szCs w:val="15"/>
              </w:rPr>
              <w:t>国铁Ⅰ级及客运专线</w:t>
            </w:r>
          </w:p>
        </w:tc>
        <w:tc>
          <w:tcPr>
            <w:tcW w:w="1182" w:type="pct"/>
            <w:vAlign w:val="center"/>
          </w:tcPr>
          <w:p w14:paraId="573D5CE2">
            <w:pPr>
              <w:adjustRightInd w:val="0"/>
              <w:ind w:right="-96"/>
              <w:jc w:val="center"/>
              <w:rPr>
                <w:rFonts w:ascii="Times New Roman" w:hAnsi="Times New Roman" w:cs="Times New Roman"/>
                <w:sz w:val="15"/>
                <w:szCs w:val="15"/>
              </w:rPr>
            </w:pPr>
            <w:r>
              <w:rPr>
                <w:rFonts w:ascii="Times New Roman" w:hAnsi="Times New Roman" w:cs="Times New Roman"/>
                <w:sz w:val="15"/>
                <w:szCs w:val="15"/>
              </w:rPr>
              <w:t>1</w:t>
            </w:r>
          </w:p>
        </w:tc>
        <w:tc>
          <w:tcPr>
            <w:tcW w:w="710" w:type="pct"/>
            <w:vAlign w:val="center"/>
          </w:tcPr>
          <w:p w14:paraId="556818FE">
            <w:pPr>
              <w:adjustRightInd w:val="0"/>
              <w:ind w:right="-96"/>
              <w:jc w:val="center"/>
              <w:rPr>
                <w:rFonts w:ascii="Times New Roman" w:hAnsi="Times New Roman" w:cs="Times New Roman"/>
                <w:sz w:val="15"/>
                <w:szCs w:val="15"/>
              </w:rPr>
            </w:pPr>
            <w:r>
              <w:rPr>
                <w:rFonts w:ascii="Times New Roman" w:hAnsi="Times New Roman" w:cs="Times New Roman"/>
                <w:sz w:val="15"/>
                <w:szCs w:val="15"/>
              </w:rPr>
              <w:t>1</w:t>
            </w:r>
          </w:p>
        </w:tc>
        <w:tc>
          <w:tcPr>
            <w:tcW w:w="874" w:type="pct"/>
            <w:vAlign w:val="center"/>
          </w:tcPr>
          <w:p w14:paraId="7441F043">
            <w:pPr>
              <w:adjustRightInd w:val="0"/>
              <w:ind w:right="-96"/>
              <w:jc w:val="center"/>
              <w:rPr>
                <w:rFonts w:ascii="Times New Roman" w:hAnsi="Times New Roman" w:cs="Times New Roman"/>
                <w:sz w:val="15"/>
                <w:szCs w:val="15"/>
              </w:rPr>
            </w:pPr>
            <w:r>
              <w:rPr>
                <w:rFonts w:ascii="Times New Roman" w:hAnsi="Times New Roman" w:cs="Times New Roman"/>
                <w:sz w:val="15"/>
                <w:szCs w:val="15"/>
              </w:rPr>
              <w:t>2</w:t>
            </w:r>
          </w:p>
        </w:tc>
      </w:tr>
      <w:tr w14:paraId="0A20F8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1048" w:type="pct"/>
            <w:vMerge w:val="continue"/>
            <w:vAlign w:val="center"/>
          </w:tcPr>
          <w:p w14:paraId="0C5C7F4B">
            <w:pPr>
              <w:adjustRightInd w:val="0"/>
              <w:ind w:right="-96"/>
              <w:jc w:val="center"/>
              <w:rPr>
                <w:rFonts w:ascii="Times New Roman" w:hAnsi="Times New Roman" w:cs="Times New Roman"/>
                <w:sz w:val="15"/>
                <w:szCs w:val="15"/>
              </w:rPr>
            </w:pPr>
          </w:p>
        </w:tc>
        <w:tc>
          <w:tcPr>
            <w:tcW w:w="1183" w:type="pct"/>
          </w:tcPr>
          <w:p w14:paraId="2C7A76F1">
            <w:pPr>
              <w:adjustRightInd w:val="0"/>
              <w:ind w:right="-96"/>
              <w:jc w:val="center"/>
              <w:rPr>
                <w:rFonts w:ascii="Times New Roman" w:hAnsi="Times New Roman" w:cs="Times New Roman"/>
                <w:sz w:val="15"/>
                <w:szCs w:val="15"/>
              </w:rPr>
            </w:pPr>
            <w:r>
              <w:rPr>
                <w:rFonts w:ascii="Times New Roman" w:hAnsi="Times New Roman" w:cs="Times New Roman"/>
                <w:sz w:val="15"/>
                <w:szCs w:val="15"/>
              </w:rPr>
              <w:t>国铁Ⅱ级</w:t>
            </w:r>
          </w:p>
        </w:tc>
        <w:tc>
          <w:tcPr>
            <w:tcW w:w="1182" w:type="pct"/>
            <w:vAlign w:val="center"/>
          </w:tcPr>
          <w:p w14:paraId="1C9661DF">
            <w:pPr>
              <w:adjustRightInd w:val="0"/>
              <w:ind w:right="-96"/>
              <w:jc w:val="center"/>
              <w:rPr>
                <w:rFonts w:ascii="Times New Roman" w:hAnsi="Times New Roman" w:cs="Times New Roman"/>
                <w:sz w:val="15"/>
                <w:szCs w:val="15"/>
              </w:rPr>
            </w:pPr>
            <w:r>
              <w:rPr>
                <w:rFonts w:ascii="Times New Roman" w:hAnsi="Times New Roman" w:cs="Times New Roman"/>
                <w:sz w:val="15"/>
                <w:szCs w:val="15"/>
              </w:rPr>
              <w:t>1</w:t>
            </w:r>
          </w:p>
        </w:tc>
        <w:tc>
          <w:tcPr>
            <w:tcW w:w="710" w:type="pct"/>
            <w:vAlign w:val="center"/>
          </w:tcPr>
          <w:p w14:paraId="4FF95A83">
            <w:pPr>
              <w:adjustRightInd w:val="0"/>
              <w:ind w:right="-96"/>
              <w:jc w:val="center"/>
              <w:rPr>
                <w:rFonts w:ascii="Times New Roman" w:hAnsi="Times New Roman" w:cs="Times New Roman"/>
                <w:sz w:val="15"/>
                <w:szCs w:val="15"/>
              </w:rPr>
            </w:pPr>
            <w:r>
              <w:rPr>
                <w:rFonts w:ascii="Times New Roman" w:hAnsi="Times New Roman" w:cs="Times New Roman"/>
                <w:sz w:val="15"/>
                <w:szCs w:val="15"/>
              </w:rPr>
              <w:t>2</w:t>
            </w:r>
          </w:p>
        </w:tc>
        <w:tc>
          <w:tcPr>
            <w:tcW w:w="874" w:type="pct"/>
            <w:vAlign w:val="center"/>
          </w:tcPr>
          <w:p w14:paraId="51B0D84C">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r>
      <w:tr w14:paraId="5E5780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48" w:type="pct"/>
            <w:vMerge w:val="continue"/>
            <w:vAlign w:val="center"/>
          </w:tcPr>
          <w:p w14:paraId="39D8B83D">
            <w:pPr>
              <w:adjustRightInd w:val="0"/>
              <w:ind w:right="-96"/>
              <w:jc w:val="center"/>
              <w:rPr>
                <w:rFonts w:ascii="Times New Roman" w:hAnsi="Times New Roman" w:cs="Times New Roman"/>
                <w:sz w:val="15"/>
                <w:szCs w:val="15"/>
              </w:rPr>
            </w:pPr>
          </w:p>
        </w:tc>
        <w:tc>
          <w:tcPr>
            <w:tcW w:w="1183" w:type="pct"/>
          </w:tcPr>
          <w:p w14:paraId="441004EF">
            <w:pPr>
              <w:adjustRightInd w:val="0"/>
              <w:ind w:right="-96"/>
              <w:jc w:val="center"/>
              <w:rPr>
                <w:rFonts w:ascii="Times New Roman" w:hAnsi="Times New Roman" w:cs="Times New Roman"/>
                <w:sz w:val="15"/>
                <w:szCs w:val="15"/>
              </w:rPr>
            </w:pPr>
            <w:r>
              <w:rPr>
                <w:rFonts w:ascii="Times New Roman" w:hAnsi="Times New Roman" w:cs="Times New Roman"/>
                <w:sz w:val="15"/>
                <w:szCs w:val="15"/>
              </w:rPr>
              <w:t>国铁Ⅲ级及以下</w:t>
            </w:r>
          </w:p>
        </w:tc>
        <w:tc>
          <w:tcPr>
            <w:tcW w:w="1182" w:type="pct"/>
            <w:vAlign w:val="center"/>
          </w:tcPr>
          <w:p w14:paraId="1A95DE4D">
            <w:pPr>
              <w:adjustRightInd w:val="0"/>
              <w:ind w:right="-96"/>
              <w:jc w:val="center"/>
              <w:rPr>
                <w:rFonts w:ascii="Times New Roman" w:hAnsi="Times New Roman" w:cs="Times New Roman"/>
                <w:sz w:val="15"/>
                <w:szCs w:val="15"/>
              </w:rPr>
            </w:pPr>
            <w:r>
              <w:rPr>
                <w:rFonts w:ascii="Times New Roman" w:hAnsi="Times New Roman" w:cs="Times New Roman"/>
                <w:sz w:val="15"/>
                <w:szCs w:val="15"/>
              </w:rPr>
              <w:t>2</w:t>
            </w:r>
          </w:p>
        </w:tc>
        <w:tc>
          <w:tcPr>
            <w:tcW w:w="710" w:type="pct"/>
            <w:vAlign w:val="center"/>
          </w:tcPr>
          <w:p w14:paraId="09E281E8">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c>
          <w:tcPr>
            <w:tcW w:w="874" w:type="pct"/>
            <w:vAlign w:val="center"/>
          </w:tcPr>
          <w:p w14:paraId="74FDCD03">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r>
      <w:tr w14:paraId="237296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48" w:type="pct"/>
            <w:vMerge w:val="restart"/>
            <w:vAlign w:val="center"/>
          </w:tcPr>
          <w:p w14:paraId="2AD82C86">
            <w:pPr>
              <w:adjustRightInd w:val="0"/>
              <w:ind w:right="-96"/>
              <w:jc w:val="center"/>
              <w:rPr>
                <w:rFonts w:ascii="Times New Roman" w:hAnsi="Times New Roman" w:cs="Times New Roman"/>
                <w:sz w:val="15"/>
                <w:szCs w:val="15"/>
              </w:rPr>
            </w:pPr>
            <w:r>
              <w:rPr>
                <w:rFonts w:ascii="Times New Roman" w:hAnsi="Times New Roman" w:cs="Times New Roman"/>
                <w:sz w:val="15"/>
                <w:szCs w:val="15"/>
              </w:rPr>
              <w:t>输水项目（m</w:t>
            </w:r>
            <w:r>
              <w:rPr>
                <w:rFonts w:ascii="Times New Roman" w:hAnsi="Times New Roman" w:cs="Times New Roman"/>
                <w:sz w:val="15"/>
                <w:szCs w:val="15"/>
                <w:vertAlign w:val="superscript"/>
              </w:rPr>
              <w:t>3</w:t>
            </w:r>
            <w:r>
              <w:rPr>
                <w:rFonts w:ascii="Times New Roman" w:hAnsi="Times New Roman" w:cs="Times New Roman"/>
                <w:sz w:val="15"/>
                <w:szCs w:val="15"/>
              </w:rPr>
              <w:t>/s）</w:t>
            </w:r>
          </w:p>
        </w:tc>
        <w:tc>
          <w:tcPr>
            <w:tcW w:w="1183" w:type="pct"/>
          </w:tcPr>
          <w:p w14:paraId="6B61103F">
            <w:pPr>
              <w:adjustRightInd w:val="0"/>
              <w:ind w:right="-96"/>
              <w:jc w:val="center"/>
              <w:rPr>
                <w:rFonts w:ascii="Times New Roman" w:hAnsi="Times New Roman" w:cs="Times New Roman"/>
                <w:sz w:val="15"/>
                <w:szCs w:val="15"/>
              </w:rPr>
            </w:pPr>
            <w:r>
              <w:rPr>
                <w:rFonts w:ascii="Times New Roman" w:hAnsi="Times New Roman" w:cs="Times New Roman"/>
                <w:sz w:val="15"/>
                <w:szCs w:val="15"/>
              </w:rPr>
              <w:t>≥100</w:t>
            </w:r>
          </w:p>
        </w:tc>
        <w:tc>
          <w:tcPr>
            <w:tcW w:w="1182" w:type="pct"/>
            <w:vAlign w:val="center"/>
          </w:tcPr>
          <w:p w14:paraId="6116441D">
            <w:pPr>
              <w:adjustRightInd w:val="0"/>
              <w:ind w:right="-96"/>
              <w:jc w:val="center"/>
              <w:rPr>
                <w:rFonts w:ascii="Times New Roman" w:hAnsi="Times New Roman" w:cs="Times New Roman"/>
                <w:sz w:val="15"/>
                <w:szCs w:val="15"/>
              </w:rPr>
            </w:pPr>
            <w:r>
              <w:rPr>
                <w:rFonts w:ascii="Times New Roman" w:hAnsi="Times New Roman" w:cs="Times New Roman"/>
                <w:sz w:val="15"/>
                <w:szCs w:val="15"/>
              </w:rPr>
              <w:t>1</w:t>
            </w:r>
          </w:p>
        </w:tc>
        <w:tc>
          <w:tcPr>
            <w:tcW w:w="710" w:type="pct"/>
            <w:vAlign w:val="center"/>
          </w:tcPr>
          <w:p w14:paraId="74EA0EF1">
            <w:pPr>
              <w:adjustRightInd w:val="0"/>
              <w:ind w:right="-96"/>
              <w:jc w:val="center"/>
              <w:rPr>
                <w:rFonts w:ascii="Times New Roman" w:hAnsi="Times New Roman" w:cs="Times New Roman"/>
                <w:sz w:val="15"/>
                <w:szCs w:val="15"/>
              </w:rPr>
            </w:pPr>
            <w:r>
              <w:rPr>
                <w:rFonts w:ascii="Times New Roman" w:hAnsi="Times New Roman" w:cs="Times New Roman"/>
                <w:sz w:val="15"/>
                <w:szCs w:val="15"/>
              </w:rPr>
              <w:t>2</w:t>
            </w:r>
          </w:p>
        </w:tc>
        <w:tc>
          <w:tcPr>
            <w:tcW w:w="874" w:type="pct"/>
            <w:vAlign w:val="center"/>
          </w:tcPr>
          <w:p w14:paraId="303EE52B">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r>
      <w:tr w14:paraId="0DF0DE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48" w:type="pct"/>
            <w:vMerge w:val="continue"/>
            <w:vAlign w:val="center"/>
          </w:tcPr>
          <w:p w14:paraId="14199864">
            <w:pPr>
              <w:adjustRightInd w:val="0"/>
              <w:ind w:right="-96"/>
              <w:jc w:val="center"/>
              <w:rPr>
                <w:rFonts w:ascii="Times New Roman" w:hAnsi="Times New Roman" w:cs="Times New Roman"/>
                <w:sz w:val="15"/>
                <w:szCs w:val="15"/>
              </w:rPr>
            </w:pPr>
          </w:p>
        </w:tc>
        <w:tc>
          <w:tcPr>
            <w:tcW w:w="1183" w:type="pct"/>
          </w:tcPr>
          <w:p w14:paraId="28A20B77">
            <w:pPr>
              <w:adjustRightInd w:val="0"/>
              <w:ind w:right="-96"/>
              <w:jc w:val="center"/>
              <w:rPr>
                <w:rFonts w:ascii="Times New Roman" w:hAnsi="Times New Roman" w:cs="Times New Roman"/>
                <w:sz w:val="15"/>
                <w:szCs w:val="15"/>
              </w:rPr>
            </w:pPr>
            <w:r>
              <w:rPr>
                <w:rFonts w:ascii="Times New Roman" w:hAnsi="Times New Roman" w:cs="Times New Roman"/>
                <w:sz w:val="15"/>
                <w:szCs w:val="15"/>
              </w:rPr>
              <w:t>100~5</w:t>
            </w:r>
          </w:p>
        </w:tc>
        <w:tc>
          <w:tcPr>
            <w:tcW w:w="1182" w:type="pct"/>
            <w:vAlign w:val="center"/>
          </w:tcPr>
          <w:p w14:paraId="7BBA8334">
            <w:pPr>
              <w:adjustRightInd w:val="0"/>
              <w:ind w:right="-96"/>
              <w:jc w:val="center"/>
              <w:rPr>
                <w:rFonts w:ascii="Times New Roman" w:hAnsi="Times New Roman" w:cs="Times New Roman"/>
                <w:sz w:val="15"/>
                <w:szCs w:val="15"/>
              </w:rPr>
            </w:pPr>
            <w:r>
              <w:rPr>
                <w:rFonts w:ascii="Times New Roman" w:hAnsi="Times New Roman" w:cs="Times New Roman"/>
                <w:sz w:val="15"/>
                <w:szCs w:val="15"/>
              </w:rPr>
              <w:t>2</w:t>
            </w:r>
          </w:p>
        </w:tc>
        <w:tc>
          <w:tcPr>
            <w:tcW w:w="710" w:type="pct"/>
            <w:vAlign w:val="center"/>
          </w:tcPr>
          <w:p w14:paraId="3D19527D">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c>
          <w:tcPr>
            <w:tcW w:w="874" w:type="pct"/>
            <w:vAlign w:val="center"/>
          </w:tcPr>
          <w:p w14:paraId="15E883CC">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r>
      <w:tr w14:paraId="42D495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48" w:type="pct"/>
            <w:vMerge w:val="continue"/>
            <w:vAlign w:val="center"/>
          </w:tcPr>
          <w:p w14:paraId="4C968680">
            <w:pPr>
              <w:adjustRightInd w:val="0"/>
              <w:ind w:right="-96"/>
              <w:jc w:val="center"/>
              <w:rPr>
                <w:rFonts w:ascii="Times New Roman" w:hAnsi="Times New Roman" w:cs="Times New Roman"/>
                <w:sz w:val="15"/>
                <w:szCs w:val="15"/>
              </w:rPr>
            </w:pPr>
          </w:p>
        </w:tc>
        <w:tc>
          <w:tcPr>
            <w:tcW w:w="1183" w:type="pct"/>
          </w:tcPr>
          <w:p w14:paraId="214769EF">
            <w:pPr>
              <w:adjustRightInd w:val="0"/>
              <w:ind w:right="-96"/>
              <w:jc w:val="center"/>
              <w:rPr>
                <w:rFonts w:ascii="Times New Roman" w:hAnsi="Times New Roman" w:cs="Times New Roman"/>
                <w:sz w:val="15"/>
                <w:szCs w:val="15"/>
              </w:rPr>
            </w:pPr>
            <w:r>
              <w:rPr>
                <w:rFonts w:ascii="Times New Roman" w:hAnsi="Times New Roman" w:cs="Times New Roman"/>
                <w:sz w:val="15"/>
                <w:szCs w:val="15"/>
              </w:rPr>
              <w:t>﹤5</w:t>
            </w:r>
          </w:p>
        </w:tc>
        <w:tc>
          <w:tcPr>
            <w:tcW w:w="1182" w:type="pct"/>
            <w:vAlign w:val="center"/>
          </w:tcPr>
          <w:p w14:paraId="7ADBAC47">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c>
          <w:tcPr>
            <w:tcW w:w="710" w:type="pct"/>
            <w:vAlign w:val="center"/>
          </w:tcPr>
          <w:p w14:paraId="63C543AB">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c>
          <w:tcPr>
            <w:tcW w:w="874" w:type="pct"/>
            <w:vAlign w:val="center"/>
          </w:tcPr>
          <w:p w14:paraId="473C8176">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r>
      <w:tr w14:paraId="677E6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48" w:type="pct"/>
            <w:vMerge w:val="restart"/>
            <w:vAlign w:val="center"/>
          </w:tcPr>
          <w:p w14:paraId="401D7FB2">
            <w:pPr>
              <w:adjustRightInd w:val="0"/>
              <w:ind w:right="-96"/>
              <w:jc w:val="center"/>
              <w:rPr>
                <w:rFonts w:ascii="Times New Roman" w:hAnsi="Times New Roman" w:cs="Times New Roman"/>
                <w:sz w:val="15"/>
                <w:szCs w:val="15"/>
              </w:rPr>
            </w:pPr>
            <w:r>
              <w:rPr>
                <w:rFonts w:ascii="Times New Roman" w:hAnsi="Times New Roman" w:cs="Times New Roman"/>
                <w:sz w:val="15"/>
                <w:szCs w:val="15"/>
              </w:rPr>
              <w:t>园区</w:t>
            </w:r>
          </w:p>
        </w:tc>
        <w:tc>
          <w:tcPr>
            <w:tcW w:w="1183" w:type="pct"/>
          </w:tcPr>
          <w:p w14:paraId="26B150A3">
            <w:pPr>
              <w:adjustRightInd w:val="0"/>
              <w:ind w:right="-96"/>
              <w:jc w:val="center"/>
              <w:rPr>
                <w:rFonts w:ascii="Times New Roman" w:hAnsi="Times New Roman" w:cs="Times New Roman"/>
                <w:kern w:val="0"/>
                <w:sz w:val="15"/>
                <w:szCs w:val="15"/>
              </w:rPr>
            </w:pPr>
            <w:r>
              <w:rPr>
                <w:rFonts w:ascii="Times New Roman" w:hAnsi="Times New Roman" w:cs="Times New Roman"/>
                <w:sz w:val="15"/>
                <w:szCs w:val="15"/>
              </w:rPr>
              <w:t>国家级</w:t>
            </w:r>
          </w:p>
        </w:tc>
        <w:tc>
          <w:tcPr>
            <w:tcW w:w="1182" w:type="pct"/>
            <w:vAlign w:val="center"/>
          </w:tcPr>
          <w:p w14:paraId="7D2019F7">
            <w:pPr>
              <w:adjustRightInd w:val="0"/>
              <w:ind w:right="-96"/>
              <w:jc w:val="center"/>
              <w:rPr>
                <w:rFonts w:ascii="Times New Roman" w:hAnsi="Times New Roman" w:cs="Times New Roman"/>
                <w:sz w:val="15"/>
                <w:szCs w:val="15"/>
              </w:rPr>
            </w:pPr>
            <w:r>
              <w:rPr>
                <w:rFonts w:ascii="Times New Roman" w:hAnsi="Times New Roman" w:cs="Times New Roman"/>
                <w:sz w:val="15"/>
                <w:szCs w:val="15"/>
              </w:rPr>
              <w:t>1</w:t>
            </w:r>
          </w:p>
        </w:tc>
        <w:tc>
          <w:tcPr>
            <w:tcW w:w="710" w:type="pct"/>
            <w:vAlign w:val="center"/>
          </w:tcPr>
          <w:p w14:paraId="520FCB4B">
            <w:pPr>
              <w:adjustRightInd w:val="0"/>
              <w:ind w:right="-96"/>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874" w:type="pct"/>
            <w:vAlign w:val="center"/>
          </w:tcPr>
          <w:p w14:paraId="578EF522">
            <w:pPr>
              <w:adjustRightInd w:val="0"/>
              <w:ind w:right="-96"/>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r w14:paraId="4EDE75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48" w:type="pct"/>
            <w:vMerge w:val="continue"/>
            <w:vAlign w:val="center"/>
          </w:tcPr>
          <w:p w14:paraId="5E0BA41A">
            <w:pPr>
              <w:adjustRightInd w:val="0"/>
              <w:ind w:right="-96"/>
              <w:jc w:val="center"/>
              <w:rPr>
                <w:rFonts w:ascii="Times New Roman" w:hAnsi="Times New Roman" w:cs="Times New Roman"/>
                <w:sz w:val="15"/>
                <w:szCs w:val="15"/>
              </w:rPr>
            </w:pPr>
          </w:p>
        </w:tc>
        <w:tc>
          <w:tcPr>
            <w:tcW w:w="1183" w:type="pct"/>
          </w:tcPr>
          <w:p w14:paraId="2742971A">
            <w:pPr>
              <w:adjustRightInd w:val="0"/>
              <w:ind w:right="-96"/>
              <w:jc w:val="center"/>
              <w:rPr>
                <w:rFonts w:ascii="Times New Roman" w:hAnsi="Times New Roman" w:cs="Times New Roman"/>
                <w:kern w:val="0"/>
                <w:sz w:val="15"/>
                <w:szCs w:val="15"/>
              </w:rPr>
            </w:pPr>
            <w:r>
              <w:rPr>
                <w:rFonts w:ascii="Times New Roman" w:hAnsi="Times New Roman" w:cs="Times New Roman"/>
                <w:sz w:val="15"/>
                <w:szCs w:val="15"/>
              </w:rPr>
              <w:t>省级</w:t>
            </w:r>
          </w:p>
        </w:tc>
        <w:tc>
          <w:tcPr>
            <w:tcW w:w="1182" w:type="pct"/>
            <w:vAlign w:val="center"/>
          </w:tcPr>
          <w:p w14:paraId="1FD70584">
            <w:pPr>
              <w:adjustRightInd w:val="0"/>
              <w:ind w:right="-96"/>
              <w:jc w:val="center"/>
              <w:rPr>
                <w:rFonts w:ascii="Times New Roman" w:hAnsi="Times New Roman" w:cs="Times New Roman"/>
                <w:sz w:val="15"/>
                <w:szCs w:val="15"/>
              </w:rPr>
            </w:pPr>
            <w:r>
              <w:rPr>
                <w:rFonts w:ascii="Times New Roman" w:hAnsi="Times New Roman" w:cs="Times New Roman"/>
                <w:sz w:val="15"/>
                <w:szCs w:val="15"/>
              </w:rPr>
              <w:t>2</w:t>
            </w:r>
          </w:p>
        </w:tc>
        <w:tc>
          <w:tcPr>
            <w:tcW w:w="710" w:type="pct"/>
            <w:vAlign w:val="center"/>
          </w:tcPr>
          <w:p w14:paraId="777FAEE7">
            <w:pPr>
              <w:adjustRightInd w:val="0"/>
              <w:ind w:right="-96"/>
              <w:jc w:val="center"/>
              <w:rPr>
                <w:rFonts w:ascii="Times New Roman" w:hAnsi="Times New Roman" w:cs="Times New Roman"/>
                <w:kern w:val="0"/>
                <w:sz w:val="15"/>
                <w:szCs w:val="15"/>
              </w:rPr>
            </w:pPr>
            <w:r>
              <w:rPr>
                <w:rFonts w:ascii="Times New Roman" w:hAnsi="Times New Roman" w:cs="Times New Roman"/>
                <w:sz w:val="15"/>
                <w:szCs w:val="15"/>
              </w:rPr>
              <w:t>3</w:t>
            </w:r>
          </w:p>
        </w:tc>
        <w:tc>
          <w:tcPr>
            <w:tcW w:w="874" w:type="pct"/>
            <w:vAlign w:val="center"/>
          </w:tcPr>
          <w:p w14:paraId="27F834E6">
            <w:pPr>
              <w:adjustRightInd w:val="0"/>
              <w:ind w:right="-96"/>
              <w:jc w:val="center"/>
              <w:rPr>
                <w:rFonts w:ascii="Times New Roman" w:hAnsi="Times New Roman" w:cs="Times New Roman"/>
                <w:kern w:val="0"/>
                <w:sz w:val="15"/>
                <w:szCs w:val="15"/>
              </w:rPr>
            </w:pPr>
            <w:r>
              <w:rPr>
                <w:rFonts w:ascii="Times New Roman" w:hAnsi="Times New Roman" w:cs="Times New Roman"/>
                <w:sz w:val="15"/>
                <w:szCs w:val="15"/>
              </w:rPr>
              <w:t>3</w:t>
            </w:r>
          </w:p>
        </w:tc>
      </w:tr>
      <w:tr w14:paraId="44197C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48" w:type="pct"/>
            <w:vMerge w:val="continue"/>
            <w:vAlign w:val="center"/>
          </w:tcPr>
          <w:p w14:paraId="71A6DCD5">
            <w:pPr>
              <w:adjustRightInd w:val="0"/>
              <w:ind w:right="-96"/>
              <w:jc w:val="center"/>
              <w:rPr>
                <w:rFonts w:ascii="Times New Roman" w:hAnsi="Times New Roman" w:cs="Times New Roman"/>
                <w:sz w:val="15"/>
                <w:szCs w:val="15"/>
              </w:rPr>
            </w:pPr>
          </w:p>
        </w:tc>
        <w:tc>
          <w:tcPr>
            <w:tcW w:w="1183" w:type="pct"/>
          </w:tcPr>
          <w:p w14:paraId="3997B089">
            <w:pPr>
              <w:adjustRightInd w:val="0"/>
              <w:ind w:right="-96"/>
              <w:jc w:val="center"/>
              <w:rPr>
                <w:rFonts w:ascii="Times New Roman" w:hAnsi="Times New Roman" w:cs="Times New Roman"/>
                <w:kern w:val="0"/>
                <w:sz w:val="15"/>
                <w:szCs w:val="15"/>
              </w:rPr>
            </w:pPr>
            <w:r>
              <w:rPr>
                <w:rFonts w:ascii="Times New Roman" w:hAnsi="Times New Roman" w:cs="Times New Roman"/>
                <w:sz w:val="15"/>
                <w:szCs w:val="15"/>
              </w:rPr>
              <w:t>地方</w:t>
            </w:r>
          </w:p>
        </w:tc>
        <w:tc>
          <w:tcPr>
            <w:tcW w:w="1182" w:type="pct"/>
            <w:vAlign w:val="center"/>
          </w:tcPr>
          <w:p w14:paraId="201E2602">
            <w:pPr>
              <w:adjustRightInd w:val="0"/>
              <w:ind w:right="-96"/>
              <w:jc w:val="center"/>
              <w:rPr>
                <w:rFonts w:ascii="Times New Roman" w:hAnsi="Times New Roman" w:cs="Times New Roman"/>
                <w:sz w:val="15"/>
                <w:szCs w:val="15"/>
              </w:rPr>
            </w:pPr>
            <w:r>
              <w:rPr>
                <w:rFonts w:ascii="Times New Roman" w:hAnsi="Times New Roman" w:cs="Times New Roman"/>
                <w:sz w:val="15"/>
                <w:szCs w:val="15"/>
              </w:rPr>
              <w:t>2</w:t>
            </w:r>
          </w:p>
        </w:tc>
        <w:tc>
          <w:tcPr>
            <w:tcW w:w="710" w:type="pct"/>
            <w:vAlign w:val="center"/>
          </w:tcPr>
          <w:p w14:paraId="4A2E6BDD">
            <w:pPr>
              <w:adjustRightInd w:val="0"/>
              <w:ind w:right="-96"/>
              <w:jc w:val="center"/>
              <w:rPr>
                <w:rFonts w:ascii="Times New Roman" w:hAnsi="Times New Roman" w:cs="Times New Roman"/>
                <w:kern w:val="0"/>
                <w:sz w:val="15"/>
                <w:szCs w:val="15"/>
              </w:rPr>
            </w:pPr>
            <w:r>
              <w:rPr>
                <w:rFonts w:ascii="Times New Roman" w:hAnsi="Times New Roman" w:cs="Times New Roman"/>
                <w:sz w:val="15"/>
                <w:szCs w:val="15"/>
              </w:rPr>
              <w:t>3</w:t>
            </w:r>
          </w:p>
        </w:tc>
        <w:tc>
          <w:tcPr>
            <w:tcW w:w="874" w:type="pct"/>
            <w:vAlign w:val="center"/>
          </w:tcPr>
          <w:p w14:paraId="2D4EF162">
            <w:pPr>
              <w:adjustRightInd w:val="0"/>
              <w:ind w:right="-96"/>
              <w:jc w:val="center"/>
              <w:rPr>
                <w:rFonts w:ascii="Times New Roman" w:hAnsi="Times New Roman" w:cs="Times New Roman"/>
                <w:kern w:val="0"/>
                <w:sz w:val="15"/>
                <w:szCs w:val="15"/>
              </w:rPr>
            </w:pPr>
            <w:r>
              <w:rPr>
                <w:rFonts w:ascii="Times New Roman" w:hAnsi="Times New Roman" w:cs="Times New Roman"/>
                <w:sz w:val="15"/>
                <w:szCs w:val="15"/>
              </w:rPr>
              <w:t>3</w:t>
            </w:r>
          </w:p>
        </w:tc>
      </w:tr>
      <w:tr w14:paraId="7D53E0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48" w:type="pct"/>
            <w:vMerge w:val="restart"/>
            <w:vAlign w:val="center"/>
          </w:tcPr>
          <w:p w14:paraId="010A8195">
            <w:pPr>
              <w:adjustRightInd w:val="0"/>
              <w:ind w:right="-96"/>
              <w:jc w:val="center"/>
              <w:rPr>
                <w:rFonts w:ascii="Times New Roman" w:hAnsi="Times New Roman" w:cs="Times New Roman"/>
                <w:sz w:val="15"/>
                <w:szCs w:val="15"/>
              </w:rPr>
            </w:pPr>
            <w:r>
              <w:rPr>
                <w:rFonts w:ascii="Times New Roman" w:hAnsi="Times New Roman" w:cs="Times New Roman"/>
                <w:sz w:val="15"/>
                <w:szCs w:val="15"/>
              </w:rPr>
              <w:t>工矿企业</w:t>
            </w:r>
          </w:p>
        </w:tc>
        <w:tc>
          <w:tcPr>
            <w:tcW w:w="1183" w:type="pct"/>
          </w:tcPr>
          <w:p w14:paraId="0C53CD6D">
            <w:pPr>
              <w:adjustRightInd w:val="0"/>
              <w:ind w:right="-96"/>
              <w:jc w:val="center"/>
              <w:rPr>
                <w:rFonts w:ascii="Times New Roman" w:hAnsi="Times New Roman" w:cs="Times New Roman"/>
                <w:sz w:val="15"/>
                <w:szCs w:val="15"/>
              </w:rPr>
            </w:pPr>
            <w:r>
              <w:rPr>
                <w:rFonts w:ascii="Times New Roman" w:hAnsi="Times New Roman" w:cs="Times New Roman"/>
                <w:sz w:val="15"/>
                <w:szCs w:val="15"/>
              </w:rPr>
              <w:t>大型</w:t>
            </w:r>
          </w:p>
        </w:tc>
        <w:tc>
          <w:tcPr>
            <w:tcW w:w="1182" w:type="pct"/>
            <w:vAlign w:val="center"/>
          </w:tcPr>
          <w:p w14:paraId="5F608F74">
            <w:pPr>
              <w:adjustRightInd w:val="0"/>
              <w:ind w:right="-96"/>
              <w:jc w:val="center"/>
              <w:rPr>
                <w:rFonts w:ascii="Times New Roman" w:hAnsi="Times New Roman" w:cs="Times New Roman"/>
                <w:sz w:val="15"/>
                <w:szCs w:val="15"/>
              </w:rPr>
            </w:pPr>
            <w:r>
              <w:rPr>
                <w:rFonts w:ascii="Times New Roman" w:hAnsi="Times New Roman" w:cs="Times New Roman"/>
                <w:sz w:val="15"/>
                <w:szCs w:val="15"/>
              </w:rPr>
              <w:t>1</w:t>
            </w:r>
          </w:p>
        </w:tc>
        <w:tc>
          <w:tcPr>
            <w:tcW w:w="710" w:type="pct"/>
            <w:vAlign w:val="center"/>
          </w:tcPr>
          <w:p w14:paraId="2FBFA617">
            <w:pPr>
              <w:adjustRightInd w:val="0"/>
              <w:ind w:right="-96"/>
              <w:jc w:val="center"/>
              <w:rPr>
                <w:rFonts w:ascii="Times New Roman" w:hAnsi="Times New Roman" w:cs="Times New Roman"/>
                <w:sz w:val="15"/>
                <w:szCs w:val="15"/>
              </w:rPr>
            </w:pPr>
            <w:r>
              <w:rPr>
                <w:rFonts w:ascii="Times New Roman" w:hAnsi="Times New Roman" w:cs="Times New Roman"/>
                <w:kern w:val="0"/>
                <w:sz w:val="15"/>
                <w:szCs w:val="15"/>
              </w:rPr>
              <w:t>2</w:t>
            </w:r>
          </w:p>
        </w:tc>
        <w:tc>
          <w:tcPr>
            <w:tcW w:w="874" w:type="pct"/>
            <w:vAlign w:val="center"/>
          </w:tcPr>
          <w:p w14:paraId="3E0AF04B">
            <w:pPr>
              <w:adjustRightInd w:val="0"/>
              <w:ind w:right="-96"/>
              <w:jc w:val="center"/>
              <w:rPr>
                <w:rFonts w:ascii="Times New Roman" w:hAnsi="Times New Roman" w:cs="Times New Roman"/>
                <w:sz w:val="15"/>
                <w:szCs w:val="15"/>
              </w:rPr>
            </w:pPr>
            <w:r>
              <w:rPr>
                <w:rFonts w:ascii="Times New Roman" w:hAnsi="Times New Roman" w:cs="Times New Roman"/>
                <w:kern w:val="0"/>
                <w:sz w:val="15"/>
                <w:szCs w:val="15"/>
              </w:rPr>
              <w:t>3</w:t>
            </w:r>
          </w:p>
        </w:tc>
      </w:tr>
      <w:tr w14:paraId="4DA581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48" w:type="pct"/>
            <w:vMerge w:val="continue"/>
            <w:vAlign w:val="center"/>
          </w:tcPr>
          <w:p w14:paraId="3B6F643E">
            <w:pPr>
              <w:adjustRightInd w:val="0"/>
              <w:ind w:right="-96"/>
              <w:jc w:val="center"/>
              <w:rPr>
                <w:rFonts w:ascii="Times New Roman" w:hAnsi="Times New Roman" w:cs="Times New Roman"/>
                <w:sz w:val="15"/>
                <w:szCs w:val="15"/>
              </w:rPr>
            </w:pPr>
          </w:p>
        </w:tc>
        <w:tc>
          <w:tcPr>
            <w:tcW w:w="1183" w:type="pct"/>
          </w:tcPr>
          <w:p w14:paraId="101148A2">
            <w:pPr>
              <w:adjustRightInd w:val="0"/>
              <w:ind w:right="-96"/>
              <w:jc w:val="center"/>
              <w:rPr>
                <w:rFonts w:ascii="Times New Roman" w:hAnsi="Times New Roman" w:cs="Times New Roman"/>
                <w:sz w:val="15"/>
                <w:szCs w:val="15"/>
              </w:rPr>
            </w:pPr>
            <w:r>
              <w:rPr>
                <w:rFonts w:ascii="Times New Roman" w:hAnsi="Times New Roman" w:cs="Times New Roman"/>
                <w:sz w:val="15"/>
                <w:szCs w:val="15"/>
              </w:rPr>
              <w:t>中型</w:t>
            </w:r>
          </w:p>
        </w:tc>
        <w:tc>
          <w:tcPr>
            <w:tcW w:w="1182" w:type="pct"/>
            <w:vAlign w:val="center"/>
          </w:tcPr>
          <w:p w14:paraId="5EA2F8F3">
            <w:pPr>
              <w:adjustRightInd w:val="0"/>
              <w:ind w:right="-96"/>
              <w:jc w:val="center"/>
              <w:rPr>
                <w:rFonts w:ascii="Times New Roman" w:hAnsi="Times New Roman" w:cs="Times New Roman"/>
                <w:sz w:val="15"/>
                <w:szCs w:val="15"/>
              </w:rPr>
            </w:pPr>
            <w:r>
              <w:rPr>
                <w:rFonts w:ascii="Times New Roman" w:hAnsi="Times New Roman" w:cs="Times New Roman"/>
                <w:sz w:val="15"/>
                <w:szCs w:val="15"/>
              </w:rPr>
              <w:t>2</w:t>
            </w:r>
          </w:p>
        </w:tc>
        <w:tc>
          <w:tcPr>
            <w:tcW w:w="710" w:type="pct"/>
            <w:vAlign w:val="center"/>
          </w:tcPr>
          <w:p w14:paraId="7777474C">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c>
          <w:tcPr>
            <w:tcW w:w="874" w:type="pct"/>
            <w:vAlign w:val="center"/>
          </w:tcPr>
          <w:p w14:paraId="7EB32DD7">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r>
      <w:tr w14:paraId="020686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048" w:type="pct"/>
            <w:vMerge w:val="continue"/>
            <w:vAlign w:val="center"/>
          </w:tcPr>
          <w:p w14:paraId="1BDA5F31">
            <w:pPr>
              <w:adjustRightInd w:val="0"/>
              <w:ind w:right="-96"/>
              <w:jc w:val="center"/>
              <w:rPr>
                <w:rFonts w:ascii="Times New Roman" w:hAnsi="Times New Roman" w:cs="Times New Roman"/>
                <w:sz w:val="15"/>
                <w:szCs w:val="15"/>
              </w:rPr>
            </w:pPr>
          </w:p>
        </w:tc>
        <w:tc>
          <w:tcPr>
            <w:tcW w:w="1183" w:type="pct"/>
          </w:tcPr>
          <w:p w14:paraId="7978F647">
            <w:pPr>
              <w:adjustRightInd w:val="0"/>
              <w:ind w:right="-96"/>
              <w:jc w:val="center"/>
              <w:rPr>
                <w:rFonts w:ascii="Times New Roman" w:hAnsi="Times New Roman" w:cs="Times New Roman"/>
                <w:sz w:val="15"/>
                <w:szCs w:val="15"/>
              </w:rPr>
            </w:pPr>
            <w:r>
              <w:rPr>
                <w:rFonts w:ascii="Times New Roman" w:hAnsi="Times New Roman" w:cs="Times New Roman"/>
                <w:sz w:val="15"/>
                <w:szCs w:val="15"/>
              </w:rPr>
              <w:t>小型</w:t>
            </w:r>
          </w:p>
        </w:tc>
        <w:tc>
          <w:tcPr>
            <w:tcW w:w="1182" w:type="pct"/>
            <w:vAlign w:val="center"/>
          </w:tcPr>
          <w:p w14:paraId="2FA7108E">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c>
          <w:tcPr>
            <w:tcW w:w="710" w:type="pct"/>
            <w:vAlign w:val="center"/>
          </w:tcPr>
          <w:p w14:paraId="3E51AE19">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c>
          <w:tcPr>
            <w:tcW w:w="874" w:type="pct"/>
            <w:vAlign w:val="center"/>
          </w:tcPr>
          <w:p w14:paraId="68FBA912">
            <w:pPr>
              <w:adjustRightInd w:val="0"/>
              <w:ind w:right="-96"/>
              <w:jc w:val="center"/>
              <w:rPr>
                <w:rFonts w:ascii="Times New Roman" w:hAnsi="Times New Roman" w:cs="Times New Roman"/>
                <w:sz w:val="15"/>
                <w:szCs w:val="15"/>
              </w:rPr>
            </w:pPr>
            <w:r>
              <w:rPr>
                <w:rFonts w:ascii="Times New Roman" w:hAnsi="Times New Roman" w:cs="Times New Roman"/>
                <w:sz w:val="15"/>
                <w:szCs w:val="15"/>
              </w:rPr>
              <w:t>3</w:t>
            </w:r>
          </w:p>
        </w:tc>
      </w:tr>
    </w:tbl>
    <w:p w14:paraId="3E192042">
      <w:pPr>
        <w:spacing w:before="156" w:beforeLines="50" w:line="360" w:lineRule="auto"/>
        <w:rPr>
          <w:rFonts w:ascii="Times New Roman" w:hAnsi="Times New Roman" w:cs="Times New Roman"/>
          <w:sz w:val="21"/>
          <w:szCs w:val="24"/>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w:t>
      </w:r>
      <w:r>
        <w:rPr>
          <w:rFonts w:ascii="Times New Roman" w:hAnsi="Times New Roman" w:cs="Times New Roman"/>
          <w:sz w:val="21"/>
          <w:szCs w:val="24"/>
        </w:rPr>
        <w:t>防风固沙带宽度应按表4.2.3</w:t>
      </w:r>
      <w:r>
        <w:rPr>
          <w:rFonts w:hint="eastAsia" w:ascii="Times New Roman" w:hAnsi="Times New Roman" w:cs="Times New Roman"/>
          <w:sz w:val="21"/>
          <w:szCs w:val="24"/>
        </w:rPr>
        <w:t>0</w:t>
      </w:r>
      <w:r>
        <w:rPr>
          <w:rFonts w:ascii="Times New Roman" w:hAnsi="Times New Roman" w:cs="Times New Roman"/>
          <w:sz w:val="21"/>
          <w:szCs w:val="24"/>
        </w:rPr>
        <w:t>规定选定。</w:t>
      </w:r>
    </w:p>
    <w:p w14:paraId="1CD6B0B6">
      <w:pPr>
        <w:keepNext/>
        <w:keepLines/>
        <w:spacing w:before="260" w:after="260" w:line="416" w:lineRule="auto"/>
        <w:jc w:val="center"/>
        <w:outlineLvl w:val="2"/>
        <w:rPr>
          <w:rFonts w:ascii="Times New Roman" w:hAnsi="Times New Roman" w:eastAsia="黑体" w:cs="Times New Roman"/>
          <w:bCs/>
          <w:sz w:val="24"/>
          <w:szCs w:val="24"/>
        </w:rPr>
      </w:pPr>
      <w:r>
        <w:rPr>
          <w:rFonts w:ascii="Times New Roman" w:hAnsi="Times New Roman" w:cs="Times New Roman"/>
          <w:bCs/>
          <w:sz w:val="24"/>
          <w:szCs w:val="24"/>
        </w:rPr>
        <w:t xml:space="preserve">Ⅴ </w:t>
      </w:r>
      <w:r>
        <w:rPr>
          <w:rFonts w:ascii="Times New Roman" w:hAnsi="Times New Roman" w:eastAsia="黑体" w:cs="Times New Roman"/>
          <w:bCs/>
          <w:sz w:val="24"/>
          <w:szCs w:val="24"/>
        </w:rPr>
        <w:t>植被恢复与建设工程</w:t>
      </w:r>
    </w:p>
    <w:p w14:paraId="2284BB10">
      <w:pPr>
        <w:autoSpaceDE w:val="0"/>
        <w:autoSpaceDN w:val="0"/>
        <w:adjustRightInd w:val="0"/>
        <w:spacing w:line="360" w:lineRule="auto"/>
        <w:jc w:val="left"/>
        <w:rPr>
          <w:rFonts w:ascii="Times New Roman" w:hAnsi="Times New Roman" w:cs="Times New Roman"/>
          <w:sz w:val="21"/>
          <w:szCs w:val="24"/>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eastAsia="黑体" w:cs="Times New Roman"/>
          <w:sz w:val="21"/>
          <w:szCs w:val="24"/>
        </w:rPr>
        <w:t xml:space="preserve">  </w:t>
      </w:r>
      <w:r>
        <w:rPr>
          <w:rFonts w:ascii="Times New Roman" w:hAnsi="Times New Roman" w:cs="Times New Roman"/>
          <w:sz w:val="21"/>
          <w:szCs w:val="24"/>
        </w:rPr>
        <w:t>生产建设项目的植被恢复与建设工程级别，应根据生产建设项目主体工程所处的自然及人文环境、气候条件、立地条件、征地范围、绿化要求综合确定，应按表5.1.6-1～</w:t>
      </w:r>
      <w:r>
        <w:rPr>
          <w:rFonts w:hint="eastAsia" w:ascii="Times New Roman" w:hAnsi="Times New Roman" w:cs="Times New Roman"/>
          <w:sz w:val="21"/>
          <w:szCs w:val="24"/>
        </w:rPr>
        <w:t>表</w:t>
      </w:r>
      <w:r>
        <w:rPr>
          <w:rFonts w:ascii="Times New Roman" w:hAnsi="Times New Roman" w:cs="Times New Roman"/>
          <w:sz w:val="21"/>
          <w:szCs w:val="24"/>
        </w:rPr>
        <w:t>5.1.6-8的规定执行，并应符合下列要求：</w:t>
      </w:r>
    </w:p>
    <w:p w14:paraId="3864C9A1">
      <w:pPr>
        <w:autoSpaceDE w:val="0"/>
        <w:autoSpaceDN w:val="0"/>
        <w:adjustRightInd w:val="0"/>
        <w:spacing w:line="360" w:lineRule="auto"/>
        <w:ind w:firstLine="422" w:firstLineChars="200"/>
        <w:jc w:val="left"/>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工程项目区域涉及城镇、饮用水水源保护区和风景名胜区的，应提高一级。</w:t>
      </w:r>
    </w:p>
    <w:p w14:paraId="68D0F450">
      <w:pPr>
        <w:autoSpaceDE w:val="0"/>
        <w:autoSpaceDN w:val="0"/>
        <w:adjustRightInd w:val="0"/>
        <w:spacing w:line="360" w:lineRule="auto"/>
        <w:ind w:firstLine="422" w:firstLineChars="200"/>
        <w:jc w:val="left"/>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弃渣、取料、施工生产生活、施工交通等临时占地区域应执行3级标准。</w:t>
      </w:r>
    </w:p>
    <w:p w14:paraId="55B57962">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6-1  水利水电项目植被恢复与建设工程级别</w:t>
      </w:r>
    </w:p>
    <w:tbl>
      <w:tblPr>
        <w:tblStyle w:val="10"/>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173"/>
        <w:gridCol w:w="1738"/>
        <w:gridCol w:w="1738"/>
        <w:gridCol w:w="1625"/>
      </w:tblGrid>
      <w:tr w14:paraId="53702E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1917" w:type="pct"/>
          </w:tcPr>
          <w:p w14:paraId="2CF96E1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主要建筑物级别</w:t>
            </w:r>
          </w:p>
        </w:tc>
        <w:tc>
          <w:tcPr>
            <w:tcW w:w="1050" w:type="pct"/>
          </w:tcPr>
          <w:p w14:paraId="0B3E1B5A">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生活管理区</w:t>
            </w:r>
          </w:p>
        </w:tc>
        <w:tc>
          <w:tcPr>
            <w:tcW w:w="1050" w:type="pct"/>
          </w:tcPr>
          <w:p w14:paraId="0E943345">
            <w:pPr>
              <w:widowControl/>
              <w:jc w:val="center"/>
              <w:rPr>
                <w:rFonts w:ascii="Times New Roman" w:hAnsi="Times New Roman" w:cs="Times New Roman"/>
                <w:kern w:val="0"/>
                <w:sz w:val="15"/>
                <w:szCs w:val="15"/>
              </w:rPr>
            </w:pPr>
            <w:r>
              <w:rPr>
                <w:rFonts w:ascii="Times New Roman" w:hAnsi="Times New Roman" w:cs="Times New Roman"/>
                <w:sz w:val="15"/>
                <w:szCs w:val="15"/>
              </w:rPr>
              <w:t>枢纽闸站永久占地区</w:t>
            </w:r>
          </w:p>
        </w:tc>
        <w:tc>
          <w:tcPr>
            <w:tcW w:w="982" w:type="pct"/>
          </w:tcPr>
          <w:p w14:paraId="50ECCD7D">
            <w:pPr>
              <w:widowControl/>
              <w:jc w:val="center"/>
              <w:rPr>
                <w:rFonts w:ascii="Times New Roman" w:hAnsi="Times New Roman" w:cs="Times New Roman"/>
                <w:kern w:val="0"/>
                <w:sz w:val="15"/>
                <w:szCs w:val="15"/>
              </w:rPr>
            </w:pPr>
            <w:r>
              <w:rPr>
                <w:rFonts w:ascii="Times New Roman" w:hAnsi="Times New Roman" w:cs="Times New Roman"/>
                <w:sz w:val="15"/>
                <w:szCs w:val="15"/>
              </w:rPr>
              <w:t>堤渠永久占地区</w:t>
            </w:r>
          </w:p>
        </w:tc>
      </w:tr>
      <w:tr w14:paraId="2A330B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917" w:type="pct"/>
            <w:noWrap/>
          </w:tcPr>
          <w:p w14:paraId="240A3BD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1～2</w:t>
            </w:r>
          </w:p>
        </w:tc>
        <w:tc>
          <w:tcPr>
            <w:tcW w:w="1050" w:type="pct"/>
          </w:tcPr>
          <w:p w14:paraId="7E4CCC7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050" w:type="pct"/>
          </w:tcPr>
          <w:p w14:paraId="3F6A4DB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982" w:type="pct"/>
          </w:tcPr>
          <w:p w14:paraId="667267F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r>
      <w:tr w14:paraId="47B6A6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917" w:type="pct"/>
            <w:noWrap/>
          </w:tcPr>
          <w:p w14:paraId="64F8FABF">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050" w:type="pct"/>
          </w:tcPr>
          <w:p w14:paraId="3028608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050" w:type="pct"/>
          </w:tcPr>
          <w:p w14:paraId="7B2FC85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982" w:type="pct"/>
          </w:tcPr>
          <w:p w14:paraId="10440A5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r>
      <w:tr w14:paraId="674614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917" w:type="pct"/>
            <w:noWrap/>
          </w:tcPr>
          <w:p w14:paraId="71E10B2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4</w:t>
            </w:r>
          </w:p>
        </w:tc>
        <w:tc>
          <w:tcPr>
            <w:tcW w:w="1050" w:type="pct"/>
          </w:tcPr>
          <w:p w14:paraId="363490A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050" w:type="pct"/>
          </w:tcPr>
          <w:p w14:paraId="570DC52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982" w:type="pct"/>
          </w:tcPr>
          <w:p w14:paraId="650B485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r w14:paraId="22D565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917" w:type="pct"/>
            <w:noWrap/>
          </w:tcPr>
          <w:p w14:paraId="45A320B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5</w:t>
            </w:r>
          </w:p>
        </w:tc>
        <w:tc>
          <w:tcPr>
            <w:tcW w:w="1050" w:type="pct"/>
          </w:tcPr>
          <w:p w14:paraId="67E493A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050" w:type="pct"/>
          </w:tcPr>
          <w:p w14:paraId="3DA77D8A">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982" w:type="pct"/>
          </w:tcPr>
          <w:p w14:paraId="1D191A5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bl>
    <w:p w14:paraId="3D1DD6D9">
      <w:pPr>
        <w:adjustRightInd w:val="0"/>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6-2  电力项目植被恢复与建设工程级别</w:t>
      </w:r>
    </w:p>
    <w:tbl>
      <w:tblPr>
        <w:tblStyle w:val="10"/>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77"/>
        <w:gridCol w:w="2395"/>
        <w:gridCol w:w="3145"/>
        <w:gridCol w:w="1556"/>
      </w:tblGrid>
      <w:tr w14:paraId="30A35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711" w:type="pct"/>
            <w:vMerge w:val="restart"/>
            <w:vAlign w:val="center"/>
          </w:tcPr>
          <w:p w14:paraId="7532B17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电厂</w:t>
            </w:r>
          </w:p>
        </w:tc>
        <w:tc>
          <w:tcPr>
            <w:tcW w:w="1447" w:type="pct"/>
            <w:vAlign w:val="center"/>
          </w:tcPr>
          <w:p w14:paraId="5C248D61">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生活管理区</w:t>
            </w:r>
          </w:p>
        </w:tc>
        <w:tc>
          <w:tcPr>
            <w:tcW w:w="1900" w:type="pct"/>
            <w:vAlign w:val="center"/>
          </w:tcPr>
          <w:p w14:paraId="62C48F9D">
            <w:pPr>
              <w:autoSpaceDE w:val="0"/>
              <w:autoSpaceDN w:val="0"/>
              <w:adjustRightInd w:val="0"/>
              <w:spacing w:line="360" w:lineRule="auto"/>
              <w:jc w:val="center"/>
              <w:rPr>
                <w:rFonts w:ascii="Times New Roman" w:hAnsi="Times New Roman" w:cs="Times New Roman"/>
                <w:sz w:val="15"/>
                <w:szCs w:val="15"/>
              </w:rPr>
            </w:pPr>
            <w:r>
              <w:rPr>
                <w:rFonts w:ascii="Times New Roman" w:hAnsi="Times New Roman" w:cs="Times New Roman"/>
                <w:sz w:val="15"/>
                <w:szCs w:val="15"/>
              </w:rPr>
              <w:t>灰坝及附属工程</w:t>
            </w:r>
          </w:p>
        </w:tc>
        <w:tc>
          <w:tcPr>
            <w:tcW w:w="940" w:type="pct"/>
            <w:vAlign w:val="center"/>
          </w:tcPr>
          <w:p w14:paraId="044857E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贮灰场</w:t>
            </w:r>
          </w:p>
        </w:tc>
      </w:tr>
      <w:tr w14:paraId="4A94B5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711" w:type="pct"/>
            <w:vMerge w:val="continue"/>
            <w:vAlign w:val="center"/>
          </w:tcPr>
          <w:p w14:paraId="10E12AB9">
            <w:pPr>
              <w:widowControl/>
              <w:jc w:val="center"/>
              <w:rPr>
                <w:rFonts w:ascii="Times New Roman" w:hAnsi="Times New Roman" w:cs="Times New Roman"/>
                <w:kern w:val="0"/>
                <w:sz w:val="15"/>
                <w:szCs w:val="15"/>
              </w:rPr>
            </w:pPr>
          </w:p>
        </w:tc>
        <w:tc>
          <w:tcPr>
            <w:tcW w:w="1447" w:type="pct"/>
            <w:vAlign w:val="center"/>
          </w:tcPr>
          <w:p w14:paraId="696C434A">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900" w:type="pct"/>
            <w:vAlign w:val="center"/>
          </w:tcPr>
          <w:p w14:paraId="547C00BF">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940" w:type="pct"/>
            <w:noWrap/>
            <w:vAlign w:val="center"/>
          </w:tcPr>
          <w:p w14:paraId="36D38A4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r>
    </w:tbl>
    <w:p w14:paraId="22259FE8">
      <w:pPr>
        <w:ind w:left="618" w:leftChars="107" w:hanging="318" w:hangingChars="212"/>
        <w:rPr>
          <w:rFonts w:ascii="Times New Roman" w:hAnsi="Times New Roman" w:cs="Times New Roman"/>
          <w:kern w:val="0"/>
          <w:sz w:val="15"/>
          <w:szCs w:val="15"/>
        </w:rPr>
      </w:pPr>
      <w:r>
        <w:rPr>
          <w:rFonts w:ascii="Times New Roman" w:hAnsi="Times New Roman" w:cs="Times New Roman"/>
          <w:kern w:val="0"/>
          <w:sz w:val="15"/>
          <w:szCs w:val="15"/>
        </w:rPr>
        <w:t>注：发电、变电等主体工程区不设植被恢复与建设工程级别，其设计应首先符合主体工程相关技术标准对植被绿化的约束性要求。</w:t>
      </w:r>
    </w:p>
    <w:p w14:paraId="4D494C5B">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6-3  冶金类项目植被恢复与建设工程级别</w:t>
      </w:r>
    </w:p>
    <w:tbl>
      <w:tblPr>
        <w:tblStyle w:val="10"/>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36"/>
        <w:gridCol w:w="2191"/>
        <w:gridCol w:w="3070"/>
        <w:gridCol w:w="1485"/>
        <w:gridCol w:w="691"/>
      </w:tblGrid>
      <w:tr w14:paraId="608EB8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505" w:type="pct"/>
            <w:vMerge w:val="restart"/>
            <w:vAlign w:val="center"/>
          </w:tcPr>
          <w:p w14:paraId="73107B5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冶金工程</w:t>
            </w:r>
          </w:p>
        </w:tc>
        <w:tc>
          <w:tcPr>
            <w:tcW w:w="1324" w:type="pct"/>
            <w:vAlign w:val="center"/>
          </w:tcPr>
          <w:p w14:paraId="48FB565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生活管理区</w:t>
            </w:r>
          </w:p>
        </w:tc>
        <w:tc>
          <w:tcPr>
            <w:tcW w:w="1855" w:type="pct"/>
            <w:vAlign w:val="center"/>
          </w:tcPr>
          <w:p w14:paraId="16C5F058">
            <w:pPr>
              <w:autoSpaceDE w:val="0"/>
              <w:autoSpaceDN w:val="0"/>
              <w:adjustRightInd w:val="0"/>
              <w:spacing w:line="360" w:lineRule="auto"/>
              <w:jc w:val="center"/>
              <w:rPr>
                <w:rFonts w:ascii="Times New Roman" w:hAnsi="Times New Roman" w:cs="Times New Roman"/>
                <w:sz w:val="15"/>
                <w:szCs w:val="15"/>
              </w:rPr>
            </w:pPr>
            <w:r>
              <w:rPr>
                <w:rFonts w:ascii="Times New Roman" w:hAnsi="Times New Roman" w:cs="Times New Roman"/>
                <w:sz w:val="15"/>
                <w:szCs w:val="15"/>
              </w:rPr>
              <w:t>生产设施区，辅助生产、公用工程区</w:t>
            </w:r>
          </w:p>
        </w:tc>
        <w:tc>
          <w:tcPr>
            <w:tcW w:w="897" w:type="pct"/>
            <w:vAlign w:val="center"/>
          </w:tcPr>
          <w:p w14:paraId="2BB4541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仓储运输设施区</w:t>
            </w:r>
          </w:p>
        </w:tc>
        <w:tc>
          <w:tcPr>
            <w:tcW w:w="417" w:type="pct"/>
            <w:vAlign w:val="center"/>
          </w:tcPr>
          <w:p w14:paraId="2B3E7A8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排土场</w:t>
            </w:r>
          </w:p>
        </w:tc>
      </w:tr>
      <w:tr w14:paraId="3B284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505" w:type="pct"/>
            <w:vMerge w:val="continue"/>
            <w:vAlign w:val="center"/>
          </w:tcPr>
          <w:p w14:paraId="0FB7FB5A">
            <w:pPr>
              <w:widowControl/>
              <w:jc w:val="center"/>
              <w:rPr>
                <w:rFonts w:ascii="Times New Roman" w:hAnsi="Times New Roman" w:cs="Times New Roman"/>
                <w:kern w:val="0"/>
                <w:sz w:val="15"/>
                <w:szCs w:val="15"/>
              </w:rPr>
            </w:pPr>
          </w:p>
        </w:tc>
        <w:tc>
          <w:tcPr>
            <w:tcW w:w="1324" w:type="pct"/>
            <w:vAlign w:val="center"/>
          </w:tcPr>
          <w:p w14:paraId="2DC50AC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855" w:type="pct"/>
            <w:vAlign w:val="center"/>
          </w:tcPr>
          <w:p w14:paraId="3929CA5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897" w:type="pct"/>
            <w:vAlign w:val="center"/>
          </w:tcPr>
          <w:p w14:paraId="07E4060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417" w:type="pct"/>
            <w:noWrap/>
            <w:vAlign w:val="center"/>
          </w:tcPr>
          <w:p w14:paraId="4443297F">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r>
    </w:tbl>
    <w:p w14:paraId="72007886">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6-4  矿山类项目植被恢复与建设工程级别</w:t>
      </w:r>
    </w:p>
    <w:tbl>
      <w:tblPr>
        <w:tblStyle w:val="10"/>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1235"/>
        <w:gridCol w:w="1235"/>
        <w:gridCol w:w="1235"/>
        <w:gridCol w:w="1235"/>
        <w:gridCol w:w="1142"/>
      </w:tblGrid>
      <w:tr w14:paraId="487A2C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4" w:hRule="atLeast"/>
        </w:trPr>
        <w:tc>
          <w:tcPr>
            <w:tcW w:w="1323" w:type="pct"/>
            <w:vAlign w:val="center"/>
          </w:tcPr>
          <w:p w14:paraId="3208B2E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矿山建设规模</w:t>
            </w:r>
          </w:p>
        </w:tc>
        <w:tc>
          <w:tcPr>
            <w:tcW w:w="746" w:type="pct"/>
            <w:vAlign w:val="center"/>
          </w:tcPr>
          <w:p w14:paraId="526952E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生活管理区</w:t>
            </w:r>
          </w:p>
        </w:tc>
        <w:tc>
          <w:tcPr>
            <w:tcW w:w="746" w:type="pct"/>
            <w:vAlign w:val="center"/>
          </w:tcPr>
          <w:p w14:paraId="4EDC5405">
            <w:pPr>
              <w:autoSpaceDE w:val="0"/>
              <w:autoSpaceDN w:val="0"/>
              <w:adjustRightInd w:val="0"/>
              <w:spacing w:line="360" w:lineRule="auto"/>
              <w:jc w:val="center"/>
              <w:rPr>
                <w:rFonts w:ascii="Times New Roman" w:hAnsi="Times New Roman" w:cs="Times New Roman"/>
                <w:sz w:val="15"/>
                <w:szCs w:val="15"/>
              </w:rPr>
            </w:pPr>
            <w:r>
              <w:rPr>
                <w:rFonts w:ascii="Times New Roman" w:hAnsi="Times New Roman" w:cs="Times New Roman"/>
                <w:sz w:val="15"/>
                <w:szCs w:val="15"/>
              </w:rPr>
              <w:t>采场区</w:t>
            </w:r>
          </w:p>
        </w:tc>
        <w:tc>
          <w:tcPr>
            <w:tcW w:w="746" w:type="pct"/>
          </w:tcPr>
          <w:p w14:paraId="2010A059">
            <w:pPr>
              <w:widowControl/>
              <w:jc w:val="center"/>
              <w:rPr>
                <w:rFonts w:ascii="Times New Roman" w:hAnsi="Times New Roman" w:cs="Times New Roman"/>
                <w:kern w:val="0"/>
                <w:sz w:val="15"/>
                <w:szCs w:val="15"/>
              </w:rPr>
            </w:pPr>
            <w:r>
              <w:rPr>
                <w:rFonts w:ascii="Times New Roman" w:hAnsi="Times New Roman" w:cs="Times New Roman"/>
                <w:sz w:val="15"/>
                <w:szCs w:val="15"/>
              </w:rPr>
              <w:t>废石场</w:t>
            </w:r>
          </w:p>
        </w:tc>
        <w:tc>
          <w:tcPr>
            <w:tcW w:w="746" w:type="pct"/>
          </w:tcPr>
          <w:p w14:paraId="74915BD7">
            <w:pPr>
              <w:autoSpaceDE w:val="0"/>
              <w:autoSpaceDN w:val="0"/>
              <w:adjustRightInd w:val="0"/>
              <w:spacing w:line="360" w:lineRule="auto"/>
              <w:jc w:val="center"/>
              <w:rPr>
                <w:rFonts w:ascii="Times New Roman" w:hAnsi="Times New Roman" w:cs="Times New Roman"/>
                <w:b/>
                <w:sz w:val="15"/>
                <w:szCs w:val="15"/>
              </w:rPr>
            </w:pPr>
            <w:r>
              <w:rPr>
                <w:rFonts w:ascii="Times New Roman" w:hAnsi="Times New Roman" w:cs="Times New Roman"/>
                <w:sz w:val="15"/>
                <w:szCs w:val="15"/>
              </w:rPr>
              <w:t>尾矿库</w:t>
            </w:r>
          </w:p>
        </w:tc>
        <w:tc>
          <w:tcPr>
            <w:tcW w:w="690" w:type="pct"/>
          </w:tcPr>
          <w:p w14:paraId="32339E1D">
            <w:pPr>
              <w:jc w:val="center"/>
              <w:rPr>
                <w:rFonts w:ascii="Times New Roman" w:hAnsi="Times New Roman" w:cs="Times New Roman"/>
                <w:kern w:val="0"/>
                <w:sz w:val="15"/>
                <w:szCs w:val="15"/>
              </w:rPr>
            </w:pPr>
            <w:r>
              <w:rPr>
                <w:rFonts w:ascii="Times New Roman" w:hAnsi="Times New Roman" w:cs="Times New Roman"/>
                <w:kern w:val="0"/>
                <w:sz w:val="15"/>
                <w:szCs w:val="15"/>
              </w:rPr>
              <w:t>排矸（土）场</w:t>
            </w:r>
          </w:p>
        </w:tc>
      </w:tr>
      <w:tr w14:paraId="468DEF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323" w:type="pct"/>
            <w:vAlign w:val="center"/>
          </w:tcPr>
          <w:p w14:paraId="325AF00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大型</w:t>
            </w:r>
          </w:p>
        </w:tc>
        <w:tc>
          <w:tcPr>
            <w:tcW w:w="746" w:type="pct"/>
            <w:vAlign w:val="center"/>
          </w:tcPr>
          <w:p w14:paraId="29FF67B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746" w:type="pct"/>
            <w:vAlign w:val="center"/>
          </w:tcPr>
          <w:p w14:paraId="74978BF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746" w:type="pct"/>
          </w:tcPr>
          <w:p w14:paraId="3F2D102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746" w:type="pct"/>
            <w:vAlign w:val="center"/>
          </w:tcPr>
          <w:p w14:paraId="48E5709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690" w:type="pct"/>
            <w:noWrap/>
            <w:vAlign w:val="center"/>
          </w:tcPr>
          <w:p w14:paraId="6EB8B1C1">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r>
      <w:tr w14:paraId="546E8E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323" w:type="pct"/>
            <w:vAlign w:val="center"/>
          </w:tcPr>
          <w:p w14:paraId="7FF7853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中型</w:t>
            </w:r>
          </w:p>
        </w:tc>
        <w:tc>
          <w:tcPr>
            <w:tcW w:w="746" w:type="pct"/>
            <w:vAlign w:val="center"/>
          </w:tcPr>
          <w:p w14:paraId="336C521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746" w:type="pct"/>
            <w:vAlign w:val="center"/>
          </w:tcPr>
          <w:p w14:paraId="3B65785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746" w:type="pct"/>
          </w:tcPr>
          <w:p w14:paraId="033C603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746" w:type="pct"/>
            <w:vAlign w:val="center"/>
          </w:tcPr>
          <w:p w14:paraId="57CCBE4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690" w:type="pct"/>
            <w:noWrap/>
            <w:vAlign w:val="center"/>
          </w:tcPr>
          <w:p w14:paraId="68A4240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r w14:paraId="237B74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323" w:type="pct"/>
            <w:vAlign w:val="center"/>
          </w:tcPr>
          <w:p w14:paraId="5FEE8E7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小型</w:t>
            </w:r>
          </w:p>
        </w:tc>
        <w:tc>
          <w:tcPr>
            <w:tcW w:w="746" w:type="pct"/>
            <w:vAlign w:val="center"/>
          </w:tcPr>
          <w:p w14:paraId="283BA22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746" w:type="pct"/>
            <w:vAlign w:val="center"/>
          </w:tcPr>
          <w:p w14:paraId="7A61CAF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746" w:type="pct"/>
          </w:tcPr>
          <w:p w14:paraId="5B77D79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746" w:type="pct"/>
            <w:vAlign w:val="center"/>
          </w:tcPr>
          <w:p w14:paraId="37C0E15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690" w:type="pct"/>
            <w:noWrap/>
            <w:vAlign w:val="center"/>
          </w:tcPr>
          <w:p w14:paraId="6834EAE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bl>
    <w:p w14:paraId="2FE8C7C7">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6-5  公路项目植被恢复与建设工程级别</w:t>
      </w:r>
    </w:p>
    <w:tbl>
      <w:tblPr>
        <w:tblStyle w:val="10"/>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78"/>
        <w:gridCol w:w="2414"/>
        <w:gridCol w:w="1268"/>
        <w:gridCol w:w="2314"/>
      </w:tblGrid>
      <w:tr w14:paraId="7C1C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1376" w:type="pct"/>
            <w:vAlign w:val="center"/>
          </w:tcPr>
          <w:p w14:paraId="24B7D81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公路级别</w:t>
            </w:r>
          </w:p>
        </w:tc>
        <w:tc>
          <w:tcPr>
            <w:tcW w:w="1458" w:type="pct"/>
            <w:vAlign w:val="center"/>
          </w:tcPr>
          <w:p w14:paraId="77EE73D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服务区或管理站</w:t>
            </w:r>
          </w:p>
        </w:tc>
        <w:tc>
          <w:tcPr>
            <w:tcW w:w="766" w:type="pct"/>
            <w:vAlign w:val="center"/>
          </w:tcPr>
          <w:p w14:paraId="48F08530">
            <w:pPr>
              <w:autoSpaceDE w:val="0"/>
              <w:autoSpaceDN w:val="0"/>
              <w:adjustRightInd w:val="0"/>
              <w:spacing w:line="360" w:lineRule="auto"/>
              <w:jc w:val="center"/>
              <w:rPr>
                <w:rFonts w:ascii="Times New Roman" w:hAnsi="Times New Roman" w:cs="Times New Roman"/>
                <w:sz w:val="15"/>
                <w:szCs w:val="15"/>
              </w:rPr>
            </w:pPr>
            <w:r>
              <w:rPr>
                <w:rFonts w:ascii="Times New Roman" w:hAnsi="Times New Roman" w:cs="Times New Roman"/>
                <w:sz w:val="15"/>
                <w:szCs w:val="15"/>
              </w:rPr>
              <w:t>隔离带</w:t>
            </w:r>
          </w:p>
        </w:tc>
        <w:tc>
          <w:tcPr>
            <w:tcW w:w="1398" w:type="pct"/>
            <w:vAlign w:val="center"/>
          </w:tcPr>
          <w:p w14:paraId="280B11DD">
            <w:pPr>
              <w:autoSpaceDE w:val="0"/>
              <w:autoSpaceDN w:val="0"/>
              <w:adjustRightInd w:val="0"/>
              <w:spacing w:line="360" w:lineRule="auto"/>
              <w:jc w:val="center"/>
              <w:rPr>
                <w:rFonts w:ascii="Times New Roman" w:hAnsi="Times New Roman" w:cs="Times New Roman"/>
                <w:sz w:val="15"/>
                <w:szCs w:val="15"/>
              </w:rPr>
            </w:pPr>
            <w:r>
              <w:rPr>
                <w:rFonts w:ascii="Times New Roman" w:hAnsi="Times New Roman" w:cs="Times New Roman"/>
                <w:sz w:val="15"/>
                <w:szCs w:val="15"/>
              </w:rPr>
              <w:t>路基两侧绿化带</w:t>
            </w:r>
          </w:p>
        </w:tc>
      </w:tr>
      <w:tr w14:paraId="0872ED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376" w:type="pct"/>
            <w:noWrap/>
            <w:vAlign w:val="center"/>
          </w:tcPr>
          <w:p w14:paraId="7117667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高速公路</w:t>
            </w:r>
          </w:p>
        </w:tc>
        <w:tc>
          <w:tcPr>
            <w:tcW w:w="1458" w:type="pct"/>
            <w:vAlign w:val="center"/>
          </w:tcPr>
          <w:p w14:paraId="5C442F3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766" w:type="pct"/>
            <w:vAlign w:val="center"/>
          </w:tcPr>
          <w:p w14:paraId="7160457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398" w:type="pct"/>
            <w:vAlign w:val="center"/>
          </w:tcPr>
          <w:p w14:paraId="578C3C3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r>
      <w:tr w14:paraId="59A2FC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376" w:type="pct"/>
            <w:noWrap/>
            <w:vAlign w:val="center"/>
          </w:tcPr>
          <w:p w14:paraId="797411B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一级公路</w:t>
            </w:r>
          </w:p>
        </w:tc>
        <w:tc>
          <w:tcPr>
            <w:tcW w:w="1458" w:type="pct"/>
            <w:vAlign w:val="center"/>
          </w:tcPr>
          <w:p w14:paraId="1CD7D10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766" w:type="pct"/>
            <w:vAlign w:val="center"/>
          </w:tcPr>
          <w:p w14:paraId="43AA39F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398" w:type="pct"/>
            <w:vAlign w:val="center"/>
          </w:tcPr>
          <w:p w14:paraId="5EF9924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r w14:paraId="61E3E0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376" w:type="pct"/>
            <w:noWrap/>
            <w:vAlign w:val="center"/>
          </w:tcPr>
          <w:p w14:paraId="630B0A6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二级及以下公路</w:t>
            </w:r>
          </w:p>
        </w:tc>
        <w:tc>
          <w:tcPr>
            <w:tcW w:w="1458" w:type="pct"/>
            <w:vAlign w:val="center"/>
          </w:tcPr>
          <w:p w14:paraId="155444BF">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766" w:type="pct"/>
            <w:vAlign w:val="center"/>
          </w:tcPr>
          <w:p w14:paraId="2A25CD8F">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1398" w:type="pct"/>
            <w:vAlign w:val="center"/>
          </w:tcPr>
          <w:p w14:paraId="0B7018C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bl>
    <w:p w14:paraId="3DF99391">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6-6  铁路项目植被恢复与建设工程级别</w:t>
      </w:r>
    </w:p>
    <w:tbl>
      <w:tblPr>
        <w:tblStyle w:val="10"/>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05"/>
        <w:gridCol w:w="1771"/>
        <w:gridCol w:w="2099"/>
        <w:gridCol w:w="2099"/>
      </w:tblGrid>
      <w:tr w14:paraId="457CB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1393" w:type="pct"/>
            <w:vAlign w:val="center"/>
          </w:tcPr>
          <w:p w14:paraId="114E6AB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铁路级别</w:t>
            </w:r>
          </w:p>
        </w:tc>
        <w:tc>
          <w:tcPr>
            <w:tcW w:w="1070" w:type="pct"/>
            <w:vAlign w:val="center"/>
          </w:tcPr>
          <w:p w14:paraId="68B32FC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铁路车站</w:t>
            </w:r>
          </w:p>
        </w:tc>
        <w:tc>
          <w:tcPr>
            <w:tcW w:w="1268" w:type="pct"/>
          </w:tcPr>
          <w:p w14:paraId="232A014D">
            <w:pPr>
              <w:autoSpaceDE w:val="0"/>
              <w:autoSpaceDN w:val="0"/>
              <w:adjustRightInd w:val="0"/>
              <w:spacing w:line="360" w:lineRule="auto"/>
              <w:jc w:val="center"/>
              <w:rPr>
                <w:rFonts w:ascii="Times New Roman" w:hAnsi="Times New Roman" w:cs="Times New Roman"/>
                <w:sz w:val="15"/>
                <w:szCs w:val="15"/>
              </w:rPr>
            </w:pPr>
            <w:r>
              <w:rPr>
                <w:rFonts w:ascii="Times New Roman" w:hAnsi="Times New Roman" w:cs="Times New Roman"/>
                <w:sz w:val="15"/>
                <w:szCs w:val="15"/>
              </w:rPr>
              <w:t>路基两侧用地界</w:t>
            </w:r>
          </w:p>
        </w:tc>
        <w:tc>
          <w:tcPr>
            <w:tcW w:w="1268" w:type="pct"/>
            <w:vAlign w:val="center"/>
          </w:tcPr>
          <w:p w14:paraId="28597468">
            <w:pPr>
              <w:autoSpaceDE w:val="0"/>
              <w:autoSpaceDN w:val="0"/>
              <w:adjustRightInd w:val="0"/>
              <w:spacing w:line="360" w:lineRule="auto"/>
              <w:jc w:val="center"/>
              <w:rPr>
                <w:rFonts w:ascii="Times New Roman" w:hAnsi="Times New Roman" w:cs="Times New Roman"/>
                <w:sz w:val="15"/>
                <w:szCs w:val="15"/>
              </w:rPr>
            </w:pPr>
            <w:r>
              <w:rPr>
                <w:rFonts w:ascii="Times New Roman" w:hAnsi="Times New Roman" w:cs="Times New Roman"/>
                <w:sz w:val="15"/>
                <w:szCs w:val="15"/>
              </w:rPr>
              <w:t>铁路桥梁、涵洞、隧道</w:t>
            </w:r>
          </w:p>
        </w:tc>
      </w:tr>
      <w:tr w14:paraId="74BB0E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393" w:type="pct"/>
            <w:noWrap/>
            <w:vAlign w:val="center"/>
          </w:tcPr>
          <w:p w14:paraId="078AF6D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高速铁路</w:t>
            </w:r>
          </w:p>
        </w:tc>
        <w:tc>
          <w:tcPr>
            <w:tcW w:w="1070" w:type="pct"/>
            <w:vAlign w:val="center"/>
          </w:tcPr>
          <w:p w14:paraId="0E0DCD21">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268" w:type="pct"/>
          </w:tcPr>
          <w:p w14:paraId="3A12A2B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268" w:type="pct"/>
            <w:vAlign w:val="center"/>
          </w:tcPr>
          <w:p w14:paraId="4097D83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r w14:paraId="379334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393" w:type="pct"/>
            <w:noWrap/>
            <w:vAlign w:val="center"/>
          </w:tcPr>
          <w:p w14:paraId="1A729B4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Ⅰ级铁路</w:t>
            </w:r>
          </w:p>
        </w:tc>
        <w:tc>
          <w:tcPr>
            <w:tcW w:w="1070" w:type="pct"/>
            <w:vAlign w:val="center"/>
          </w:tcPr>
          <w:p w14:paraId="5614F93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268" w:type="pct"/>
          </w:tcPr>
          <w:p w14:paraId="5004DEB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268" w:type="pct"/>
            <w:vAlign w:val="center"/>
          </w:tcPr>
          <w:p w14:paraId="2DE1473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r w14:paraId="76A63D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393" w:type="pct"/>
            <w:noWrap/>
            <w:vAlign w:val="center"/>
          </w:tcPr>
          <w:p w14:paraId="4D83E79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Ⅱ级及以下铁路</w:t>
            </w:r>
          </w:p>
        </w:tc>
        <w:tc>
          <w:tcPr>
            <w:tcW w:w="1070" w:type="pct"/>
            <w:vAlign w:val="center"/>
          </w:tcPr>
          <w:p w14:paraId="3048E71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268" w:type="pct"/>
          </w:tcPr>
          <w:p w14:paraId="4CEAB4D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268" w:type="pct"/>
            <w:vAlign w:val="center"/>
          </w:tcPr>
          <w:p w14:paraId="60C8D11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bl>
    <w:p w14:paraId="0B4FAE7F">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6-7  输气、输油、输变电工程的植被恢复与建设工程级别</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74"/>
        <w:gridCol w:w="1303"/>
        <w:gridCol w:w="1514"/>
        <w:gridCol w:w="2413"/>
        <w:gridCol w:w="1072"/>
      </w:tblGrid>
      <w:tr w14:paraId="7EB0AE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192" w:type="pct"/>
            <w:vMerge w:val="restart"/>
            <w:vAlign w:val="center"/>
          </w:tcPr>
          <w:p w14:paraId="07684B3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输气、输油、输变电工程</w:t>
            </w:r>
          </w:p>
        </w:tc>
        <w:tc>
          <w:tcPr>
            <w:tcW w:w="787" w:type="pct"/>
            <w:vAlign w:val="center"/>
          </w:tcPr>
          <w:p w14:paraId="4ABE793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生活管理区</w:t>
            </w:r>
          </w:p>
        </w:tc>
        <w:tc>
          <w:tcPr>
            <w:tcW w:w="914" w:type="pct"/>
            <w:vAlign w:val="center"/>
          </w:tcPr>
          <w:p w14:paraId="4B79D489">
            <w:pPr>
              <w:autoSpaceDE w:val="0"/>
              <w:autoSpaceDN w:val="0"/>
              <w:adjustRightInd w:val="0"/>
              <w:spacing w:line="360" w:lineRule="auto"/>
              <w:jc w:val="center"/>
              <w:rPr>
                <w:rFonts w:ascii="Times New Roman" w:hAnsi="Times New Roman" w:cs="Times New Roman"/>
                <w:sz w:val="15"/>
                <w:szCs w:val="15"/>
              </w:rPr>
            </w:pPr>
            <w:r>
              <w:rPr>
                <w:rFonts w:ascii="Times New Roman" w:hAnsi="Times New Roman" w:cs="Times New Roman"/>
                <w:sz w:val="15"/>
                <w:szCs w:val="15"/>
              </w:rPr>
              <w:t>集配气站/变电站</w:t>
            </w:r>
          </w:p>
        </w:tc>
        <w:tc>
          <w:tcPr>
            <w:tcW w:w="1457" w:type="pct"/>
            <w:vAlign w:val="center"/>
          </w:tcPr>
          <w:p w14:paraId="064C0A16">
            <w:pPr>
              <w:autoSpaceDE w:val="0"/>
              <w:autoSpaceDN w:val="0"/>
              <w:adjustRightInd w:val="0"/>
              <w:spacing w:line="360" w:lineRule="auto"/>
              <w:jc w:val="center"/>
              <w:rPr>
                <w:rFonts w:ascii="Times New Roman" w:hAnsi="Times New Roman" w:cs="Times New Roman"/>
                <w:sz w:val="15"/>
                <w:szCs w:val="15"/>
              </w:rPr>
            </w:pPr>
            <w:r>
              <w:rPr>
                <w:rFonts w:ascii="Times New Roman" w:hAnsi="Times New Roman" w:cs="Times New Roman"/>
                <w:sz w:val="15"/>
                <w:szCs w:val="15"/>
              </w:rPr>
              <w:t>原油管道、储运设施、输变电站塔</w:t>
            </w:r>
          </w:p>
        </w:tc>
        <w:tc>
          <w:tcPr>
            <w:tcW w:w="647" w:type="pct"/>
            <w:vAlign w:val="center"/>
          </w:tcPr>
          <w:p w14:paraId="4D4BC09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附属设施</w:t>
            </w:r>
          </w:p>
        </w:tc>
      </w:tr>
      <w:tr w14:paraId="64C76B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192" w:type="pct"/>
            <w:vMerge w:val="continue"/>
            <w:noWrap/>
            <w:vAlign w:val="center"/>
          </w:tcPr>
          <w:p w14:paraId="6992EFE1">
            <w:pPr>
              <w:widowControl/>
              <w:jc w:val="center"/>
              <w:rPr>
                <w:rFonts w:ascii="Times New Roman" w:hAnsi="Times New Roman" w:cs="Times New Roman"/>
                <w:kern w:val="0"/>
                <w:sz w:val="15"/>
                <w:szCs w:val="15"/>
              </w:rPr>
            </w:pPr>
          </w:p>
        </w:tc>
        <w:tc>
          <w:tcPr>
            <w:tcW w:w="787" w:type="pct"/>
            <w:vAlign w:val="center"/>
          </w:tcPr>
          <w:p w14:paraId="1D3947F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914" w:type="pct"/>
            <w:vAlign w:val="center"/>
          </w:tcPr>
          <w:p w14:paraId="5BDEAAA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457" w:type="pct"/>
            <w:vAlign w:val="center"/>
          </w:tcPr>
          <w:p w14:paraId="4A51DA4A">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647" w:type="pct"/>
            <w:noWrap/>
            <w:vAlign w:val="center"/>
          </w:tcPr>
          <w:p w14:paraId="5B3DC40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bl>
    <w:p w14:paraId="1B324473">
      <w:pPr>
        <w:widowControl/>
        <w:ind w:firstLine="300" w:firstLineChars="200"/>
        <w:rPr>
          <w:rFonts w:ascii="Times New Roman" w:hAnsi="Times New Roman" w:cs="Times New Roman"/>
          <w:kern w:val="0"/>
          <w:sz w:val="15"/>
          <w:szCs w:val="15"/>
        </w:rPr>
      </w:pPr>
      <w:r>
        <w:rPr>
          <w:rFonts w:ascii="Times New Roman" w:hAnsi="Times New Roman" w:cs="Times New Roman"/>
          <w:kern w:val="0"/>
          <w:sz w:val="15"/>
          <w:szCs w:val="15"/>
        </w:rPr>
        <w:t xml:space="preserve">注：1 </w:t>
      </w:r>
      <w:r>
        <w:rPr>
          <w:rFonts w:hint="eastAsia" w:ascii="Times New Roman" w:hAnsi="Times New Roman" w:cs="Times New Roman"/>
          <w:kern w:val="0"/>
          <w:sz w:val="15"/>
          <w:szCs w:val="15"/>
        </w:rPr>
        <w:t xml:space="preserve"> </w:t>
      </w:r>
      <w:r>
        <w:rPr>
          <w:rFonts w:ascii="Times New Roman" w:hAnsi="Times New Roman" w:cs="Times New Roman"/>
          <w:kern w:val="0"/>
          <w:sz w:val="15"/>
          <w:szCs w:val="15"/>
        </w:rPr>
        <w:t>管道填埋区绿化设计应首先满足其主体工程相关技术标准对植被绿化的约束性要求；</w:t>
      </w:r>
    </w:p>
    <w:p w14:paraId="05BBA66F">
      <w:pPr>
        <w:autoSpaceDE w:val="0"/>
        <w:autoSpaceDN w:val="0"/>
        <w:adjustRightInd w:val="0"/>
        <w:ind w:firstLine="600" w:firstLineChars="400"/>
        <w:jc w:val="left"/>
        <w:rPr>
          <w:rFonts w:ascii="Times New Roman" w:hAnsi="Times New Roman" w:cs="Times New Roman"/>
          <w:kern w:val="0"/>
          <w:sz w:val="15"/>
          <w:szCs w:val="15"/>
        </w:rPr>
      </w:pPr>
      <w:r>
        <w:rPr>
          <w:rFonts w:ascii="Times New Roman" w:hAnsi="Times New Roman" w:cs="Times New Roman"/>
          <w:kern w:val="0"/>
          <w:sz w:val="15"/>
          <w:szCs w:val="15"/>
        </w:rPr>
        <w:t xml:space="preserve">2 </w:t>
      </w:r>
      <w:r>
        <w:rPr>
          <w:rFonts w:hint="eastAsia" w:ascii="Times New Roman" w:hAnsi="Times New Roman" w:cs="Times New Roman"/>
          <w:kern w:val="0"/>
          <w:sz w:val="15"/>
          <w:szCs w:val="15"/>
        </w:rPr>
        <w:t xml:space="preserve"> </w:t>
      </w:r>
      <w:r>
        <w:rPr>
          <w:rFonts w:ascii="Times New Roman" w:hAnsi="Times New Roman" w:cs="Times New Roman"/>
          <w:kern w:val="0"/>
          <w:sz w:val="15"/>
          <w:szCs w:val="15"/>
        </w:rPr>
        <w:t>储运设施、输变电站塔绿化设计应首先满足其主体工程相关技术标准对植被绿化的约束性要求。</w:t>
      </w:r>
    </w:p>
    <w:p w14:paraId="38CB62B7">
      <w:pPr>
        <w:jc w:val="center"/>
        <w:rPr>
          <w:rFonts w:ascii="Times New Roman" w:hAnsi="Times New Roman" w:eastAsia="黑体" w:cs="Times New Roman"/>
          <w:bCs/>
          <w:sz w:val="18"/>
          <w:szCs w:val="18"/>
        </w:rPr>
      </w:pPr>
      <w:r>
        <w:rPr>
          <w:rFonts w:ascii="Times New Roman" w:hAnsi="Times New Roman" w:eastAsia="黑体" w:cs="Times New Roman"/>
          <w:bCs/>
          <w:sz w:val="18"/>
          <w:szCs w:val="18"/>
        </w:rPr>
        <w:t>表</w:t>
      </w:r>
      <w:r>
        <w:rPr>
          <w:rFonts w:ascii="Times New Roman" w:hAnsi="Times New Roman" w:eastAsia="黑体" w:cs="Times New Roman"/>
          <w:sz w:val="18"/>
          <w:szCs w:val="18"/>
        </w:rPr>
        <w:t>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6</w:t>
      </w:r>
      <w:r>
        <w:rPr>
          <w:rFonts w:ascii="Times New Roman" w:hAnsi="Times New Roman" w:eastAsia="黑体" w:cs="Times New Roman"/>
          <w:bCs/>
          <w:sz w:val="18"/>
          <w:szCs w:val="18"/>
        </w:rPr>
        <w:t>-8  光伏、风力发电工程的植被恢复与建设工程级别</w:t>
      </w:r>
    </w:p>
    <w:tbl>
      <w:tblPr>
        <w:tblStyle w:val="10"/>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90"/>
        <w:gridCol w:w="1786"/>
        <w:gridCol w:w="1697"/>
        <w:gridCol w:w="1697"/>
        <w:gridCol w:w="1203"/>
      </w:tblGrid>
      <w:tr w14:paraId="7201FC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142" w:type="pct"/>
            <w:vMerge w:val="restart"/>
            <w:vAlign w:val="center"/>
          </w:tcPr>
          <w:p w14:paraId="1479ADE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光伏、风力发电工程</w:t>
            </w:r>
          </w:p>
        </w:tc>
        <w:tc>
          <w:tcPr>
            <w:tcW w:w="1079" w:type="pct"/>
            <w:vAlign w:val="center"/>
          </w:tcPr>
          <w:p w14:paraId="4DF340C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升压站/开关站/换流站</w:t>
            </w:r>
          </w:p>
        </w:tc>
        <w:tc>
          <w:tcPr>
            <w:tcW w:w="1025" w:type="pct"/>
            <w:vAlign w:val="center"/>
          </w:tcPr>
          <w:p w14:paraId="020168A5">
            <w:pPr>
              <w:autoSpaceDE w:val="0"/>
              <w:autoSpaceDN w:val="0"/>
              <w:adjustRightInd w:val="0"/>
              <w:spacing w:line="360" w:lineRule="auto"/>
              <w:jc w:val="center"/>
              <w:rPr>
                <w:rFonts w:ascii="Times New Roman" w:hAnsi="Times New Roman" w:cs="Times New Roman"/>
                <w:sz w:val="15"/>
                <w:szCs w:val="15"/>
              </w:rPr>
            </w:pPr>
            <w:r>
              <w:rPr>
                <w:rFonts w:ascii="Times New Roman" w:hAnsi="Times New Roman" w:cs="Times New Roman"/>
                <w:sz w:val="15"/>
                <w:szCs w:val="15"/>
              </w:rPr>
              <w:t>光伏阵列用地</w:t>
            </w:r>
          </w:p>
        </w:tc>
        <w:tc>
          <w:tcPr>
            <w:tcW w:w="1025" w:type="pct"/>
            <w:vAlign w:val="center"/>
          </w:tcPr>
          <w:p w14:paraId="355462D8">
            <w:pPr>
              <w:autoSpaceDE w:val="0"/>
              <w:autoSpaceDN w:val="0"/>
              <w:adjustRightInd w:val="0"/>
              <w:spacing w:line="360" w:lineRule="auto"/>
              <w:jc w:val="center"/>
              <w:rPr>
                <w:rFonts w:ascii="Times New Roman" w:hAnsi="Times New Roman" w:cs="Times New Roman"/>
                <w:sz w:val="15"/>
                <w:szCs w:val="15"/>
              </w:rPr>
            </w:pPr>
            <w:r>
              <w:rPr>
                <w:rFonts w:ascii="Times New Roman" w:hAnsi="Times New Roman" w:cs="Times New Roman"/>
                <w:sz w:val="15"/>
                <w:szCs w:val="15"/>
              </w:rPr>
              <w:t>风机用地</w:t>
            </w:r>
          </w:p>
        </w:tc>
        <w:tc>
          <w:tcPr>
            <w:tcW w:w="727" w:type="pct"/>
            <w:vAlign w:val="center"/>
          </w:tcPr>
          <w:p w14:paraId="19B3957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附属设施</w:t>
            </w:r>
          </w:p>
        </w:tc>
      </w:tr>
      <w:tr w14:paraId="0F96F8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1142" w:type="pct"/>
            <w:vMerge w:val="continue"/>
            <w:noWrap/>
            <w:vAlign w:val="center"/>
          </w:tcPr>
          <w:p w14:paraId="06B9FF42">
            <w:pPr>
              <w:widowControl/>
              <w:jc w:val="center"/>
              <w:rPr>
                <w:rFonts w:ascii="Times New Roman" w:hAnsi="Times New Roman" w:cs="Times New Roman"/>
                <w:kern w:val="0"/>
                <w:sz w:val="15"/>
                <w:szCs w:val="15"/>
              </w:rPr>
            </w:pPr>
          </w:p>
        </w:tc>
        <w:tc>
          <w:tcPr>
            <w:tcW w:w="1079" w:type="pct"/>
            <w:vAlign w:val="center"/>
          </w:tcPr>
          <w:p w14:paraId="092B8C11">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025" w:type="pct"/>
            <w:vAlign w:val="center"/>
          </w:tcPr>
          <w:p w14:paraId="4801459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025" w:type="pct"/>
            <w:vAlign w:val="center"/>
          </w:tcPr>
          <w:p w14:paraId="665BDF2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727" w:type="pct"/>
            <w:noWrap/>
            <w:vAlign w:val="center"/>
          </w:tcPr>
          <w:p w14:paraId="77FA641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r>
    </w:tbl>
    <w:p w14:paraId="5942D8B9">
      <w:pPr>
        <w:widowControl/>
        <w:ind w:firstLine="300" w:firstLineChars="200"/>
        <w:rPr>
          <w:rFonts w:ascii="Times New Roman" w:hAnsi="Times New Roman" w:cs="Times New Roman"/>
          <w:kern w:val="0"/>
          <w:sz w:val="15"/>
          <w:szCs w:val="15"/>
          <w:u w:val="single"/>
        </w:rPr>
      </w:pPr>
      <w:r>
        <w:rPr>
          <w:rFonts w:ascii="Times New Roman" w:hAnsi="Times New Roman" w:cs="Times New Roman"/>
          <w:kern w:val="0"/>
          <w:sz w:val="15"/>
          <w:szCs w:val="15"/>
        </w:rPr>
        <w:t>注：升压站、开关站、换流站绿化设计应首先满足其主体工程相关技术标准对植被绿化的约束性要求。</w:t>
      </w:r>
    </w:p>
    <w:p w14:paraId="39590AFD">
      <w:pPr>
        <w:autoSpaceDE w:val="0"/>
        <w:autoSpaceDN w:val="0"/>
        <w:adjustRightInd w:val="0"/>
        <w:spacing w:line="360" w:lineRule="auto"/>
        <w:jc w:val="left"/>
        <w:rPr>
          <w:rFonts w:ascii="Times New Roman" w:hAnsi="Times New Roman" w:cs="Times New Roman"/>
          <w:sz w:val="21"/>
          <w:szCs w:val="24"/>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1</w:t>
      </w:r>
      <w:r>
        <w:rPr>
          <w:rFonts w:ascii="Times New Roman" w:hAnsi="Times New Roman" w:cs="Times New Roman"/>
          <w:b/>
          <w:sz w:val="21"/>
          <w:szCs w:val="24"/>
        </w:rPr>
        <w:t>.</w:t>
      </w:r>
      <w:r>
        <w:rPr>
          <w:rFonts w:ascii="Times New Roman" w:hAnsi="Times New Roman" w:eastAsia="黑体" w:cs="Times New Roman"/>
          <w:b/>
          <w:sz w:val="21"/>
          <w:szCs w:val="24"/>
        </w:rPr>
        <w:t>7</w:t>
      </w:r>
      <w:r>
        <w:rPr>
          <w:rFonts w:ascii="Times New Roman" w:hAnsi="Times New Roman" w:cs="Times New Roman"/>
          <w:sz w:val="21"/>
          <w:szCs w:val="24"/>
        </w:rPr>
        <w:t xml:space="preserve">  植被恢复与建设工程设计标准应符合下列规定： </w:t>
      </w:r>
    </w:p>
    <w:p w14:paraId="4B437A8D">
      <w:pPr>
        <w:autoSpaceDE w:val="0"/>
        <w:autoSpaceDN w:val="0"/>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1级植被建设工程应根据景观、游憩、环境保护和生态防护等多种功能的要求，执行工程所在地区的园林绿化工程标准。</w:t>
      </w:r>
    </w:p>
    <w:p w14:paraId="0894448C">
      <w:pPr>
        <w:autoSpaceDE w:val="0"/>
        <w:autoSpaceDN w:val="0"/>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sz w:val="21"/>
          <w:szCs w:val="24"/>
        </w:rPr>
        <w:t xml:space="preserve">  2级植被建设工程应根据生态防护和环境保护要求，按生态公益林建设标准执行；有景观、游憩等功能要求的，结合工程所在地区的园林绿化标准，在生态公益林标准基础上适度提高。</w:t>
      </w:r>
    </w:p>
    <w:p w14:paraId="2C13465F">
      <w:pPr>
        <w:autoSpaceDE w:val="0"/>
        <w:autoSpaceDN w:val="0"/>
        <w:adjustRightInd w:val="0"/>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cs="Times New Roman"/>
          <w:sz w:val="21"/>
          <w:szCs w:val="24"/>
        </w:rPr>
        <w:t xml:space="preserve">  3级植被建设工程应根据生态保护和环境保护要求，按生态公益林建设标准执行；年降水量250mm～400mm的区域，应以灌草为主；降水量250mm以下的区域，应以自然修复和人工辅助相结合的措施恢复植被。</w:t>
      </w:r>
    </w:p>
    <w:p w14:paraId="2EEC75F4">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Ⅵ </w:t>
      </w:r>
      <w:r>
        <w:rPr>
          <w:rFonts w:ascii="Times New Roman" w:hAnsi="Times New Roman" w:eastAsia="黑体" w:cs="Times New Roman"/>
          <w:bCs/>
          <w:sz w:val="24"/>
          <w:szCs w:val="24"/>
        </w:rPr>
        <w:t>临时防护工程</w:t>
      </w:r>
    </w:p>
    <w:p w14:paraId="05911F43">
      <w:pPr>
        <w:spacing w:line="360" w:lineRule="auto"/>
        <w:jc w:val="left"/>
        <w:rPr>
          <w:rFonts w:ascii="Times New Roman" w:hAnsi="Times New Roman" w:cs="Times New Roman"/>
          <w:sz w:val="21"/>
        </w:rPr>
      </w:pPr>
      <w:r>
        <w:rPr>
          <w:rFonts w:ascii="Times New Roman" w:hAnsi="Times New Roman" w:cs="Times New Roman"/>
          <w:b/>
          <w:sz w:val="21"/>
        </w:rPr>
        <w:t>5.1.8</w:t>
      </w:r>
      <w:r>
        <w:rPr>
          <w:rFonts w:ascii="Times New Roman" w:hAnsi="Times New Roman" w:cs="Times New Roman"/>
          <w:sz w:val="21"/>
        </w:rPr>
        <w:t xml:space="preserve">  弃渣场施工期临时排洪工程洪水标准应根据弃渣场级别按表5.1.8确定。临时性排洪工程失事后果严重时，应提出发生超标准洪水时的应急预案和工程应急措施。弃渣场施工期超过5年的，应按照弃渣场永久性排洪工程洪水标准执行。</w:t>
      </w:r>
    </w:p>
    <w:p w14:paraId="07C45CC8">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8  弃渣场施工期临时排洪工程洪水标准</w:t>
      </w:r>
    </w:p>
    <w:tbl>
      <w:tblPr>
        <w:tblStyle w:val="10"/>
        <w:tblW w:w="5000" w:type="pct"/>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108" w:type="dxa"/>
          <w:bottom w:w="0" w:type="dxa"/>
          <w:right w:w="108" w:type="dxa"/>
        </w:tblCellMar>
      </w:tblPr>
      <w:tblGrid>
        <w:gridCol w:w="4136"/>
        <w:gridCol w:w="4140"/>
      </w:tblGrid>
      <w:tr w14:paraId="34FC96F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2499" w:type="pct"/>
            <w:tcBorders>
              <w:bottom w:val="single" w:color="auto" w:sz="4" w:space="0"/>
              <w:right w:val="single" w:color="auto" w:sz="4" w:space="0"/>
            </w:tcBorders>
            <w:vAlign w:val="center"/>
          </w:tcPr>
          <w:p w14:paraId="2829BDDA">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弃渣场级别</w:t>
            </w:r>
          </w:p>
        </w:tc>
        <w:tc>
          <w:tcPr>
            <w:tcW w:w="2501" w:type="pct"/>
            <w:tcBorders>
              <w:left w:val="single" w:color="auto" w:sz="4" w:space="0"/>
              <w:bottom w:val="single" w:color="auto" w:sz="4" w:space="0"/>
            </w:tcBorders>
            <w:vAlign w:val="center"/>
          </w:tcPr>
          <w:p w14:paraId="7F2D94D6">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临时排洪标准[重现期（年）]</w:t>
            </w:r>
          </w:p>
        </w:tc>
      </w:tr>
      <w:tr w14:paraId="1775CC6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2499" w:type="pct"/>
            <w:tcBorders>
              <w:top w:val="single" w:color="auto" w:sz="4" w:space="0"/>
              <w:bottom w:val="single" w:color="auto" w:sz="4" w:space="0"/>
              <w:right w:val="single" w:color="auto" w:sz="4" w:space="0"/>
            </w:tcBorders>
            <w:vAlign w:val="center"/>
          </w:tcPr>
          <w:p w14:paraId="652B079F">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1、2</w:t>
            </w:r>
          </w:p>
        </w:tc>
        <w:tc>
          <w:tcPr>
            <w:tcW w:w="2501" w:type="pct"/>
            <w:tcBorders>
              <w:top w:val="single" w:color="auto" w:sz="4" w:space="0"/>
              <w:left w:val="single" w:color="auto" w:sz="4" w:space="0"/>
              <w:bottom w:val="single" w:color="auto" w:sz="4" w:space="0"/>
            </w:tcBorders>
            <w:vAlign w:val="center"/>
          </w:tcPr>
          <w:p w14:paraId="66E78CB6">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20</w:t>
            </w:r>
          </w:p>
        </w:tc>
      </w:tr>
      <w:tr w14:paraId="3047866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2499" w:type="pct"/>
            <w:tcBorders>
              <w:top w:val="single" w:color="auto" w:sz="4" w:space="0"/>
              <w:bottom w:val="single" w:color="auto" w:sz="4" w:space="0"/>
              <w:right w:val="single" w:color="auto" w:sz="4" w:space="0"/>
            </w:tcBorders>
            <w:vAlign w:val="center"/>
          </w:tcPr>
          <w:p w14:paraId="4082FBFA">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2501" w:type="pct"/>
            <w:tcBorders>
              <w:top w:val="single" w:color="auto" w:sz="4" w:space="0"/>
              <w:left w:val="single" w:color="auto" w:sz="4" w:space="0"/>
              <w:bottom w:val="single" w:color="auto" w:sz="4" w:space="0"/>
            </w:tcBorders>
            <w:vAlign w:val="center"/>
          </w:tcPr>
          <w:p w14:paraId="614CD242">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10</w:t>
            </w:r>
          </w:p>
        </w:tc>
      </w:tr>
      <w:tr w14:paraId="1542184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2499" w:type="pct"/>
            <w:tcBorders>
              <w:top w:val="single" w:color="auto" w:sz="4" w:space="0"/>
              <w:right w:val="single" w:color="auto" w:sz="4" w:space="0"/>
            </w:tcBorders>
            <w:vAlign w:val="center"/>
          </w:tcPr>
          <w:p w14:paraId="3A02C9CB">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4、5</w:t>
            </w:r>
          </w:p>
        </w:tc>
        <w:tc>
          <w:tcPr>
            <w:tcW w:w="2501" w:type="pct"/>
            <w:tcBorders>
              <w:top w:val="single" w:color="auto" w:sz="4" w:space="0"/>
              <w:left w:val="single" w:color="auto" w:sz="4" w:space="0"/>
            </w:tcBorders>
            <w:vAlign w:val="center"/>
          </w:tcPr>
          <w:p w14:paraId="17F48EE3">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5</w:t>
            </w:r>
          </w:p>
        </w:tc>
      </w:tr>
    </w:tbl>
    <w:p w14:paraId="776C6E15">
      <w:pPr>
        <w:spacing w:line="360" w:lineRule="auto"/>
        <w:jc w:val="left"/>
        <w:rPr>
          <w:rFonts w:ascii="Times New Roman" w:hAnsi="Times New Roman" w:cs="Times New Roman"/>
          <w:sz w:val="21"/>
        </w:rPr>
      </w:pPr>
      <w:r>
        <w:rPr>
          <w:rFonts w:ascii="Times New Roman" w:hAnsi="Times New Roman" w:cs="Times New Roman"/>
          <w:b/>
          <w:sz w:val="21"/>
        </w:rPr>
        <w:t>5.1.9</w:t>
      </w:r>
      <w:r>
        <w:rPr>
          <w:rFonts w:ascii="Times New Roman" w:hAnsi="Times New Roman" w:cs="Times New Roman"/>
          <w:sz w:val="21"/>
        </w:rPr>
        <w:t xml:space="preserve">  临时堆渣场级别应按表5.1.1-1确定，临时堆渣场拦挡工程和排洪工程洪水标准应根据临时堆渣场级别按表5.1.9确定。临时堆渣场堆渣期限超过5年的，其拦挡工程和排洪工程应按照弃渣场拦挡工程和排洪工程洪水标准执行。</w:t>
      </w:r>
    </w:p>
    <w:p w14:paraId="7DBA1287">
      <w:pPr>
        <w:spacing w:line="360" w:lineRule="auto"/>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ascii="Times New Roman" w:hAnsi="Times New Roman" w:eastAsia="黑体" w:cs="Times New Roman"/>
          <w:sz w:val="18"/>
          <w:szCs w:val="18"/>
        </w:rPr>
        <w:t>9  临时堆渣场拦挡工程和排洪工程洪水标准</w:t>
      </w:r>
    </w:p>
    <w:tbl>
      <w:tblPr>
        <w:tblStyle w:val="10"/>
        <w:tblW w:w="4998" w:type="pct"/>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108" w:type="dxa"/>
          <w:bottom w:w="0" w:type="dxa"/>
          <w:right w:w="108" w:type="dxa"/>
        </w:tblCellMar>
      </w:tblPr>
      <w:tblGrid>
        <w:gridCol w:w="2757"/>
        <w:gridCol w:w="2758"/>
        <w:gridCol w:w="2758"/>
      </w:tblGrid>
      <w:tr w14:paraId="0CF7091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666" w:type="pct"/>
            <w:tcBorders>
              <w:bottom w:val="single" w:color="auto" w:sz="4" w:space="0"/>
              <w:right w:val="single" w:color="auto" w:sz="4" w:space="0"/>
            </w:tcBorders>
            <w:vAlign w:val="center"/>
          </w:tcPr>
          <w:p w14:paraId="1BC56C11">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临时堆渣场级别</w:t>
            </w:r>
          </w:p>
        </w:tc>
        <w:tc>
          <w:tcPr>
            <w:tcW w:w="1667" w:type="pct"/>
            <w:tcBorders>
              <w:left w:val="single" w:color="auto" w:sz="4" w:space="0"/>
              <w:bottom w:val="single" w:color="auto" w:sz="4" w:space="0"/>
              <w:right w:val="single" w:color="auto" w:sz="4" w:space="0"/>
            </w:tcBorders>
            <w:vAlign w:val="center"/>
          </w:tcPr>
          <w:p w14:paraId="38722CFF">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堆置1-2年洪水标准[重现期（年）]</w:t>
            </w:r>
          </w:p>
        </w:tc>
        <w:tc>
          <w:tcPr>
            <w:tcW w:w="1667" w:type="pct"/>
            <w:tcBorders>
              <w:left w:val="single" w:color="auto" w:sz="4" w:space="0"/>
              <w:bottom w:val="single" w:color="auto" w:sz="4" w:space="0"/>
            </w:tcBorders>
            <w:vAlign w:val="center"/>
          </w:tcPr>
          <w:p w14:paraId="12F0688E">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堆置3-5年洪水标准[重现期（年）]</w:t>
            </w:r>
          </w:p>
        </w:tc>
      </w:tr>
      <w:tr w14:paraId="504C5D6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PrEx>
        <w:trPr>
          <w:trHeight w:val="90" w:hRule="atLeast"/>
          <w:jc w:val="center"/>
        </w:trPr>
        <w:tc>
          <w:tcPr>
            <w:tcW w:w="1666" w:type="pct"/>
            <w:tcBorders>
              <w:top w:val="single" w:color="auto" w:sz="4" w:space="0"/>
              <w:bottom w:val="single" w:color="auto" w:sz="4" w:space="0"/>
              <w:right w:val="single" w:color="auto" w:sz="4" w:space="0"/>
            </w:tcBorders>
            <w:vAlign w:val="center"/>
          </w:tcPr>
          <w:p w14:paraId="6C37BA04">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1~3</w:t>
            </w:r>
          </w:p>
        </w:tc>
        <w:tc>
          <w:tcPr>
            <w:tcW w:w="1667" w:type="pct"/>
            <w:tcBorders>
              <w:top w:val="single" w:color="auto" w:sz="4" w:space="0"/>
              <w:left w:val="single" w:color="auto" w:sz="4" w:space="0"/>
              <w:bottom w:val="single" w:color="auto" w:sz="4" w:space="0"/>
              <w:right w:val="single" w:color="auto" w:sz="4" w:space="0"/>
            </w:tcBorders>
            <w:vAlign w:val="center"/>
          </w:tcPr>
          <w:p w14:paraId="30E8FD6B">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10</w:t>
            </w:r>
          </w:p>
        </w:tc>
        <w:tc>
          <w:tcPr>
            <w:tcW w:w="1667" w:type="pct"/>
            <w:tcBorders>
              <w:top w:val="single" w:color="auto" w:sz="4" w:space="0"/>
              <w:left w:val="single" w:color="auto" w:sz="4" w:space="0"/>
              <w:bottom w:val="single" w:color="auto" w:sz="4" w:space="0"/>
            </w:tcBorders>
            <w:vAlign w:val="center"/>
          </w:tcPr>
          <w:p w14:paraId="0DFF0444">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20</w:t>
            </w:r>
          </w:p>
        </w:tc>
      </w:tr>
      <w:tr w14:paraId="3F13CF3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666" w:type="pct"/>
            <w:tcBorders>
              <w:top w:val="single" w:color="auto" w:sz="4" w:space="0"/>
              <w:right w:val="single" w:color="auto" w:sz="4" w:space="0"/>
            </w:tcBorders>
            <w:vAlign w:val="center"/>
          </w:tcPr>
          <w:p w14:paraId="08C8EA49">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4、5</w:t>
            </w:r>
          </w:p>
        </w:tc>
        <w:tc>
          <w:tcPr>
            <w:tcW w:w="1667" w:type="pct"/>
            <w:tcBorders>
              <w:top w:val="single" w:color="auto" w:sz="4" w:space="0"/>
              <w:left w:val="single" w:color="auto" w:sz="4" w:space="0"/>
              <w:right w:val="single" w:color="auto" w:sz="4" w:space="0"/>
            </w:tcBorders>
            <w:vAlign w:val="center"/>
          </w:tcPr>
          <w:p w14:paraId="5B032772">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5</w:t>
            </w:r>
          </w:p>
        </w:tc>
        <w:tc>
          <w:tcPr>
            <w:tcW w:w="1667" w:type="pct"/>
            <w:tcBorders>
              <w:top w:val="single" w:color="auto" w:sz="4" w:space="0"/>
              <w:left w:val="single" w:color="auto" w:sz="4" w:space="0"/>
            </w:tcBorders>
            <w:vAlign w:val="center"/>
          </w:tcPr>
          <w:p w14:paraId="37E9127E">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10</w:t>
            </w:r>
          </w:p>
        </w:tc>
      </w:tr>
    </w:tbl>
    <w:p w14:paraId="35D793C0">
      <w:pPr>
        <w:spacing w:line="360" w:lineRule="auto"/>
        <w:jc w:val="left"/>
        <w:rPr>
          <w:rFonts w:ascii="Times New Roman" w:hAnsi="Times New Roman" w:cs="Times New Roman"/>
          <w:bCs/>
          <w:strike/>
          <w:sz w:val="21"/>
        </w:rPr>
      </w:pPr>
      <w:r>
        <w:rPr>
          <w:rFonts w:ascii="Times New Roman" w:hAnsi="Times New Roman" w:cs="Times New Roman"/>
          <w:b/>
          <w:sz w:val="21"/>
        </w:rPr>
        <w:t xml:space="preserve">5.1.10  </w:t>
      </w:r>
      <w:r>
        <w:rPr>
          <w:rFonts w:ascii="Times New Roman" w:hAnsi="Times New Roman" w:cs="Times New Roman"/>
          <w:bCs/>
          <w:sz w:val="21"/>
        </w:rPr>
        <w:t>弃渣场临时截排水</w:t>
      </w:r>
      <w:r>
        <w:rPr>
          <w:rFonts w:hint="eastAsia" w:ascii="Times New Roman" w:hAnsi="Times New Roman" w:cs="Times New Roman"/>
          <w:bCs/>
          <w:sz w:val="21"/>
        </w:rPr>
        <w:t>工程</w:t>
      </w:r>
      <w:r>
        <w:rPr>
          <w:rFonts w:ascii="Times New Roman" w:hAnsi="Times New Roman" w:cs="Times New Roman"/>
          <w:bCs/>
          <w:sz w:val="21"/>
        </w:rPr>
        <w:t>的排水设计标准按表5.1.</w:t>
      </w:r>
      <w:r>
        <w:rPr>
          <w:rFonts w:hint="eastAsia" w:ascii="Times New Roman" w:hAnsi="Times New Roman" w:cs="Times New Roman"/>
          <w:bCs/>
          <w:sz w:val="21"/>
        </w:rPr>
        <w:t>10</w:t>
      </w:r>
      <w:r>
        <w:rPr>
          <w:rFonts w:ascii="Times New Roman" w:hAnsi="Times New Roman" w:cs="Times New Roman"/>
          <w:bCs/>
          <w:sz w:val="21"/>
        </w:rPr>
        <w:t>规定确定。</w:t>
      </w:r>
    </w:p>
    <w:p w14:paraId="47C5EFFE">
      <w:pPr>
        <w:jc w:val="center"/>
        <w:rPr>
          <w:rFonts w:ascii="Times New Roman" w:hAnsi="Times New Roman" w:cs="Times New Roman"/>
          <w:sz w:val="21"/>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1</w:t>
      </w:r>
      <w:r>
        <w:rPr>
          <w:rFonts w:ascii="Times New Roman" w:hAnsi="Times New Roman" w:cs="Times New Roman"/>
          <w:sz w:val="18"/>
          <w:szCs w:val="18"/>
        </w:rPr>
        <w:t>.</w:t>
      </w:r>
      <w:r>
        <w:rPr>
          <w:rFonts w:hint="eastAsia" w:ascii="Times New Roman" w:hAnsi="Times New Roman" w:eastAsia="黑体" w:cs="Times New Roman"/>
          <w:sz w:val="18"/>
          <w:szCs w:val="18"/>
        </w:rPr>
        <w:t>10</w:t>
      </w:r>
      <w:r>
        <w:rPr>
          <w:rFonts w:ascii="Times New Roman" w:hAnsi="Times New Roman" w:eastAsia="黑体" w:cs="Times New Roman"/>
          <w:sz w:val="18"/>
          <w:szCs w:val="18"/>
        </w:rPr>
        <w:t xml:space="preserve">  弃渣场临时截排水工程设计标准</w:t>
      </w:r>
    </w:p>
    <w:tbl>
      <w:tblPr>
        <w:tblStyle w:val="11"/>
        <w:tblW w:w="0" w:type="auto"/>
        <w:jc w:val="center"/>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108" w:type="dxa"/>
          <w:bottom w:w="0" w:type="dxa"/>
          <w:right w:w="108" w:type="dxa"/>
        </w:tblCellMar>
      </w:tblPr>
      <w:tblGrid>
        <w:gridCol w:w="2758"/>
        <w:gridCol w:w="2755"/>
        <w:gridCol w:w="2763"/>
      </w:tblGrid>
      <w:tr w14:paraId="3C271A0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14:paraId="262C4069">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弃渣场级别</w:t>
            </w:r>
          </w:p>
        </w:tc>
        <w:tc>
          <w:tcPr>
            <w:tcW w:w="2840" w:type="dxa"/>
            <w:vAlign w:val="center"/>
          </w:tcPr>
          <w:p w14:paraId="38B0E870">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截排水工程级别</w:t>
            </w:r>
          </w:p>
        </w:tc>
        <w:tc>
          <w:tcPr>
            <w:tcW w:w="2840" w:type="dxa"/>
            <w:vAlign w:val="center"/>
          </w:tcPr>
          <w:p w14:paraId="78EE15C2">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临时排水设计标准</w:t>
            </w:r>
          </w:p>
        </w:tc>
      </w:tr>
      <w:tr w14:paraId="540B916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14:paraId="474046EB">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1～3</w:t>
            </w:r>
          </w:p>
        </w:tc>
        <w:tc>
          <w:tcPr>
            <w:tcW w:w="2840" w:type="dxa"/>
            <w:vAlign w:val="center"/>
          </w:tcPr>
          <w:p w14:paraId="00671E6E">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2840" w:type="dxa"/>
            <w:vAlign w:val="center"/>
          </w:tcPr>
          <w:p w14:paraId="2B8EFA19">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5年一遇10min</w:t>
            </w:r>
          </w:p>
        </w:tc>
      </w:tr>
      <w:tr w14:paraId="4222A2F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14:paraId="5055DB6E">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4～5</w:t>
            </w:r>
          </w:p>
        </w:tc>
        <w:tc>
          <w:tcPr>
            <w:tcW w:w="2840" w:type="dxa"/>
            <w:vAlign w:val="center"/>
          </w:tcPr>
          <w:p w14:paraId="24C62F74">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2840" w:type="dxa"/>
            <w:vAlign w:val="center"/>
          </w:tcPr>
          <w:p w14:paraId="08275FA3">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3年一遇10min</w:t>
            </w:r>
          </w:p>
        </w:tc>
      </w:tr>
    </w:tbl>
    <w:p w14:paraId="11DE6ADA">
      <w:pPr>
        <w:keepNext/>
        <w:keepLines/>
        <w:spacing w:before="260" w:after="260" w:line="416" w:lineRule="auto"/>
        <w:jc w:val="center"/>
        <w:outlineLvl w:val="1"/>
        <w:rPr>
          <w:rFonts w:ascii="Times New Roman" w:hAnsi="Times New Roman" w:eastAsia="黑体" w:cs="Times New Roman"/>
          <w:bCs/>
          <w:sz w:val="30"/>
          <w:szCs w:val="32"/>
        </w:rPr>
      </w:pPr>
      <w:bookmarkStart w:id="497" w:name="_Toc10243"/>
      <w:bookmarkStart w:id="498" w:name="_Toc31686"/>
      <w:r>
        <w:rPr>
          <w:rFonts w:ascii="Times New Roman" w:hAnsi="Times New Roman" w:eastAsia="黑体" w:cs="Times New Roman"/>
          <w:bCs/>
          <w:sz w:val="30"/>
          <w:szCs w:val="32"/>
        </w:rPr>
        <w:t>5.2 弃渣场设计</w:t>
      </w:r>
      <w:bookmarkEnd w:id="497"/>
      <w:bookmarkEnd w:id="498"/>
    </w:p>
    <w:p w14:paraId="324DA3A1">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Ⅰ </w:t>
      </w:r>
      <w:r>
        <w:rPr>
          <w:rFonts w:ascii="Times New Roman" w:hAnsi="Times New Roman" w:eastAsia="黑体" w:cs="Times New Roman"/>
          <w:bCs/>
          <w:sz w:val="24"/>
          <w:szCs w:val="24"/>
        </w:rPr>
        <w:t>一般规定</w:t>
      </w:r>
    </w:p>
    <w:p w14:paraId="560D27FD">
      <w:pPr>
        <w:spacing w:line="360" w:lineRule="auto"/>
        <w:jc w:val="left"/>
        <w:rPr>
          <w:rFonts w:ascii="Times New Roman" w:hAnsi="Times New Roman" w:cs="Times New Roman"/>
          <w:sz w:val="21"/>
        </w:rPr>
      </w:pPr>
      <w:r>
        <w:rPr>
          <w:rFonts w:ascii="Times New Roman" w:hAnsi="Times New Roman" w:cs="Times New Roman"/>
          <w:b/>
          <w:sz w:val="21"/>
        </w:rPr>
        <w:t>5.2.1</w:t>
      </w:r>
      <w:r>
        <w:rPr>
          <w:rFonts w:ascii="Times New Roman" w:hAnsi="Times New Roman" w:cs="Times New Roman"/>
          <w:sz w:val="21"/>
        </w:rPr>
        <w:t xml:space="preserve">  弃渣场设计应符合下列要求：</w:t>
      </w:r>
    </w:p>
    <w:p w14:paraId="1CE9DD30">
      <w:pPr>
        <w:spacing w:line="360" w:lineRule="auto"/>
        <w:ind w:firstLine="422" w:firstLineChars="200"/>
        <w:jc w:val="left"/>
        <w:rPr>
          <w:rFonts w:ascii="Times New Roman" w:hAnsi="Times New Roman" w:cs="Times New Roman"/>
          <w:bCs/>
          <w:sz w:val="21"/>
        </w:rPr>
      </w:pPr>
      <w:r>
        <w:rPr>
          <w:rFonts w:ascii="Times New Roman" w:hAnsi="Times New Roman" w:cs="Times New Roman"/>
          <w:b/>
          <w:sz w:val="21"/>
        </w:rPr>
        <w:t>1</w:t>
      </w:r>
      <w:r>
        <w:rPr>
          <w:rFonts w:ascii="Times New Roman" w:hAnsi="Times New Roman" w:cs="Times New Roman"/>
          <w:bCs/>
          <w:sz w:val="21"/>
        </w:rPr>
        <w:t xml:space="preserve">  坚持预防为主、防治结合、安全可靠和经济合理的原则。</w:t>
      </w:r>
    </w:p>
    <w:p w14:paraId="61867C62">
      <w:pPr>
        <w:spacing w:line="360" w:lineRule="auto"/>
        <w:ind w:firstLine="422" w:firstLineChars="200"/>
        <w:jc w:val="left"/>
        <w:rPr>
          <w:rFonts w:ascii="Times New Roman" w:hAnsi="Times New Roman" w:cs="Times New Roman"/>
          <w:bCs/>
          <w:sz w:val="21"/>
        </w:rPr>
      </w:pPr>
      <w:r>
        <w:rPr>
          <w:rFonts w:ascii="Times New Roman" w:hAnsi="Times New Roman" w:cs="Times New Roman"/>
          <w:b/>
          <w:sz w:val="21"/>
        </w:rPr>
        <w:t>2</w:t>
      </w:r>
      <w:r>
        <w:rPr>
          <w:rFonts w:ascii="Times New Roman" w:hAnsi="Times New Roman" w:cs="Times New Roman"/>
          <w:bCs/>
          <w:sz w:val="21"/>
        </w:rPr>
        <w:t xml:space="preserve">  主要包括弃渣场场址选择与类型划分，级别与防洪标准确定，堆置要素确定，弃渣场稳定性分析及防护措施总体布局等设计内容。</w:t>
      </w:r>
    </w:p>
    <w:p w14:paraId="05F704D3">
      <w:pPr>
        <w:spacing w:line="360" w:lineRule="auto"/>
        <w:ind w:firstLine="422" w:firstLineChars="200"/>
        <w:jc w:val="left"/>
        <w:rPr>
          <w:rFonts w:ascii="Times New Roman" w:hAnsi="Times New Roman" w:cs="Times New Roman"/>
          <w:bCs/>
          <w:sz w:val="21"/>
        </w:rPr>
      </w:pPr>
      <w:r>
        <w:rPr>
          <w:rFonts w:ascii="Times New Roman" w:hAnsi="Times New Roman" w:cs="Times New Roman"/>
          <w:b/>
          <w:sz w:val="21"/>
        </w:rPr>
        <w:t>3</w:t>
      </w:r>
      <w:r>
        <w:rPr>
          <w:rFonts w:ascii="Times New Roman" w:hAnsi="Times New Roman" w:cs="Times New Roman"/>
          <w:bCs/>
          <w:sz w:val="21"/>
        </w:rPr>
        <w:t xml:space="preserve">  根据弃渣场位置、类型及堆置情况，对拦渣工程、防洪排导工程、边坡防护工程、土地整治工程、植被恢复与建设工程等进行设计，各工程设计应按本规范相应章节执行。</w:t>
      </w:r>
    </w:p>
    <w:p w14:paraId="35B54E62">
      <w:pPr>
        <w:spacing w:line="360" w:lineRule="auto"/>
        <w:jc w:val="left"/>
        <w:rPr>
          <w:rFonts w:ascii="Times New Roman" w:hAnsi="Times New Roman" w:cs="Times New Roman"/>
          <w:sz w:val="21"/>
        </w:rPr>
      </w:pPr>
      <w:r>
        <w:rPr>
          <w:rFonts w:ascii="Times New Roman" w:hAnsi="Times New Roman" w:cs="Times New Roman"/>
          <w:b/>
          <w:sz w:val="21"/>
        </w:rPr>
        <w:t>5.2.2</w:t>
      </w:r>
      <w:r>
        <w:rPr>
          <w:rFonts w:ascii="Times New Roman" w:hAnsi="Times New Roman" w:cs="Times New Roman"/>
          <w:sz w:val="21"/>
        </w:rPr>
        <w:t xml:space="preserve"> </w:t>
      </w:r>
      <w:r>
        <w:rPr>
          <w:rFonts w:hint="eastAsia" w:ascii="Times New Roman" w:hAnsi="Times New Roman" w:cs="Times New Roman"/>
          <w:sz w:val="21"/>
        </w:rPr>
        <w:t xml:space="preserve"> </w:t>
      </w:r>
      <w:r>
        <w:rPr>
          <w:rFonts w:ascii="Times New Roman" w:hAnsi="Times New Roman" w:cs="Times New Roman"/>
          <w:sz w:val="21"/>
        </w:rPr>
        <w:t>弃渣场设计所需基本资料应包括下列主要内容：</w:t>
      </w:r>
    </w:p>
    <w:p w14:paraId="7777512F">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 xml:space="preserve">1  </w:t>
      </w:r>
      <w:r>
        <w:rPr>
          <w:rFonts w:ascii="Times New Roman" w:hAnsi="Times New Roman" w:cs="Times New Roman"/>
          <w:sz w:val="21"/>
        </w:rPr>
        <w:t>场地地形资料：场地地形、地貌及地类资料，弃渣场地形图，</w:t>
      </w:r>
      <w:bookmarkStart w:id="499" w:name="OLE_LINK18"/>
      <w:r>
        <w:rPr>
          <w:rFonts w:ascii="Times New Roman" w:hAnsi="Times New Roman" w:cs="Times New Roman"/>
          <w:sz w:val="21"/>
        </w:rPr>
        <w:t>相应成果应符合现行国家标准《水土保持工程调查与勘测标准》GB/T 51297的规定。</w:t>
      </w:r>
      <w:bookmarkEnd w:id="499"/>
    </w:p>
    <w:p w14:paraId="3C5869A5">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 xml:space="preserve">2  </w:t>
      </w:r>
      <w:r>
        <w:rPr>
          <w:rFonts w:ascii="Times New Roman" w:hAnsi="Times New Roman" w:cs="Times New Roman"/>
          <w:sz w:val="21"/>
        </w:rPr>
        <w:t>场地工程地质资料：场地工程地质及必要的地质勘察资料，包括地层岩性、覆盖层组成及厚度，弃渣场是否涉及泥石流、滑坡等不良地质情况，基底岩土物理力学参数，相应成果应符合现行国家标准《水土保持工程调查与勘测标准》GB/T 51297的规定。</w:t>
      </w:r>
    </w:p>
    <w:p w14:paraId="27B62402">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 xml:space="preserve">3  </w:t>
      </w:r>
      <w:r>
        <w:rPr>
          <w:rFonts w:ascii="Times New Roman" w:hAnsi="Times New Roman" w:cs="Times New Roman"/>
          <w:sz w:val="21"/>
        </w:rPr>
        <w:t>弃渣数量及组成资料：经土石平衡分析确定的弃渣场渣料来源及组成、堆渣量、回采量、综合利用量、弃渣</w:t>
      </w:r>
      <w:r>
        <w:rPr>
          <w:rFonts w:hint="eastAsia" w:ascii="Times New Roman" w:hAnsi="Times New Roman" w:cs="Times New Roman"/>
          <w:sz w:val="21"/>
        </w:rPr>
        <w:t>岩土性质</w:t>
      </w:r>
      <w:r>
        <w:rPr>
          <w:rFonts w:ascii="Times New Roman" w:hAnsi="Times New Roman" w:cs="Times New Roman"/>
          <w:sz w:val="21"/>
        </w:rPr>
        <w:t>、物理力学参数等资料。</w:t>
      </w:r>
    </w:p>
    <w:p w14:paraId="36D2A9EA">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4</w:t>
      </w:r>
      <w:r>
        <w:rPr>
          <w:rFonts w:ascii="Times New Roman" w:hAnsi="Times New Roman" w:cs="Times New Roman"/>
          <w:sz w:val="21"/>
        </w:rPr>
        <w:t xml:space="preserve">  水文气象资料及成果：与弃渣场设防标准相应的，涉及河道、沟道的洪水流量及洪水位、流速等资料。</w:t>
      </w:r>
    </w:p>
    <w:p w14:paraId="529949F2">
      <w:pPr>
        <w:spacing w:line="360" w:lineRule="auto"/>
        <w:jc w:val="left"/>
        <w:rPr>
          <w:rFonts w:ascii="Times New Roman" w:hAnsi="Times New Roman" w:cs="Times New Roman"/>
          <w:sz w:val="21"/>
        </w:rPr>
      </w:pPr>
      <w:r>
        <w:rPr>
          <w:rFonts w:ascii="Times New Roman" w:hAnsi="Times New Roman" w:cs="Times New Roman"/>
          <w:b/>
          <w:sz w:val="21"/>
        </w:rPr>
        <w:t>5.2.3</w:t>
      </w:r>
      <w:r>
        <w:rPr>
          <w:rFonts w:ascii="Times New Roman" w:hAnsi="Times New Roman" w:cs="Times New Roman"/>
          <w:sz w:val="21"/>
        </w:rPr>
        <w:t xml:space="preserve">  临时堆渣场分类、选址、堆置、稳定计算等应按照弃渣场的规定执行，防护标准按5.1.</w:t>
      </w:r>
      <w:r>
        <w:rPr>
          <w:rFonts w:hint="eastAsia" w:ascii="Times New Roman" w:hAnsi="Times New Roman" w:cs="Times New Roman"/>
          <w:sz w:val="21"/>
        </w:rPr>
        <w:t>9</w:t>
      </w:r>
      <w:r>
        <w:rPr>
          <w:rFonts w:ascii="Times New Roman" w:hAnsi="Times New Roman" w:cs="Times New Roman"/>
          <w:sz w:val="21"/>
        </w:rPr>
        <w:t>条执行，拦挡、排洪（水）等防护措施宜按临时防护工程进行设计。</w:t>
      </w:r>
    </w:p>
    <w:p w14:paraId="636942F7">
      <w:pPr>
        <w:spacing w:line="360" w:lineRule="auto"/>
        <w:jc w:val="left"/>
        <w:rPr>
          <w:rFonts w:ascii="Times New Roman" w:hAnsi="Times New Roman" w:cs="Times New Roman"/>
          <w:sz w:val="21"/>
          <w:szCs w:val="21"/>
          <w:highlight w:val="yellow"/>
        </w:rPr>
      </w:pPr>
      <w:r>
        <w:rPr>
          <w:rFonts w:ascii="Times New Roman" w:hAnsi="Times New Roman" w:cs="Times New Roman"/>
          <w:b/>
          <w:sz w:val="21"/>
          <w:highlight w:val="yellow"/>
        </w:rPr>
        <w:t>5.2.4</w:t>
      </w:r>
      <w:r>
        <w:rPr>
          <w:rFonts w:ascii="Times New Roman" w:hAnsi="Times New Roman" w:cs="Times New Roman"/>
          <w:sz w:val="21"/>
          <w:highlight w:val="yellow"/>
        </w:rPr>
        <w:t xml:space="preserve">  对于堆渣量超过2000万</w:t>
      </w:r>
      <w:r>
        <w:rPr>
          <w:rFonts w:ascii="Times New Roman" w:hAnsi="Times New Roman" w:cs="Times New Roman"/>
          <w:sz w:val="21"/>
          <w:szCs w:val="21"/>
          <w:highlight w:val="yellow"/>
        </w:rPr>
        <w:t>m</w:t>
      </w:r>
      <w:r>
        <w:rPr>
          <w:rFonts w:ascii="Times New Roman" w:hAnsi="Times New Roman" w:cs="Times New Roman"/>
          <w:sz w:val="21"/>
          <w:szCs w:val="21"/>
          <w:highlight w:val="yellow"/>
          <w:vertAlign w:val="superscript"/>
        </w:rPr>
        <w:t>3</w:t>
      </w:r>
      <w:r>
        <w:rPr>
          <w:rFonts w:ascii="Times New Roman" w:hAnsi="Times New Roman" w:cs="Times New Roman"/>
          <w:sz w:val="21"/>
          <w:szCs w:val="21"/>
          <w:highlight w:val="yellow"/>
        </w:rPr>
        <w:t>或最大堆渣高度超过200m的1级弃渣场，应对弃渣场抗滑稳定、渗流稳定进行专题研究</w:t>
      </w:r>
      <w:r>
        <w:rPr>
          <w:rFonts w:hint="eastAsia" w:ascii="Times New Roman" w:hAnsi="Times New Roman" w:cs="Times New Roman"/>
          <w:sz w:val="21"/>
          <w:szCs w:val="21"/>
          <w:highlight w:val="yellow"/>
        </w:rPr>
        <w:t>。专题研究内容主要包括：</w:t>
      </w:r>
    </w:p>
    <w:p w14:paraId="094B1F1F">
      <w:pPr>
        <w:spacing w:line="360" w:lineRule="auto"/>
        <w:ind w:firstLine="422" w:firstLineChars="200"/>
        <w:jc w:val="left"/>
        <w:rPr>
          <w:rFonts w:ascii="Times New Roman" w:hAnsi="Times New Roman" w:cs="Times New Roman"/>
          <w:sz w:val="21"/>
          <w:szCs w:val="21"/>
          <w:highlight w:val="yellow"/>
        </w:rPr>
      </w:pPr>
      <w:r>
        <w:rPr>
          <w:rFonts w:hint="eastAsia" w:ascii="Times New Roman" w:hAnsi="Times New Roman" w:cs="Times New Roman"/>
          <w:b/>
          <w:bCs/>
          <w:sz w:val="21"/>
          <w:szCs w:val="21"/>
          <w:highlight w:val="yellow"/>
        </w:rPr>
        <w:t>1</w:t>
      </w:r>
      <w:r>
        <w:rPr>
          <w:rFonts w:hint="eastAsia" w:ascii="Times New Roman" w:hAnsi="Times New Roman" w:cs="Times New Roman"/>
          <w:sz w:val="21"/>
          <w:szCs w:val="21"/>
          <w:highlight w:val="yellow"/>
        </w:rPr>
        <w:t xml:space="preserve">  对弃渣场抗剪物理力学参数进行研究。</w:t>
      </w:r>
    </w:p>
    <w:p w14:paraId="0BC09FC5">
      <w:pPr>
        <w:spacing w:line="360" w:lineRule="auto"/>
        <w:ind w:firstLine="422" w:firstLineChars="200"/>
        <w:jc w:val="left"/>
        <w:rPr>
          <w:rFonts w:ascii="Times New Roman" w:hAnsi="Times New Roman" w:cs="Times New Roman"/>
          <w:sz w:val="21"/>
          <w:szCs w:val="21"/>
          <w:highlight w:val="yellow"/>
        </w:rPr>
      </w:pPr>
      <w:r>
        <w:rPr>
          <w:rFonts w:hint="eastAsia" w:ascii="Times New Roman" w:hAnsi="Times New Roman" w:cs="Times New Roman"/>
          <w:b/>
          <w:bCs/>
          <w:sz w:val="21"/>
          <w:szCs w:val="21"/>
          <w:highlight w:val="yellow"/>
        </w:rPr>
        <w:t>2</w:t>
      </w:r>
      <w:r>
        <w:rPr>
          <w:rFonts w:hint="eastAsia" w:ascii="Times New Roman" w:hAnsi="Times New Roman" w:cs="Times New Roman"/>
          <w:sz w:val="21"/>
          <w:szCs w:val="21"/>
          <w:highlight w:val="yellow"/>
        </w:rPr>
        <w:t xml:space="preserve">  </w:t>
      </w:r>
      <w:r>
        <w:rPr>
          <w:rFonts w:ascii="Times New Roman" w:hAnsi="Times New Roman" w:cs="Times New Roman"/>
          <w:sz w:val="21"/>
          <w:szCs w:val="21"/>
          <w:highlight w:val="yellow"/>
        </w:rPr>
        <w:t>地震工况下，弃渣场</w:t>
      </w:r>
      <w:r>
        <w:rPr>
          <w:rFonts w:ascii="Times New Roman" w:hAnsi="Times New Roman" w:cs="Times New Roman"/>
          <w:sz w:val="21"/>
          <w:highlight w:val="yellow"/>
        </w:rPr>
        <w:t>稳定</w:t>
      </w:r>
      <w:r>
        <w:rPr>
          <w:rFonts w:ascii="Times New Roman" w:hAnsi="Times New Roman" w:cs="Times New Roman"/>
          <w:sz w:val="21"/>
          <w:szCs w:val="21"/>
          <w:highlight w:val="yellow"/>
        </w:rPr>
        <w:t>计算</w:t>
      </w:r>
      <w:r>
        <w:rPr>
          <w:rFonts w:hint="eastAsia" w:ascii="Times New Roman" w:hAnsi="Times New Roman" w:cs="Times New Roman"/>
          <w:sz w:val="21"/>
          <w:szCs w:val="21"/>
          <w:highlight w:val="yellow"/>
        </w:rPr>
        <w:t>中</w:t>
      </w:r>
      <w:r>
        <w:rPr>
          <w:rFonts w:ascii="Times New Roman" w:hAnsi="Times New Roman" w:cs="Times New Roman"/>
          <w:sz w:val="21"/>
          <w:szCs w:val="21"/>
          <w:highlight w:val="yellow"/>
        </w:rPr>
        <w:t>地震动参数应依据专门的弃渣场地震安全性评价成果确定。</w:t>
      </w:r>
    </w:p>
    <w:p w14:paraId="455F5055">
      <w:pPr>
        <w:spacing w:line="360" w:lineRule="auto"/>
        <w:ind w:firstLine="422" w:firstLineChars="200"/>
        <w:jc w:val="left"/>
        <w:rPr>
          <w:rFonts w:ascii="Times New Roman" w:hAnsi="Times New Roman" w:cs="Times New Roman"/>
          <w:sz w:val="21"/>
          <w:szCs w:val="21"/>
          <w:highlight w:val="yellow"/>
        </w:rPr>
      </w:pPr>
      <w:r>
        <w:rPr>
          <w:rFonts w:hint="eastAsia" w:ascii="Times New Roman" w:hAnsi="Times New Roman" w:cs="Times New Roman"/>
          <w:b/>
          <w:sz w:val="21"/>
          <w:highlight w:val="yellow"/>
        </w:rPr>
        <w:t xml:space="preserve">3  </w:t>
      </w:r>
      <w:r>
        <w:rPr>
          <w:rFonts w:ascii="Times New Roman" w:hAnsi="Times New Roman" w:cs="Times New Roman"/>
          <w:sz w:val="21"/>
          <w:szCs w:val="21"/>
          <w:highlight w:val="yellow"/>
        </w:rPr>
        <w:t>应全面分析弃渣场内部及周边地下水、山体渗水等对弃渣场渗流稳定和抗滑稳定的影响。</w:t>
      </w:r>
    </w:p>
    <w:p w14:paraId="6ED19C47">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Ⅱ </w:t>
      </w:r>
      <w:r>
        <w:rPr>
          <w:rFonts w:ascii="Times New Roman" w:hAnsi="Times New Roman" w:eastAsia="黑体" w:cs="Times New Roman"/>
          <w:bCs/>
          <w:sz w:val="24"/>
          <w:szCs w:val="24"/>
        </w:rPr>
        <w:t>弃渣场选址与类型划分</w:t>
      </w:r>
    </w:p>
    <w:p w14:paraId="28A3795A">
      <w:pPr>
        <w:spacing w:line="360" w:lineRule="auto"/>
        <w:jc w:val="left"/>
        <w:rPr>
          <w:rFonts w:ascii="Times New Roman" w:hAnsi="Times New Roman" w:cs="Times New Roman"/>
          <w:sz w:val="21"/>
        </w:rPr>
      </w:pPr>
      <w:r>
        <w:rPr>
          <w:rFonts w:ascii="Times New Roman" w:hAnsi="Times New Roman" w:cs="Times New Roman"/>
          <w:b/>
          <w:sz w:val="21"/>
        </w:rPr>
        <w:t xml:space="preserve">5.2.5 </w:t>
      </w:r>
      <w:r>
        <w:rPr>
          <w:rFonts w:ascii="Times New Roman" w:hAnsi="Times New Roman" w:cs="Times New Roman"/>
          <w:sz w:val="21"/>
        </w:rPr>
        <w:t xml:space="preserve"> 弃渣场选址应符合下列规定：</w:t>
      </w:r>
    </w:p>
    <w:p w14:paraId="3B2B98C9">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弃渣场选址应根据地形地质条件、主体工程布置、施工场地条件、运输条件、弃渣场容量、占地类型与面积、弃渣运距、弃渣组成及堆置方式、防护工程布局及弃渣场后期土地利用等情况，经综合分析后确定。</w:t>
      </w:r>
    </w:p>
    <w:p w14:paraId="202A6CC1">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 xml:space="preserve">2 </w:t>
      </w:r>
      <w:r>
        <w:rPr>
          <w:rFonts w:ascii="Times New Roman" w:hAnsi="Times New Roman" w:cs="Times New Roman"/>
          <w:sz w:val="21"/>
        </w:rPr>
        <w:t xml:space="preserve"> 严禁在对重要基础设施、人民群众生命财产安全及行洪安全有重大影响的区域布设弃渣场。</w:t>
      </w:r>
    </w:p>
    <w:p w14:paraId="3880705A">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 xml:space="preserve">3 </w:t>
      </w:r>
      <w:r>
        <w:rPr>
          <w:rFonts w:ascii="Times New Roman" w:hAnsi="Times New Roman" w:cs="Times New Roman"/>
          <w:sz w:val="21"/>
        </w:rPr>
        <w:t xml:space="preserve"> 弃渣场不应影响河流、沟谷的行洪安全；弃渣不应影响水库大坝、水利工程取用水建筑物、泄水建筑物、灌（排）干渠（沟）功能；不应影响工矿企业、居民区、交通干线或其他重要基础设施的安全。</w:t>
      </w:r>
    </w:p>
    <w:p w14:paraId="12F3E45E">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 xml:space="preserve">4 </w:t>
      </w:r>
      <w:r>
        <w:rPr>
          <w:rFonts w:ascii="Times New Roman" w:hAnsi="Times New Roman" w:cs="Times New Roman"/>
          <w:sz w:val="21"/>
        </w:rPr>
        <w:t xml:space="preserve"> 弃渣场应避开滑坡体等不良地质条件地段，不宜在泥石流易发区设置弃渣场；确需设置的，应确保弃渣场稳定安全。</w:t>
      </w:r>
    </w:p>
    <w:p w14:paraId="56DB6ED8">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5</w:t>
      </w:r>
      <w:r>
        <w:rPr>
          <w:rFonts w:ascii="Times New Roman" w:hAnsi="Times New Roman" w:cs="Times New Roman"/>
          <w:sz w:val="21"/>
        </w:rPr>
        <w:t xml:space="preserve">  弃渣场不宜设置在汇水面积和流量大、沟谷纵坡陡、出口不易拦截的沟道；对弃渣场选址进行论证后，确需在此类沟道弃渣的，应采取安全有效的防护措施。</w:t>
      </w:r>
    </w:p>
    <w:p w14:paraId="50CEF486">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 xml:space="preserve">6 </w:t>
      </w:r>
      <w:r>
        <w:rPr>
          <w:rFonts w:ascii="Times New Roman" w:hAnsi="Times New Roman" w:cs="Times New Roman"/>
          <w:sz w:val="21"/>
        </w:rPr>
        <w:t xml:space="preserve"> 不宜在河道、湖泊、水库岸线附近设置弃渣场，确需设置的，应符合防洪行洪和管理的要求，并应采取措施保障行洪安全，减少由此可能产生的不利影响。</w:t>
      </w:r>
    </w:p>
    <w:p w14:paraId="41F31B20">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7</w:t>
      </w:r>
      <w:r>
        <w:rPr>
          <w:rFonts w:ascii="Times New Roman" w:hAnsi="Times New Roman" w:cs="Times New Roman"/>
          <w:sz w:val="21"/>
        </w:rPr>
        <w:t xml:space="preserve">  弃渣场选址应遵循“少占压耕地，少损坏水土保持设施”的原则。山区、丘陵区弃渣场宜选择在工程地质和水文地质条件相对简单，地形相对平缓的沟谷、凹地、坡台地、滩地等；平原区弃渣应优先弃于洼地、取土（采砂）坑，以及裸地、空闲地、平滩地等。</w:t>
      </w:r>
    </w:p>
    <w:p w14:paraId="01C0ACF9">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8</w:t>
      </w:r>
      <w:r>
        <w:rPr>
          <w:rFonts w:ascii="Times New Roman" w:hAnsi="Times New Roman" w:cs="Times New Roman"/>
          <w:sz w:val="21"/>
        </w:rPr>
        <w:t xml:space="preserve">  风蚀区的弃渣场选址应避开风口区域。</w:t>
      </w:r>
    </w:p>
    <w:p w14:paraId="1F39F918">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9</w:t>
      </w:r>
      <w:r>
        <w:rPr>
          <w:rFonts w:ascii="Times New Roman" w:hAnsi="Times New Roman" w:cs="Times New Roman"/>
          <w:sz w:val="21"/>
        </w:rPr>
        <w:t xml:space="preserve">  应充分利用取土（石、砂）场、废弃采坑、沉陷区等场地。</w:t>
      </w:r>
    </w:p>
    <w:p w14:paraId="13D66B74">
      <w:pPr>
        <w:spacing w:line="360" w:lineRule="auto"/>
        <w:jc w:val="left"/>
        <w:rPr>
          <w:rFonts w:ascii="Times New Roman" w:hAnsi="Times New Roman" w:cs="Times New Roman"/>
          <w:sz w:val="21"/>
        </w:rPr>
      </w:pPr>
      <w:r>
        <w:rPr>
          <w:rFonts w:ascii="Times New Roman" w:hAnsi="Times New Roman" w:cs="Times New Roman"/>
          <w:b/>
          <w:sz w:val="21"/>
        </w:rPr>
        <w:t>5.2.6</w:t>
      </w:r>
      <w:r>
        <w:rPr>
          <w:rFonts w:ascii="Times New Roman" w:hAnsi="Times New Roman" w:cs="Times New Roman"/>
          <w:sz w:val="21"/>
        </w:rPr>
        <w:t xml:space="preserve">  弃渣场按地形条件可分为沟道型、坡地型、平地型三种类型，其相应特征及适用条件应符合表5.3.</w:t>
      </w:r>
      <w:r>
        <w:rPr>
          <w:rFonts w:hint="eastAsia" w:ascii="Times New Roman" w:hAnsi="Times New Roman" w:cs="Times New Roman"/>
          <w:sz w:val="21"/>
        </w:rPr>
        <w:t>6</w:t>
      </w:r>
      <w:r>
        <w:rPr>
          <w:rFonts w:ascii="Times New Roman" w:hAnsi="Times New Roman" w:cs="Times New Roman"/>
          <w:sz w:val="21"/>
        </w:rPr>
        <w:t>。</w:t>
      </w:r>
    </w:p>
    <w:p w14:paraId="7DC1D416">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hint="eastAsia" w:ascii="Times New Roman" w:hAnsi="Times New Roman" w:eastAsia="黑体" w:cs="Times New Roman"/>
          <w:sz w:val="18"/>
          <w:szCs w:val="18"/>
        </w:rPr>
        <w:t>6</w:t>
      </w:r>
      <w:r>
        <w:rPr>
          <w:rFonts w:ascii="Times New Roman" w:hAnsi="Times New Roman" w:eastAsia="黑体" w:cs="Times New Roman"/>
          <w:sz w:val="18"/>
          <w:szCs w:val="18"/>
        </w:rPr>
        <w:t xml:space="preserve">  弃渣场分类</w:t>
      </w:r>
    </w:p>
    <w:tbl>
      <w:tblPr>
        <w:tblStyle w:val="10"/>
        <w:tblW w:w="4940"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954"/>
        <w:gridCol w:w="3571"/>
        <w:gridCol w:w="3652"/>
      </w:tblGrid>
      <w:tr w14:paraId="259BF70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7" w:hRule="atLeast"/>
          <w:jc w:val="center"/>
        </w:trPr>
        <w:tc>
          <w:tcPr>
            <w:tcW w:w="583" w:type="pct"/>
            <w:vAlign w:val="center"/>
          </w:tcPr>
          <w:p w14:paraId="498FDD0E">
            <w:pPr>
              <w:spacing w:line="228" w:lineRule="auto"/>
              <w:jc w:val="center"/>
              <w:rPr>
                <w:rFonts w:ascii="Times New Roman" w:hAnsi="Times New Roman" w:cs="Times New Roman"/>
                <w:sz w:val="15"/>
                <w:szCs w:val="15"/>
              </w:rPr>
            </w:pPr>
            <w:r>
              <w:rPr>
                <w:rFonts w:ascii="Times New Roman" w:hAnsi="Times New Roman" w:cs="Times New Roman"/>
                <w:sz w:val="15"/>
                <w:szCs w:val="15"/>
              </w:rPr>
              <w:t>弃渣场类型</w:t>
            </w:r>
          </w:p>
        </w:tc>
        <w:tc>
          <w:tcPr>
            <w:tcW w:w="2183" w:type="pct"/>
            <w:vAlign w:val="center"/>
          </w:tcPr>
          <w:p w14:paraId="3C2D8D62">
            <w:pPr>
              <w:spacing w:line="228" w:lineRule="auto"/>
              <w:jc w:val="center"/>
              <w:rPr>
                <w:rFonts w:ascii="Times New Roman" w:hAnsi="Times New Roman" w:cs="Times New Roman"/>
                <w:sz w:val="15"/>
                <w:szCs w:val="15"/>
              </w:rPr>
            </w:pPr>
            <w:r>
              <w:rPr>
                <w:rFonts w:ascii="Times New Roman" w:hAnsi="Times New Roman" w:cs="Times New Roman"/>
                <w:sz w:val="15"/>
                <w:szCs w:val="15"/>
              </w:rPr>
              <w:t>特  征</w:t>
            </w:r>
          </w:p>
        </w:tc>
        <w:tc>
          <w:tcPr>
            <w:tcW w:w="2232" w:type="pct"/>
            <w:vAlign w:val="center"/>
          </w:tcPr>
          <w:p w14:paraId="03697CFB">
            <w:pPr>
              <w:spacing w:line="228" w:lineRule="auto"/>
              <w:jc w:val="center"/>
              <w:rPr>
                <w:rFonts w:ascii="Times New Roman" w:hAnsi="Times New Roman" w:cs="Times New Roman"/>
                <w:sz w:val="15"/>
                <w:szCs w:val="15"/>
              </w:rPr>
            </w:pPr>
            <w:r>
              <w:rPr>
                <w:rFonts w:ascii="Times New Roman" w:hAnsi="Times New Roman" w:cs="Times New Roman"/>
                <w:sz w:val="15"/>
                <w:szCs w:val="15"/>
              </w:rPr>
              <w:t>适用条件</w:t>
            </w:r>
          </w:p>
        </w:tc>
      </w:tr>
      <w:tr w14:paraId="72E232D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06" w:hRule="atLeast"/>
          <w:jc w:val="center"/>
        </w:trPr>
        <w:tc>
          <w:tcPr>
            <w:tcW w:w="583" w:type="pct"/>
            <w:vAlign w:val="center"/>
          </w:tcPr>
          <w:p w14:paraId="2C0382C2">
            <w:pPr>
              <w:spacing w:line="228" w:lineRule="auto"/>
              <w:jc w:val="center"/>
              <w:rPr>
                <w:rFonts w:ascii="Times New Roman" w:hAnsi="Times New Roman" w:cs="Times New Roman"/>
                <w:sz w:val="15"/>
                <w:szCs w:val="15"/>
              </w:rPr>
            </w:pPr>
            <w:r>
              <w:rPr>
                <w:rFonts w:ascii="Times New Roman" w:hAnsi="Times New Roman" w:cs="Times New Roman"/>
                <w:sz w:val="15"/>
                <w:szCs w:val="15"/>
              </w:rPr>
              <w:t>沟道型</w:t>
            </w:r>
          </w:p>
        </w:tc>
        <w:tc>
          <w:tcPr>
            <w:tcW w:w="2183" w:type="pct"/>
            <w:vAlign w:val="center"/>
          </w:tcPr>
          <w:p w14:paraId="4B742697">
            <w:pPr>
              <w:spacing w:line="228" w:lineRule="auto"/>
              <w:jc w:val="left"/>
              <w:rPr>
                <w:rFonts w:ascii="Times New Roman" w:hAnsi="Times New Roman" w:cs="Times New Roman"/>
                <w:sz w:val="15"/>
                <w:szCs w:val="15"/>
              </w:rPr>
            </w:pPr>
            <w:r>
              <w:rPr>
                <w:rFonts w:ascii="Times New Roman" w:hAnsi="Times New Roman" w:cs="Times New Roman"/>
                <w:bCs/>
                <w:spacing w:val="4"/>
                <w:sz w:val="15"/>
                <w:szCs w:val="15"/>
              </w:rPr>
              <w:t>弃渣堆放在沟道内，堆渣体将沟道全部或部分填埋</w:t>
            </w:r>
          </w:p>
        </w:tc>
        <w:tc>
          <w:tcPr>
            <w:tcW w:w="2232" w:type="pct"/>
            <w:vAlign w:val="center"/>
          </w:tcPr>
          <w:p w14:paraId="00065098">
            <w:pPr>
              <w:spacing w:line="228" w:lineRule="auto"/>
              <w:jc w:val="left"/>
              <w:rPr>
                <w:rFonts w:ascii="Times New Roman" w:hAnsi="Times New Roman" w:cs="Times New Roman"/>
                <w:sz w:val="15"/>
                <w:szCs w:val="15"/>
              </w:rPr>
            </w:pPr>
            <w:r>
              <w:rPr>
                <w:rFonts w:ascii="Times New Roman" w:hAnsi="Times New Roman" w:cs="Times New Roman"/>
                <w:sz w:val="15"/>
                <w:szCs w:val="15"/>
              </w:rPr>
              <w:t>适用于沟底平缓、肚大口小的沟谷，其拦渣工程为拦渣坝（堤）或挡渣墙，视情况配套拦洪（坝）及排水（渠、涵、隧洞等）措施</w:t>
            </w:r>
          </w:p>
        </w:tc>
      </w:tr>
      <w:tr w14:paraId="605E2E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42" w:hRule="atLeast"/>
          <w:jc w:val="center"/>
        </w:trPr>
        <w:tc>
          <w:tcPr>
            <w:tcW w:w="583" w:type="pct"/>
            <w:vAlign w:val="center"/>
          </w:tcPr>
          <w:p w14:paraId="1B3AE1B7">
            <w:pPr>
              <w:spacing w:line="228" w:lineRule="auto"/>
              <w:jc w:val="center"/>
              <w:rPr>
                <w:rFonts w:ascii="Times New Roman" w:hAnsi="Times New Roman" w:cs="Times New Roman"/>
                <w:sz w:val="15"/>
                <w:szCs w:val="15"/>
              </w:rPr>
            </w:pPr>
            <w:r>
              <w:rPr>
                <w:rFonts w:ascii="Times New Roman" w:hAnsi="Times New Roman" w:cs="Times New Roman"/>
                <w:sz w:val="15"/>
                <w:szCs w:val="15"/>
              </w:rPr>
              <w:t>坡地型</w:t>
            </w:r>
          </w:p>
        </w:tc>
        <w:tc>
          <w:tcPr>
            <w:tcW w:w="2183" w:type="pct"/>
            <w:vAlign w:val="center"/>
          </w:tcPr>
          <w:p w14:paraId="351CF95C">
            <w:pPr>
              <w:spacing w:line="228" w:lineRule="auto"/>
              <w:jc w:val="left"/>
              <w:rPr>
                <w:rFonts w:ascii="Times New Roman" w:hAnsi="Times New Roman" w:cs="Times New Roman"/>
                <w:sz w:val="15"/>
                <w:szCs w:val="15"/>
              </w:rPr>
            </w:pPr>
            <w:r>
              <w:rPr>
                <w:rFonts w:ascii="Times New Roman" w:hAnsi="Times New Roman" w:cs="Times New Roman"/>
                <w:bCs/>
                <w:spacing w:val="4"/>
                <w:sz w:val="15"/>
                <w:szCs w:val="15"/>
              </w:rPr>
              <w:t>弃渣堆放在缓坡地、河流或沟道两侧较高台地上</w:t>
            </w:r>
          </w:p>
        </w:tc>
        <w:tc>
          <w:tcPr>
            <w:tcW w:w="2232" w:type="pct"/>
            <w:vAlign w:val="center"/>
          </w:tcPr>
          <w:p w14:paraId="310522C4">
            <w:pPr>
              <w:spacing w:line="228" w:lineRule="auto"/>
              <w:jc w:val="left"/>
              <w:rPr>
                <w:rFonts w:ascii="Times New Roman" w:hAnsi="Times New Roman" w:cs="Times New Roman"/>
                <w:sz w:val="15"/>
                <w:szCs w:val="15"/>
              </w:rPr>
            </w:pPr>
            <w:r>
              <w:rPr>
                <w:rFonts w:ascii="Times New Roman" w:hAnsi="Times New Roman" w:cs="Times New Roman"/>
                <w:sz w:val="15"/>
                <w:szCs w:val="15"/>
              </w:rPr>
              <w:t>沿坡度不大于25</w:t>
            </w:r>
            <w:r>
              <w:rPr>
                <w:rFonts w:ascii="Times New Roman" w:hAnsi="Times New Roman" w:cs="Times New Roman"/>
                <w:sz w:val="15"/>
                <w:szCs w:val="15"/>
                <w:vertAlign w:val="superscript"/>
              </w:rPr>
              <w:t>0</w:t>
            </w:r>
            <w:r>
              <w:rPr>
                <w:rFonts w:ascii="Times New Roman" w:hAnsi="Times New Roman" w:cs="Times New Roman"/>
                <w:sz w:val="15"/>
                <w:szCs w:val="15"/>
              </w:rPr>
              <w:t>且坡面稳定的山坡堆放；</w:t>
            </w:r>
            <w:r>
              <w:rPr>
                <w:rFonts w:ascii="Times New Roman" w:hAnsi="Times New Roman" w:cs="Times New Roman"/>
                <w:bCs/>
                <w:spacing w:val="4"/>
                <w:sz w:val="15"/>
                <w:szCs w:val="15"/>
              </w:rPr>
              <w:t>其拦渣工程</w:t>
            </w:r>
            <w:r>
              <w:rPr>
                <w:rFonts w:hint="eastAsia" w:ascii="Times New Roman" w:hAnsi="Times New Roman" w:cs="Times New Roman"/>
                <w:bCs/>
                <w:spacing w:val="4"/>
                <w:sz w:val="15"/>
                <w:szCs w:val="15"/>
              </w:rPr>
              <w:t>常</w:t>
            </w:r>
            <w:r>
              <w:rPr>
                <w:rFonts w:ascii="Times New Roman" w:hAnsi="Times New Roman" w:cs="Times New Roman"/>
                <w:bCs/>
                <w:spacing w:val="4"/>
                <w:sz w:val="15"/>
                <w:szCs w:val="15"/>
              </w:rPr>
              <w:t>为挡渣墙，</w:t>
            </w:r>
            <w:r>
              <w:rPr>
                <w:rFonts w:ascii="Times New Roman" w:hAnsi="Times New Roman" w:cs="Times New Roman"/>
                <w:sz w:val="15"/>
                <w:szCs w:val="15"/>
              </w:rPr>
              <w:t>坡脚受洪水影响时</w:t>
            </w:r>
            <w:r>
              <w:rPr>
                <w:rFonts w:ascii="Times New Roman" w:hAnsi="Times New Roman" w:cs="Times New Roman"/>
                <w:bCs/>
                <w:spacing w:val="4"/>
                <w:sz w:val="15"/>
                <w:szCs w:val="15"/>
              </w:rPr>
              <w:t>其拦渣工程为拦渣堤</w:t>
            </w:r>
          </w:p>
        </w:tc>
      </w:tr>
      <w:tr w14:paraId="490AC8B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06" w:hRule="atLeast"/>
          <w:jc w:val="center"/>
        </w:trPr>
        <w:tc>
          <w:tcPr>
            <w:tcW w:w="583" w:type="pct"/>
            <w:vAlign w:val="center"/>
          </w:tcPr>
          <w:p w14:paraId="581D4C56">
            <w:pPr>
              <w:spacing w:line="228" w:lineRule="auto"/>
              <w:jc w:val="center"/>
              <w:rPr>
                <w:rFonts w:ascii="Times New Roman" w:hAnsi="Times New Roman" w:cs="Times New Roman"/>
                <w:sz w:val="15"/>
                <w:szCs w:val="15"/>
              </w:rPr>
            </w:pPr>
            <w:r>
              <w:rPr>
                <w:rFonts w:ascii="Times New Roman" w:hAnsi="Times New Roman" w:cs="Times New Roman"/>
                <w:sz w:val="15"/>
                <w:szCs w:val="15"/>
              </w:rPr>
              <w:t>平地型</w:t>
            </w:r>
          </w:p>
        </w:tc>
        <w:tc>
          <w:tcPr>
            <w:tcW w:w="2183" w:type="pct"/>
            <w:vAlign w:val="center"/>
          </w:tcPr>
          <w:p w14:paraId="4758FCBA">
            <w:pPr>
              <w:spacing w:line="228" w:lineRule="auto"/>
              <w:jc w:val="left"/>
              <w:rPr>
                <w:rFonts w:ascii="Times New Roman" w:hAnsi="Times New Roman" w:cs="Times New Roman"/>
                <w:sz w:val="15"/>
                <w:szCs w:val="15"/>
              </w:rPr>
            </w:pPr>
            <w:r>
              <w:rPr>
                <w:rFonts w:ascii="Times New Roman" w:hAnsi="Times New Roman" w:cs="Times New Roman"/>
                <w:bCs/>
                <w:spacing w:val="4"/>
                <w:sz w:val="15"/>
                <w:szCs w:val="15"/>
              </w:rPr>
              <w:t>弃渣堆放在宽缓平地、河（沟）道两岸阶（平）地上，堆渣不涉及河湖管理范围（含水库淹没区）</w:t>
            </w:r>
          </w:p>
        </w:tc>
        <w:tc>
          <w:tcPr>
            <w:tcW w:w="2232" w:type="pct"/>
            <w:vAlign w:val="center"/>
          </w:tcPr>
          <w:p w14:paraId="20AD9544">
            <w:pPr>
              <w:spacing w:line="228" w:lineRule="auto"/>
              <w:jc w:val="left"/>
              <w:rPr>
                <w:rFonts w:ascii="Times New Roman" w:hAnsi="Times New Roman" w:cs="Times New Roman"/>
                <w:sz w:val="15"/>
                <w:szCs w:val="15"/>
              </w:rPr>
            </w:pPr>
            <w:r>
              <w:rPr>
                <w:rFonts w:ascii="Times New Roman" w:hAnsi="Times New Roman" w:cs="Times New Roman"/>
                <w:sz w:val="15"/>
                <w:szCs w:val="15"/>
              </w:rPr>
              <w:t>地形平缓，场地较宽广地区；坡脚受洪水影响时</w:t>
            </w:r>
            <w:r>
              <w:rPr>
                <w:rFonts w:ascii="Times New Roman" w:hAnsi="Times New Roman" w:cs="Times New Roman"/>
                <w:bCs/>
                <w:spacing w:val="4"/>
                <w:sz w:val="15"/>
                <w:szCs w:val="15"/>
              </w:rPr>
              <w:t>其拦渣工程为围渣堰或拦渣堤，不受影响时可设挡渣墙，或不设挡墙、采取斜坡防护措施</w:t>
            </w:r>
          </w:p>
        </w:tc>
      </w:tr>
    </w:tbl>
    <w:p w14:paraId="30ACE49D">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Ⅲ </w:t>
      </w:r>
      <w:r>
        <w:rPr>
          <w:rFonts w:ascii="Times New Roman" w:hAnsi="Times New Roman" w:eastAsia="黑体" w:cs="Times New Roman"/>
          <w:bCs/>
          <w:sz w:val="24"/>
          <w:szCs w:val="24"/>
        </w:rPr>
        <w:t>弃渣堆置</w:t>
      </w:r>
    </w:p>
    <w:p w14:paraId="28C452AE">
      <w:pPr>
        <w:spacing w:line="360" w:lineRule="auto"/>
        <w:jc w:val="left"/>
        <w:rPr>
          <w:rFonts w:ascii="Times New Roman" w:hAnsi="Times New Roman" w:cs="Times New Roman"/>
          <w:sz w:val="21"/>
          <w:szCs w:val="24"/>
        </w:rPr>
      </w:pPr>
      <w:r>
        <w:rPr>
          <w:rFonts w:ascii="Times New Roman" w:hAnsi="Times New Roman" w:cs="Times New Roman"/>
          <w:b/>
          <w:sz w:val="21"/>
        </w:rPr>
        <w:t>5.2.7</w:t>
      </w:r>
      <w:r>
        <w:rPr>
          <w:rFonts w:ascii="Times New Roman" w:hAnsi="Times New Roman" w:cs="Times New Roman"/>
          <w:sz w:val="21"/>
        </w:rPr>
        <w:t xml:space="preserve">  </w:t>
      </w:r>
      <w:r>
        <w:rPr>
          <w:rFonts w:ascii="Times New Roman" w:hAnsi="Times New Roman" w:cs="Times New Roman"/>
          <w:sz w:val="21"/>
          <w:szCs w:val="24"/>
        </w:rPr>
        <w:t>弃渣场起堆点应设在拦渣工程后缘，且起坡点应低于拦渣工程顶部，距离顶部不小于30cm，采取自下而上的方式逐层堆置，每层台阶预留一定宽度的马道或平台。</w:t>
      </w:r>
    </w:p>
    <w:p w14:paraId="6E19E34F">
      <w:pPr>
        <w:spacing w:line="360" w:lineRule="auto"/>
        <w:rPr>
          <w:rFonts w:ascii="Times New Roman" w:hAnsi="Times New Roman" w:cs="Times New Roman"/>
          <w:sz w:val="21"/>
          <w:szCs w:val="24"/>
        </w:rPr>
      </w:pPr>
      <w:r>
        <w:rPr>
          <w:rFonts w:ascii="Times New Roman" w:hAnsi="Times New Roman" w:cs="Times New Roman"/>
          <w:b/>
          <w:sz w:val="21"/>
        </w:rPr>
        <w:t>5.2.8</w:t>
      </w:r>
      <w:r>
        <w:rPr>
          <w:rFonts w:ascii="Times New Roman" w:hAnsi="Times New Roman" w:cs="Times New Roman"/>
          <w:sz w:val="21"/>
        </w:rPr>
        <w:t xml:space="preserve">  堆置要素</w:t>
      </w:r>
      <w:r>
        <w:rPr>
          <w:rFonts w:ascii="Times New Roman" w:hAnsi="Times New Roman" w:cs="Times New Roman"/>
          <w:sz w:val="21"/>
          <w:szCs w:val="24"/>
        </w:rPr>
        <w:t>包括堆渣量、最大堆渣高度、台阶高度、平台宽度、综合坡度和占地面积等，</w:t>
      </w:r>
      <w:r>
        <w:rPr>
          <w:rFonts w:ascii="Times New Roman" w:hAnsi="Times New Roman" w:cs="Times New Roman"/>
          <w:sz w:val="21"/>
        </w:rPr>
        <w:t>应根据地形地质条件、弃渣岩土组成及物理力学参数等确定</w:t>
      </w:r>
      <w:r>
        <w:rPr>
          <w:rFonts w:ascii="Times New Roman" w:hAnsi="Times New Roman" w:cs="Times New Roman"/>
          <w:sz w:val="21"/>
          <w:szCs w:val="24"/>
        </w:rPr>
        <w:t>，并</w:t>
      </w:r>
      <w:r>
        <w:rPr>
          <w:rFonts w:ascii="Times New Roman" w:hAnsi="Times New Roman" w:cs="Times New Roman"/>
          <w:sz w:val="21"/>
        </w:rPr>
        <w:t>满足弃渣场稳定，且不影响河（沟）道行洪安全的要求。</w:t>
      </w:r>
    </w:p>
    <w:p w14:paraId="7AF537FB">
      <w:pPr>
        <w:spacing w:line="360" w:lineRule="auto"/>
        <w:rPr>
          <w:rFonts w:ascii="Times New Roman" w:hAnsi="Times New Roman" w:cs="Times New Roman"/>
          <w:sz w:val="21"/>
          <w:szCs w:val="24"/>
        </w:rPr>
      </w:pPr>
      <w:r>
        <w:rPr>
          <w:rFonts w:ascii="Times New Roman" w:hAnsi="Times New Roman" w:cs="Times New Roman"/>
          <w:b/>
          <w:sz w:val="21"/>
        </w:rPr>
        <w:t>5.2.9</w:t>
      </w:r>
      <w:r>
        <w:rPr>
          <w:rFonts w:ascii="Times New Roman" w:hAnsi="Times New Roman" w:cs="Times New Roman"/>
          <w:sz w:val="21"/>
        </w:rPr>
        <w:t xml:space="preserve">  </w:t>
      </w:r>
      <w:r>
        <w:rPr>
          <w:rFonts w:ascii="Times New Roman" w:hAnsi="Times New Roman" w:cs="Times New Roman"/>
          <w:sz w:val="21"/>
          <w:szCs w:val="24"/>
        </w:rPr>
        <w:t>堆渣量应以自然方为基础，按弃渣组成折算为松方，并应根据堆渣工艺、沉降因素进行修正。无试验资料的，松散系数可按表5.2.9-1选取。</w:t>
      </w:r>
    </w:p>
    <w:p w14:paraId="1522FEA4">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 xml:space="preserve">9-1 </w:t>
      </w:r>
      <w:r>
        <w:rPr>
          <w:rFonts w:hint="eastAsia" w:ascii="Times New Roman" w:hAnsi="Times New Roman" w:eastAsia="黑体" w:cs="Times New Roman"/>
          <w:sz w:val="18"/>
          <w:szCs w:val="18"/>
        </w:rPr>
        <w:t xml:space="preserve"> </w:t>
      </w:r>
      <w:r>
        <w:rPr>
          <w:rFonts w:ascii="Times New Roman" w:hAnsi="Times New Roman" w:eastAsia="黑体" w:cs="Times New Roman"/>
          <w:sz w:val="18"/>
          <w:szCs w:val="18"/>
        </w:rPr>
        <w:t>土（石、渣）松散系数</w:t>
      </w:r>
    </w:p>
    <w:tbl>
      <w:tblPr>
        <w:tblStyle w:val="10"/>
        <w:tblW w:w="495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19"/>
        <w:gridCol w:w="951"/>
        <w:gridCol w:w="1260"/>
        <w:gridCol w:w="1260"/>
        <w:gridCol w:w="1260"/>
        <w:gridCol w:w="1102"/>
        <w:gridCol w:w="1248"/>
      </w:tblGrid>
      <w:tr w14:paraId="111AD0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7" w:hRule="atLeast"/>
          <w:jc w:val="center"/>
        </w:trPr>
        <w:tc>
          <w:tcPr>
            <w:tcW w:w="682" w:type="pct"/>
            <w:tcBorders>
              <w:top w:val="single" w:color="auto" w:sz="12" w:space="0"/>
              <w:left w:val="single" w:color="auto" w:sz="12" w:space="0"/>
              <w:bottom w:val="single" w:color="auto" w:sz="6" w:space="0"/>
              <w:right w:val="single" w:color="auto" w:sz="6" w:space="0"/>
            </w:tcBorders>
            <w:vAlign w:val="center"/>
          </w:tcPr>
          <w:p w14:paraId="70F91C56">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种类</w:t>
            </w:r>
          </w:p>
        </w:tc>
        <w:tc>
          <w:tcPr>
            <w:tcW w:w="580" w:type="pct"/>
            <w:tcBorders>
              <w:top w:val="single" w:color="auto" w:sz="12" w:space="0"/>
              <w:left w:val="single" w:color="auto" w:sz="6" w:space="0"/>
              <w:bottom w:val="single" w:color="auto" w:sz="6" w:space="0"/>
              <w:right w:val="single" w:color="auto" w:sz="6" w:space="0"/>
            </w:tcBorders>
            <w:vAlign w:val="center"/>
          </w:tcPr>
          <w:p w14:paraId="6044DB03">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砂</w:t>
            </w:r>
          </w:p>
        </w:tc>
        <w:tc>
          <w:tcPr>
            <w:tcW w:w="768" w:type="pct"/>
            <w:tcBorders>
              <w:top w:val="single" w:color="auto" w:sz="12" w:space="0"/>
              <w:left w:val="single" w:color="auto" w:sz="6" w:space="0"/>
              <w:bottom w:val="single" w:color="auto" w:sz="6" w:space="0"/>
              <w:right w:val="single" w:color="auto" w:sz="6" w:space="0"/>
            </w:tcBorders>
            <w:vAlign w:val="center"/>
          </w:tcPr>
          <w:p w14:paraId="6B194905">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砂质粘土</w:t>
            </w:r>
          </w:p>
        </w:tc>
        <w:tc>
          <w:tcPr>
            <w:tcW w:w="768" w:type="pct"/>
            <w:tcBorders>
              <w:top w:val="single" w:color="auto" w:sz="12" w:space="0"/>
              <w:left w:val="single" w:color="auto" w:sz="6" w:space="0"/>
              <w:bottom w:val="single" w:color="auto" w:sz="6" w:space="0"/>
              <w:right w:val="single" w:color="auto" w:sz="6" w:space="0"/>
            </w:tcBorders>
            <w:vAlign w:val="center"/>
          </w:tcPr>
          <w:p w14:paraId="5CC9E64B">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粘土</w:t>
            </w:r>
          </w:p>
        </w:tc>
        <w:tc>
          <w:tcPr>
            <w:tcW w:w="768" w:type="pct"/>
            <w:tcBorders>
              <w:top w:val="single" w:color="auto" w:sz="12" w:space="0"/>
              <w:left w:val="single" w:color="auto" w:sz="6" w:space="0"/>
              <w:bottom w:val="single" w:color="auto" w:sz="6" w:space="0"/>
              <w:right w:val="single" w:color="auto" w:sz="6" w:space="0"/>
            </w:tcBorders>
            <w:vAlign w:val="center"/>
          </w:tcPr>
          <w:p w14:paraId="0C050085">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带夹石的粘土</w:t>
            </w:r>
          </w:p>
        </w:tc>
        <w:tc>
          <w:tcPr>
            <w:tcW w:w="672" w:type="pct"/>
            <w:tcBorders>
              <w:top w:val="single" w:color="auto" w:sz="12" w:space="0"/>
              <w:left w:val="single" w:color="auto" w:sz="6" w:space="0"/>
              <w:bottom w:val="single" w:color="auto" w:sz="6" w:space="0"/>
              <w:right w:val="single" w:color="auto" w:sz="6" w:space="0"/>
            </w:tcBorders>
            <w:vAlign w:val="center"/>
          </w:tcPr>
          <w:p w14:paraId="6EAEE3CA">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最大边长度小于30cm岩石</w:t>
            </w:r>
          </w:p>
        </w:tc>
        <w:tc>
          <w:tcPr>
            <w:tcW w:w="761" w:type="pct"/>
            <w:tcBorders>
              <w:top w:val="single" w:color="auto" w:sz="12" w:space="0"/>
              <w:left w:val="single" w:color="auto" w:sz="6" w:space="0"/>
              <w:bottom w:val="single" w:color="auto" w:sz="6" w:space="0"/>
              <w:right w:val="single" w:color="auto" w:sz="12" w:space="0"/>
            </w:tcBorders>
            <w:vAlign w:val="center"/>
          </w:tcPr>
          <w:p w14:paraId="3741A088">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最大边长度大于30cm岩石</w:t>
            </w:r>
          </w:p>
        </w:tc>
      </w:tr>
      <w:tr w14:paraId="2EE42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7" w:hRule="atLeast"/>
          <w:jc w:val="center"/>
        </w:trPr>
        <w:tc>
          <w:tcPr>
            <w:tcW w:w="682" w:type="pct"/>
            <w:tcBorders>
              <w:top w:val="single" w:color="auto" w:sz="6" w:space="0"/>
              <w:left w:val="single" w:color="auto" w:sz="12" w:space="0"/>
              <w:bottom w:val="single" w:color="auto" w:sz="12" w:space="0"/>
              <w:right w:val="single" w:color="auto" w:sz="6" w:space="0"/>
            </w:tcBorders>
            <w:vAlign w:val="center"/>
          </w:tcPr>
          <w:p w14:paraId="3F2F8093">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松散系数</w:t>
            </w:r>
          </w:p>
        </w:tc>
        <w:tc>
          <w:tcPr>
            <w:tcW w:w="580" w:type="pct"/>
            <w:tcBorders>
              <w:top w:val="single" w:color="auto" w:sz="6" w:space="0"/>
              <w:left w:val="single" w:color="auto" w:sz="6" w:space="0"/>
              <w:bottom w:val="single" w:color="auto" w:sz="12" w:space="0"/>
              <w:right w:val="single" w:color="auto" w:sz="6" w:space="0"/>
            </w:tcBorders>
            <w:vAlign w:val="center"/>
          </w:tcPr>
          <w:p w14:paraId="30763BE7">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1.05～1.15</w:t>
            </w:r>
          </w:p>
        </w:tc>
        <w:tc>
          <w:tcPr>
            <w:tcW w:w="768" w:type="pct"/>
            <w:tcBorders>
              <w:top w:val="single" w:color="auto" w:sz="6" w:space="0"/>
              <w:left w:val="single" w:color="auto" w:sz="6" w:space="0"/>
              <w:bottom w:val="single" w:color="auto" w:sz="12" w:space="0"/>
              <w:right w:val="single" w:color="auto" w:sz="6" w:space="0"/>
            </w:tcBorders>
            <w:vAlign w:val="center"/>
          </w:tcPr>
          <w:p w14:paraId="5A39BD1A">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1.15～1.2</w:t>
            </w:r>
          </w:p>
        </w:tc>
        <w:tc>
          <w:tcPr>
            <w:tcW w:w="768" w:type="pct"/>
            <w:tcBorders>
              <w:top w:val="single" w:color="auto" w:sz="6" w:space="0"/>
              <w:left w:val="single" w:color="auto" w:sz="6" w:space="0"/>
              <w:bottom w:val="single" w:color="auto" w:sz="12" w:space="0"/>
              <w:right w:val="single" w:color="auto" w:sz="6" w:space="0"/>
            </w:tcBorders>
            <w:vAlign w:val="center"/>
          </w:tcPr>
          <w:p w14:paraId="30534D84">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1.15～1.2</w:t>
            </w:r>
          </w:p>
        </w:tc>
        <w:tc>
          <w:tcPr>
            <w:tcW w:w="768" w:type="pct"/>
            <w:tcBorders>
              <w:top w:val="single" w:color="auto" w:sz="6" w:space="0"/>
              <w:left w:val="single" w:color="auto" w:sz="6" w:space="0"/>
              <w:bottom w:val="single" w:color="auto" w:sz="12" w:space="0"/>
              <w:right w:val="single" w:color="auto" w:sz="6" w:space="0"/>
            </w:tcBorders>
            <w:vAlign w:val="center"/>
          </w:tcPr>
          <w:p w14:paraId="25A9B098">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1.2～1.3</w:t>
            </w:r>
          </w:p>
        </w:tc>
        <w:tc>
          <w:tcPr>
            <w:tcW w:w="672" w:type="pct"/>
            <w:tcBorders>
              <w:top w:val="single" w:color="auto" w:sz="6" w:space="0"/>
              <w:left w:val="single" w:color="auto" w:sz="6" w:space="0"/>
              <w:bottom w:val="single" w:color="auto" w:sz="12" w:space="0"/>
              <w:right w:val="single" w:color="auto" w:sz="6" w:space="0"/>
            </w:tcBorders>
            <w:vAlign w:val="center"/>
          </w:tcPr>
          <w:p w14:paraId="072FA468">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1.25～1.4</w:t>
            </w:r>
          </w:p>
        </w:tc>
        <w:tc>
          <w:tcPr>
            <w:tcW w:w="761" w:type="pct"/>
            <w:tcBorders>
              <w:top w:val="single" w:color="auto" w:sz="6" w:space="0"/>
              <w:left w:val="single" w:color="auto" w:sz="6" w:space="0"/>
              <w:bottom w:val="single" w:color="auto" w:sz="12" w:space="0"/>
              <w:right w:val="single" w:color="auto" w:sz="12" w:space="0"/>
            </w:tcBorders>
            <w:vAlign w:val="center"/>
          </w:tcPr>
          <w:p w14:paraId="1649F3F3">
            <w:pPr>
              <w:tabs>
                <w:tab w:val="center" w:pos="4153"/>
                <w:tab w:val="right" w:pos="8306"/>
              </w:tabs>
              <w:adjustRightInd w:val="0"/>
              <w:spacing w:line="0" w:lineRule="atLeast"/>
              <w:jc w:val="center"/>
              <w:rPr>
                <w:rFonts w:ascii="Times New Roman" w:hAnsi="Times New Roman" w:cs="Times New Roman"/>
                <w:sz w:val="15"/>
                <w:szCs w:val="18"/>
              </w:rPr>
            </w:pPr>
            <w:r>
              <w:rPr>
                <w:rFonts w:ascii="Times New Roman" w:hAnsi="Times New Roman" w:cs="Times New Roman"/>
                <w:sz w:val="15"/>
                <w:szCs w:val="18"/>
              </w:rPr>
              <w:t>1.35～1.6</w:t>
            </w:r>
          </w:p>
        </w:tc>
      </w:tr>
    </w:tbl>
    <w:p w14:paraId="6F7D65CB">
      <w:pPr>
        <w:spacing w:line="360" w:lineRule="auto"/>
        <w:rPr>
          <w:rFonts w:ascii="Times New Roman" w:hAnsi="Times New Roman" w:cs="Times New Roman"/>
          <w:sz w:val="21"/>
          <w:szCs w:val="24"/>
        </w:rPr>
      </w:pPr>
      <w:r>
        <w:rPr>
          <w:rFonts w:ascii="Times New Roman" w:hAnsi="Times New Roman" w:cs="Times New Roman"/>
          <w:b/>
          <w:sz w:val="21"/>
        </w:rPr>
        <w:t>5.2.10</w:t>
      </w:r>
      <w:r>
        <w:rPr>
          <w:rFonts w:ascii="Times New Roman" w:hAnsi="Times New Roman" w:cs="Times New Roman"/>
          <w:sz w:val="21"/>
        </w:rPr>
        <w:t xml:space="preserve">  </w:t>
      </w:r>
      <w:r>
        <w:rPr>
          <w:rFonts w:ascii="Times New Roman" w:hAnsi="Times New Roman" w:cs="Times New Roman"/>
          <w:sz w:val="21"/>
          <w:szCs w:val="24"/>
        </w:rPr>
        <w:t>弃渣场占地面积应综合堆渣量、地形、堆置要素、拦渣及截排水措施等因素确定。</w:t>
      </w:r>
    </w:p>
    <w:p w14:paraId="1F08729C">
      <w:pPr>
        <w:spacing w:line="360" w:lineRule="auto"/>
        <w:rPr>
          <w:rFonts w:ascii="Times New Roman" w:hAnsi="Times New Roman" w:cs="Times New Roman"/>
          <w:b/>
          <w:sz w:val="21"/>
          <w:szCs w:val="24"/>
        </w:rPr>
      </w:pPr>
      <w:r>
        <w:rPr>
          <w:rFonts w:ascii="Times New Roman" w:hAnsi="Times New Roman" w:cs="Times New Roman"/>
          <w:b/>
          <w:sz w:val="21"/>
        </w:rPr>
        <w:t>5.2.11</w:t>
      </w:r>
      <w:r>
        <w:rPr>
          <w:rFonts w:ascii="Times New Roman" w:hAnsi="Times New Roman" w:cs="Times New Roman"/>
          <w:sz w:val="21"/>
        </w:rPr>
        <w:t xml:space="preserve">  </w:t>
      </w:r>
      <w:r>
        <w:rPr>
          <w:rFonts w:ascii="Times New Roman" w:hAnsi="Times New Roman" w:cs="Times New Roman"/>
          <w:sz w:val="21"/>
          <w:szCs w:val="24"/>
        </w:rPr>
        <w:t>弃渣场存在软弱地基的，应根据场地软弱土层的均匀性、组成、分布范围、土质情况和排水固结条件，对软弱层进行处理，宜优先采用清除软弱土层措施；当采用在堆渣过程中逐层堆载预压方式处理时，应逐级控制各层台阶的高度和堆存速率，提高地基承载力。</w:t>
      </w:r>
    </w:p>
    <w:p w14:paraId="0BB64254">
      <w:pPr>
        <w:spacing w:line="360" w:lineRule="auto"/>
        <w:rPr>
          <w:rFonts w:ascii="Times New Roman" w:hAnsi="Times New Roman" w:cs="Times New Roman"/>
          <w:sz w:val="21"/>
          <w:szCs w:val="24"/>
        </w:rPr>
      </w:pPr>
      <w:r>
        <w:rPr>
          <w:rFonts w:ascii="Times New Roman" w:hAnsi="Times New Roman" w:cs="Times New Roman"/>
          <w:b/>
          <w:sz w:val="21"/>
        </w:rPr>
        <w:t>5.2.12</w:t>
      </w:r>
      <w:r>
        <w:rPr>
          <w:rFonts w:ascii="Times New Roman" w:hAnsi="Times New Roman" w:cs="Times New Roman"/>
          <w:sz w:val="21"/>
        </w:rPr>
        <w:t xml:space="preserve">  </w:t>
      </w:r>
      <w:r>
        <w:rPr>
          <w:rFonts w:ascii="Times New Roman" w:hAnsi="Times New Roman" w:cs="Times New Roman"/>
          <w:sz w:val="21"/>
          <w:szCs w:val="24"/>
        </w:rPr>
        <w:t>弃渣场最大堆渣高度、台阶高度与</w:t>
      </w:r>
      <w:r>
        <w:rPr>
          <w:rFonts w:ascii="Times New Roman" w:hAnsi="Times New Roman" w:cs="Times New Roman"/>
          <w:sz w:val="21"/>
        </w:rPr>
        <w:t>堆渣综合坡度应根据弃渣物理力学性质，堆渣工艺，弃渣场地形、地质、气象及水文等条件，通过稳定计算分析</w:t>
      </w:r>
      <w:r>
        <w:rPr>
          <w:rFonts w:ascii="Times New Roman" w:hAnsi="Times New Roman" w:cs="Times New Roman"/>
          <w:sz w:val="21"/>
          <w:szCs w:val="24"/>
        </w:rPr>
        <w:t>确定，并符合下列规定：</w:t>
      </w:r>
    </w:p>
    <w:p w14:paraId="5FB2EDE0">
      <w:pPr>
        <w:spacing w:line="360" w:lineRule="auto"/>
        <w:ind w:firstLine="565" w:firstLineChars="268"/>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w:t>
      </w:r>
      <w:r>
        <w:rPr>
          <w:rFonts w:ascii="Times New Roman" w:hAnsi="Times New Roman" w:cs="Times New Roman"/>
          <w:sz w:val="21"/>
          <w:szCs w:val="24"/>
        </w:rPr>
        <w:t>最大堆渣高度应满足弃渣场基底承载力要求。</w:t>
      </w:r>
    </w:p>
    <w:p w14:paraId="3A0BDB48">
      <w:pPr>
        <w:spacing w:line="360" w:lineRule="auto"/>
        <w:ind w:firstLine="565" w:firstLineChars="268"/>
        <w:rPr>
          <w:rFonts w:ascii="Times New Roman" w:hAnsi="Times New Roman" w:cs="Times New Roman"/>
          <w:sz w:val="21"/>
          <w:szCs w:val="24"/>
        </w:rPr>
      </w:pPr>
      <w:r>
        <w:rPr>
          <w:rFonts w:ascii="Times New Roman" w:hAnsi="Times New Roman" w:cs="Times New Roman"/>
          <w:b/>
          <w:sz w:val="21"/>
        </w:rPr>
        <w:t xml:space="preserve">2  </w:t>
      </w:r>
      <w:r>
        <w:rPr>
          <w:rFonts w:ascii="Times New Roman" w:hAnsi="Times New Roman" w:cs="Times New Roman"/>
          <w:sz w:val="21"/>
        </w:rPr>
        <w:t>采用多台阶堆渣时，原则上第一台阶高度不应超过15m～20m；当地基为倾斜的砂质土时，第一台阶高度不应大于10m。</w:t>
      </w:r>
    </w:p>
    <w:p w14:paraId="4EDC6EFD">
      <w:pPr>
        <w:spacing w:line="360" w:lineRule="auto"/>
        <w:ind w:firstLine="565" w:firstLineChars="268"/>
        <w:rPr>
          <w:rFonts w:ascii="Times New Roman" w:hAnsi="Times New Roman" w:cs="Times New Roman"/>
          <w:sz w:val="21"/>
          <w:szCs w:val="24"/>
        </w:rPr>
      </w:pPr>
      <w:r>
        <w:rPr>
          <w:rFonts w:ascii="Times New Roman" w:hAnsi="Times New Roman" w:cs="Times New Roman"/>
          <w:b/>
          <w:sz w:val="21"/>
          <w:szCs w:val="24"/>
        </w:rPr>
        <w:t>3</w:t>
      </w:r>
      <w:r>
        <w:rPr>
          <w:rFonts w:ascii="Times New Roman" w:hAnsi="Times New Roman" w:cs="Times New Roman"/>
          <w:sz w:val="21"/>
          <w:szCs w:val="24"/>
        </w:rPr>
        <w:t xml:space="preserve">  对于软弱地基弃渣场，除满足以上规定外还应控制底部第一台阶高度，并可按下式计算：</w:t>
      </w:r>
    </w:p>
    <w:p w14:paraId="6284D1F5">
      <w:pPr>
        <w:spacing w:before="156" w:beforeLines="50" w:line="360" w:lineRule="auto"/>
        <w:rPr>
          <w:rFonts w:ascii="Times New Roman" w:hAnsi="Times New Roman" w:cs="Times New Roman"/>
          <w:sz w:val="21"/>
          <w:szCs w:val="24"/>
        </w:rPr>
      </w:pPr>
      <w:r>
        <w:rPr>
          <w:rFonts w:ascii="Times New Roman" w:hAnsi="Times New Roman" w:cs="Times New Roman"/>
          <w:sz w:val="21"/>
          <w:szCs w:val="24"/>
        </w:rPr>
        <w:drawing>
          <wp:anchor distT="0" distB="0" distL="114300" distR="114300" simplePos="0" relativeHeight="251683840" behindDoc="0" locked="0" layoutInCell="1" allowOverlap="1">
            <wp:simplePos x="0" y="0"/>
            <wp:positionH relativeFrom="column">
              <wp:posOffset>1242695</wp:posOffset>
            </wp:positionH>
            <wp:positionV relativeFrom="paragraph">
              <wp:posOffset>2540</wp:posOffset>
            </wp:positionV>
            <wp:extent cx="1813560" cy="338455"/>
            <wp:effectExtent l="0" t="0" r="0" b="12065"/>
            <wp:wrapNone/>
            <wp:docPr id="16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8"/>
                    <pic:cNvPicPr>
                      <a:picLocks noChangeAspect="1"/>
                    </pic:cNvPicPr>
                  </pic:nvPicPr>
                  <pic:blipFill>
                    <a:blip r:embed="rId128"/>
                    <a:stretch>
                      <a:fillRect/>
                    </a:stretch>
                  </pic:blipFill>
                  <pic:spPr>
                    <a:xfrm>
                      <a:off x="0" y="0"/>
                      <a:ext cx="1813560" cy="338455"/>
                    </a:xfrm>
                    <a:prstGeom prst="rect">
                      <a:avLst/>
                    </a:prstGeom>
                    <a:noFill/>
                    <a:ln>
                      <a:noFill/>
                    </a:ln>
                  </pic:spPr>
                </pic:pic>
              </a:graphicData>
            </a:graphic>
          </wp:anchor>
        </w:drawing>
      </w:r>
      <w:r>
        <w:rPr>
          <w:rFonts w:ascii="Times New Roman" w:hAnsi="Times New Roman" w:cs="Times New Roman"/>
          <w:sz w:val="21"/>
          <w:szCs w:val="24"/>
        </w:rPr>
        <w:t xml:space="preserve">                                                                     （5.2.</w:t>
      </w:r>
      <w:r>
        <w:rPr>
          <w:rFonts w:hint="eastAsia" w:ascii="Times New Roman" w:hAnsi="Times New Roman" w:cs="Times New Roman"/>
          <w:sz w:val="21"/>
          <w:szCs w:val="24"/>
        </w:rPr>
        <w:t>12</w:t>
      </w:r>
      <w:r>
        <w:rPr>
          <w:rFonts w:ascii="Times New Roman" w:hAnsi="Times New Roman" w:cs="Times New Roman"/>
          <w:sz w:val="21"/>
          <w:szCs w:val="24"/>
        </w:rPr>
        <w:t>）</w:t>
      </w:r>
    </w:p>
    <w:p w14:paraId="1D4B3033">
      <w:pPr>
        <w:spacing w:before="156" w:beforeLines="50" w:line="360" w:lineRule="auto"/>
        <w:ind w:firstLine="420" w:firstLineChars="200"/>
        <w:jc w:val="left"/>
        <w:rPr>
          <w:rFonts w:ascii="Times New Roman" w:hAnsi="Times New Roman" w:cs="Times New Roman"/>
          <w:sz w:val="21"/>
        </w:rPr>
      </w:pPr>
      <w:r>
        <w:rPr>
          <w:rFonts w:ascii="Times New Roman" w:hAnsi="Times New Roman" w:cs="Times New Roman"/>
          <w:sz w:val="21"/>
        </w:rPr>
        <w:t>式中：</w:t>
      </w:r>
      <w:r>
        <w:rPr>
          <w:rFonts w:ascii="Times New Roman" w:hAnsi="Times New Roman" w:cs="Times New Roman"/>
          <w:i/>
          <w:sz w:val="21"/>
        </w:rPr>
        <w:t>H</w:t>
      </w:r>
      <w:r>
        <w:rPr>
          <w:rFonts w:ascii="Times New Roman" w:hAnsi="Times New Roman" w:cs="Times New Roman"/>
          <w:sz w:val="21"/>
          <w:szCs w:val="21"/>
        </w:rPr>
        <w:t>——</w:t>
      </w:r>
      <w:r>
        <w:rPr>
          <w:rFonts w:ascii="Times New Roman" w:hAnsi="Times New Roman" w:cs="Times New Roman"/>
          <w:sz w:val="21"/>
        </w:rPr>
        <w:t>第一台阶的最大堆渣高度</w:t>
      </w:r>
      <w:r>
        <w:rPr>
          <w:rFonts w:hint="eastAsia" w:ascii="Times New Roman" w:hAnsi="Times New Roman" w:cs="Times New Roman"/>
          <w:sz w:val="21"/>
        </w:rPr>
        <w:t>（</w:t>
      </w:r>
      <w:r>
        <w:rPr>
          <w:rFonts w:ascii="Times New Roman" w:hAnsi="Times New Roman" w:cs="Times New Roman"/>
          <w:sz w:val="21"/>
        </w:rPr>
        <w:t>m</w:t>
      </w:r>
      <w:r>
        <w:rPr>
          <w:rFonts w:hint="eastAsia" w:ascii="Times New Roman" w:hAnsi="Times New Roman" w:cs="Times New Roman"/>
          <w:sz w:val="21"/>
        </w:rPr>
        <w:t>）</w:t>
      </w:r>
      <w:r>
        <w:rPr>
          <w:rFonts w:ascii="Times New Roman" w:hAnsi="Times New Roman" w:cs="Times New Roman"/>
          <w:sz w:val="21"/>
        </w:rPr>
        <w:t>；</w:t>
      </w:r>
    </w:p>
    <w:p w14:paraId="2E129B4B">
      <w:pPr>
        <w:spacing w:line="360" w:lineRule="auto"/>
        <w:ind w:firstLine="1050" w:firstLineChars="500"/>
        <w:jc w:val="left"/>
        <w:rPr>
          <w:rFonts w:ascii="Times New Roman" w:hAnsi="Times New Roman" w:cs="Times New Roman"/>
          <w:sz w:val="21"/>
        </w:rPr>
      </w:pPr>
      <w:r>
        <w:rPr>
          <w:rFonts w:ascii="Times New Roman" w:hAnsi="Times New Roman" w:cs="Times New Roman"/>
          <w:i/>
          <w:sz w:val="21"/>
        </w:rPr>
        <w:t>C</w:t>
      </w:r>
      <w:r>
        <w:rPr>
          <w:rFonts w:ascii="Times New Roman" w:hAnsi="Times New Roman" w:cs="Times New Roman"/>
          <w:sz w:val="21"/>
          <w:szCs w:val="21"/>
        </w:rPr>
        <w:t>——</w:t>
      </w:r>
      <w:r>
        <w:rPr>
          <w:rFonts w:ascii="Times New Roman" w:hAnsi="Times New Roman" w:cs="Times New Roman"/>
          <w:sz w:val="21"/>
        </w:rPr>
        <w:t>弃渣场基底岩土的粘结力</w:t>
      </w:r>
      <w:r>
        <w:rPr>
          <w:rFonts w:hint="eastAsia" w:ascii="Times New Roman" w:hAnsi="Times New Roman" w:cs="Times New Roman"/>
          <w:sz w:val="21"/>
        </w:rPr>
        <w:t>（</w:t>
      </w:r>
      <w:r>
        <w:rPr>
          <w:rFonts w:ascii="Times New Roman" w:hAnsi="Times New Roman" w:cs="Times New Roman"/>
          <w:sz w:val="21"/>
        </w:rPr>
        <w:t>kPa</w:t>
      </w:r>
      <w:r>
        <w:rPr>
          <w:rFonts w:hint="eastAsia" w:ascii="Times New Roman" w:hAnsi="Times New Roman" w:cs="Times New Roman"/>
          <w:sz w:val="21"/>
        </w:rPr>
        <w:t>）</w:t>
      </w:r>
      <w:r>
        <w:rPr>
          <w:rFonts w:ascii="Times New Roman" w:hAnsi="Times New Roman" w:cs="Times New Roman"/>
          <w:sz w:val="21"/>
        </w:rPr>
        <w:t>；</w:t>
      </w:r>
    </w:p>
    <w:p w14:paraId="7D371D8D">
      <w:pPr>
        <w:spacing w:line="360" w:lineRule="auto"/>
        <w:ind w:firstLine="1050" w:firstLineChars="500"/>
        <w:jc w:val="left"/>
        <w:rPr>
          <w:rFonts w:ascii="Times New Roman" w:hAnsi="Times New Roman" w:cs="Times New Roman"/>
          <w:sz w:val="21"/>
        </w:rPr>
      </w:pPr>
      <w:r>
        <w:rPr>
          <w:rFonts w:ascii="Times New Roman" w:hAnsi="Times New Roman" w:cs="Times New Roman"/>
          <w:sz w:val="21"/>
          <w:szCs w:val="21"/>
        </w:rPr>
        <w:t>φ——</w:t>
      </w:r>
      <w:r>
        <w:rPr>
          <w:rFonts w:ascii="Times New Roman" w:hAnsi="Times New Roman" w:cs="Times New Roman"/>
          <w:sz w:val="21"/>
        </w:rPr>
        <w:t>弃渣场基底岩土的内摩擦角（°）；</w:t>
      </w:r>
    </w:p>
    <w:p w14:paraId="7505C1EE">
      <w:pPr>
        <w:spacing w:line="360" w:lineRule="auto"/>
        <w:ind w:firstLine="1050" w:firstLineChars="500"/>
        <w:jc w:val="left"/>
        <w:rPr>
          <w:rFonts w:ascii="Times New Roman" w:hAnsi="Times New Roman" w:cs="Times New Roman"/>
          <w:sz w:val="21"/>
        </w:rPr>
      </w:pPr>
      <w:r>
        <w:rPr>
          <w:rFonts w:ascii="Times New Roman" w:hAnsi="Times New Roman" w:cs="Times New Roman"/>
          <w:sz w:val="21"/>
        </w:rPr>
        <w:t>γ</w:t>
      </w:r>
      <w:r>
        <w:rPr>
          <w:rFonts w:ascii="Times New Roman" w:hAnsi="Times New Roman" w:cs="Times New Roman"/>
          <w:sz w:val="21"/>
          <w:szCs w:val="21"/>
        </w:rPr>
        <w:t>——</w:t>
      </w:r>
      <w:r>
        <w:rPr>
          <w:rFonts w:ascii="Times New Roman" w:hAnsi="Times New Roman" w:cs="Times New Roman"/>
          <w:sz w:val="21"/>
        </w:rPr>
        <w:t>弃渣场弃渣的容重</w:t>
      </w:r>
      <w:r>
        <w:rPr>
          <w:rFonts w:hint="eastAsia" w:ascii="Times New Roman" w:hAnsi="Times New Roman" w:cs="Times New Roman"/>
          <w:sz w:val="21"/>
        </w:rPr>
        <w:t>（</w:t>
      </w:r>
      <w:r>
        <w:rPr>
          <w:rFonts w:ascii="Times New Roman" w:hAnsi="Times New Roman" w:cs="Times New Roman"/>
          <w:sz w:val="21"/>
        </w:rPr>
        <w:t>kN/m</w:t>
      </w:r>
      <w:r>
        <w:rPr>
          <w:rFonts w:ascii="Times New Roman" w:hAnsi="Times New Roman" w:cs="Times New Roman"/>
          <w:sz w:val="21"/>
          <w:vertAlign w:val="superscript"/>
        </w:rPr>
        <w:t>3</w:t>
      </w:r>
      <w:r>
        <w:rPr>
          <w:rFonts w:hint="eastAsia" w:ascii="Times New Roman" w:hAnsi="Times New Roman" w:cs="Times New Roman"/>
          <w:sz w:val="21"/>
        </w:rPr>
        <w:t>）</w:t>
      </w:r>
      <w:r>
        <w:rPr>
          <w:rFonts w:ascii="Times New Roman" w:hAnsi="Times New Roman" w:cs="Times New Roman"/>
          <w:sz w:val="21"/>
        </w:rPr>
        <w:t>。</w:t>
      </w:r>
    </w:p>
    <w:p w14:paraId="3A0EBF19">
      <w:pPr>
        <w:spacing w:line="360" w:lineRule="auto"/>
        <w:ind w:left="2" w:firstLine="563" w:firstLineChars="267"/>
        <w:rPr>
          <w:rFonts w:ascii="Times New Roman" w:hAnsi="Times New Roman" w:cs="Times New Roman"/>
          <w:sz w:val="21"/>
          <w:szCs w:val="24"/>
        </w:rPr>
      </w:pPr>
      <w:r>
        <w:rPr>
          <w:rFonts w:ascii="Times New Roman" w:hAnsi="Times New Roman" w:eastAsia="黑体" w:cs="Times New Roman"/>
          <w:b/>
          <w:sz w:val="21"/>
          <w:szCs w:val="21"/>
        </w:rPr>
        <w:t xml:space="preserve">4  </w:t>
      </w:r>
      <w:r>
        <w:rPr>
          <w:rFonts w:ascii="Times New Roman" w:hAnsi="Times New Roman" w:cs="Times New Roman"/>
          <w:sz w:val="21"/>
          <w:szCs w:val="21"/>
        </w:rPr>
        <w:t>弃渣场初拟</w:t>
      </w:r>
      <w:r>
        <w:rPr>
          <w:rFonts w:ascii="Times New Roman" w:hAnsi="Times New Roman" w:cs="Times New Roman"/>
          <w:sz w:val="21"/>
          <w:szCs w:val="24"/>
        </w:rPr>
        <w:t>堆置台阶高度可参照表5.</w:t>
      </w:r>
      <w:r>
        <w:rPr>
          <w:rFonts w:hint="eastAsia" w:ascii="Times New Roman" w:hAnsi="Times New Roman" w:cs="Times New Roman"/>
          <w:sz w:val="21"/>
          <w:szCs w:val="24"/>
        </w:rPr>
        <w:t>2</w:t>
      </w:r>
      <w:r>
        <w:rPr>
          <w:rFonts w:ascii="Times New Roman" w:hAnsi="Times New Roman" w:cs="Times New Roman"/>
          <w:sz w:val="21"/>
          <w:szCs w:val="24"/>
        </w:rPr>
        <w:t>.</w:t>
      </w:r>
      <w:r>
        <w:rPr>
          <w:rFonts w:hint="eastAsia" w:ascii="Times New Roman" w:hAnsi="Times New Roman" w:cs="Times New Roman"/>
          <w:sz w:val="21"/>
          <w:szCs w:val="24"/>
        </w:rPr>
        <w:t>12</w:t>
      </w:r>
      <w:r>
        <w:rPr>
          <w:rFonts w:ascii="Times New Roman" w:hAnsi="Times New Roman" w:cs="Times New Roman"/>
          <w:sz w:val="21"/>
          <w:szCs w:val="24"/>
        </w:rPr>
        <w:t>-</w:t>
      </w:r>
      <w:r>
        <w:rPr>
          <w:rFonts w:hint="eastAsia" w:ascii="Times New Roman" w:hAnsi="Times New Roman" w:cs="Times New Roman"/>
          <w:sz w:val="21"/>
          <w:szCs w:val="24"/>
        </w:rPr>
        <w:t>1</w:t>
      </w:r>
      <w:r>
        <w:rPr>
          <w:rFonts w:ascii="Times New Roman" w:hAnsi="Times New Roman" w:cs="Times New Roman"/>
          <w:sz w:val="21"/>
          <w:szCs w:val="24"/>
        </w:rPr>
        <w:t>，并经稳定计算后确定。</w:t>
      </w:r>
    </w:p>
    <w:p w14:paraId="3942956C">
      <w:pPr>
        <w:jc w:val="right"/>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hint="eastAsia" w:ascii="Times New Roman" w:hAnsi="Times New Roman" w:eastAsia="黑体" w:cs="Times New Roman"/>
          <w:sz w:val="18"/>
          <w:szCs w:val="18"/>
        </w:rPr>
        <w:t>12</w:t>
      </w:r>
      <w:r>
        <w:rPr>
          <w:rFonts w:ascii="Times New Roman" w:hAnsi="Times New Roman" w:eastAsia="黑体" w:cs="Times New Roman"/>
          <w:sz w:val="18"/>
          <w:szCs w:val="18"/>
        </w:rPr>
        <w:t>-</w:t>
      </w:r>
      <w:r>
        <w:rPr>
          <w:rFonts w:hint="eastAsia" w:ascii="Times New Roman" w:hAnsi="Times New Roman" w:eastAsia="黑体" w:cs="Times New Roman"/>
          <w:sz w:val="18"/>
          <w:szCs w:val="18"/>
        </w:rPr>
        <w:t>1</w:t>
      </w:r>
      <w:r>
        <w:rPr>
          <w:rFonts w:ascii="Times New Roman" w:hAnsi="Times New Roman" w:eastAsia="黑体" w:cs="Times New Roman"/>
          <w:sz w:val="18"/>
          <w:szCs w:val="18"/>
        </w:rPr>
        <w:t xml:space="preserve">  弃渣堆置台阶高度                        单位：m</w:t>
      </w:r>
    </w:p>
    <w:tbl>
      <w:tblPr>
        <w:tblStyle w:val="10"/>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014"/>
        <w:gridCol w:w="2761"/>
        <w:gridCol w:w="3499"/>
      </w:tblGrid>
      <w:tr w14:paraId="23C9F1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8" w:hRule="atLeast"/>
          <w:jc w:val="center"/>
        </w:trPr>
        <w:tc>
          <w:tcPr>
            <w:tcW w:w="2885" w:type="pct"/>
            <w:gridSpan w:val="2"/>
            <w:tcBorders>
              <w:top w:val="single" w:color="auto" w:sz="12" w:space="0"/>
              <w:left w:val="single" w:color="auto" w:sz="12" w:space="0"/>
              <w:bottom w:val="single" w:color="auto" w:sz="6" w:space="0"/>
              <w:right w:val="single" w:color="auto" w:sz="6" w:space="0"/>
            </w:tcBorders>
            <w:noWrap/>
            <w:vAlign w:val="center"/>
          </w:tcPr>
          <w:p w14:paraId="72909D80">
            <w:pPr>
              <w:tabs>
                <w:tab w:val="center" w:pos="4153"/>
                <w:tab w:val="right" w:pos="8306"/>
              </w:tabs>
              <w:jc w:val="center"/>
              <w:rPr>
                <w:rFonts w:ascii="Times New Roman" w:hAnsi="Times New Roman" w:cs="Times New Roman"/>
                <w:sz w:val="15"/>
                <w:szCs w:val="15"/>
              </w:rPr>
            </w:pPr>
            <w:r>
              <w:rPr>
                <w:rFonts w:ascii="Times New Roman" w:hAnsi="Times New Roman" w:cs="Times New Roman"/>
                <w:sz w:val="15"/>
                <w:szCs w:val="15"/>
              </w:rPr>
              <w:t>弃渣类别</w:t>
            </w:r>
          </w:p>
        </w:tc>
        <w:tc>
          <w:tcPr>
            <w:tcW w:w="2114" w:type="pct"/>
            <w:tcBorders>
              <w:top w:val="single" w:color="auto" w:sz="12" w:space="0"/>
              <w:left w:val="single" w:color="auto" w:sz="6" w:space="0"/>
              <w:bottom w:val="single" w:color="auto" w:sz="6" w:space="0"/>
              <w:right w:val="single" w:color="auto" w:sz="12" w:space="0"/>
            </w:tcBorders>
            <w:vAlign w:val="center"/>
          </w:tcPr>
          <w:p w14:paraId="018ED241">
            <w:pPr>
              <w:tabs>
                <w:tab w:val="center" w:pos="4153"/>
                <w:tab w:val="right" w:pos="8306"/>
              </w:tabs>
              <w:jc w:val="center"/>
              <w:rPr>
                <w:rFonts w:ascii="Times New Roman" w:hAnsi="Times New Roman" w:cs="Times New Roman"/>
                <w:sz w:val="15"/>
                <w:szCs w:val="15"/>
              </w:rPr>
            </w:pPr>
            <w:r>
              <w:rPr>
                <w:rFonts w:ascii="Times New Roman" w:hAnsi="Times New Roman" w:cs="Times New Roman"/>
                <w:sz w:val="15"/>
                <w:szCs w:val="15"/>
              </w:rPr>
              <w:t>堆置台阶高度</w:t>
            </w:r>
          </w:p>
        </w:tc>
      </w:tr>
      <w:tr w14:paraId="49D82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9" w:hRule="atLeast"/>
          <w:jc w:val="center"/>
        </w:trPr>
        <w:tc>
          <w:tcPr>
            <w:tcW w:w="1217" w:type="pct"/>
            <w:vMerge w:val="restart"/>
            <w:tcBorders>
              <w:top w:val="single" w:color="auto" w:sz="6" w:space="0"/>
              <w:left w:val="single" w:color="auto" w:sz="12" w:space="0"/>
              <w:bottom w:val="single" w:color="auto" w:sz="6" w:space="0"/>
              <w:right w:val="single" w:color="auto" w:sz="4" w:space="0"/>
            </w:tcBorders>
            <w:vAlign w:val="center"/>
          </w:tcPr>
          <w:p w14:paraId="644357B9">
            <w:pPr>
              <w:tabs>
                <w:tab w:val="center" w:pos="4153"/>
                <w:tab w:val="right" w:pos="8306"/>
              </w:tabs>
              <w:jc w:val="center"/>
              <w:rPr>
                <w:rFonts w:ascii="Times New Roman" w:hAnsi="Times New Roman" w:cs="Times New Roman"/>
                <w:sz w:val="15"/>
                <w:szCs w:val="15"/>
              </w:rPr>
            </w:pPr>
            <w:r>
              <w:rPr>
                <w:rFonts w:ascii="Times New Roman" w:hAnsi="Times New Roman" w:cs="Times New Roman"/>
                <w:sz w:val="15"/>
                <w:szCs w:val="15"/>
              </w:rPr>
              <w:t>岩石</w:t>
            </w:r>
          </w:p>
        </w:tc>
        <w:tc>
          <w:tcPr>
            <w:tcW w:w="1667" w:type="pct"/>
            <w:tcBorders>
              <w:top w:val="single" w:color="auto" w:sz="6" w:space="0"/>
              <w:left w:val="single" w:color="auto" w:sz="4" w:space="0"/>
              <w:bottom w:val="single" w:color="auto" w:sz="6" w:space="0"/>
              <w:right w:val="single" w:color="auto" w:sz="6" w:space="0"/>
            </w:tcBorders>
            <w:vAlign w:val="center"/>
          </w:tcPr>
          <w:p w14:paraId="4AF82EE4">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硬质岩石</w:t>
            </w:r>
          </w:p>
        </w:tc>
        <w:tc>
          <w:tcPr>
            <w:tcW w:w="2114" w:type="pct"/>
            <w:tcBorders>
              <w:top w:val="single" w:color="auto" w:sz="6" w:space="0"/>
              <w:left w:val="single" w:color="auto" w:sz="6" w:space="0"/>
              <w:bottom w:val="single" w:color="auto" w:sz="6" w:space="0"/>
              <w:right w:val="single" w:color="auto" w:sz="12" w:space="0"/>
            </w:tcBorders>
            <w:vAlign w:val="center"/>
          </w:tcPr>
          <w:p w14:paraId="78FD9669">
            <w:pPr>
              <w:tabs>
                <w:tab w:val="center" w:pos="4153"/>
                <w:tab w:val="right" w:pos="8306"/>
              </w:tabs>
              <w:jc w:val="center"/>
              <w:rPr>
                <w:rFonts w:ascii="Times New Roman" w:hAnsi="Times New Roman" w:cs="Times New Roman"/>
                <w:sz w:val="15"/>
                <w:szCs w:val="15"/>
              </w:rPr>
            </w:pPr>
            <w:r>
              <w:rPr>
                <w:rFonts w:ascii="Times New Roman" w:hAnsi="Times New Roman" w:cs="Times New Roman"/>
                <w:sz w:val="15"/>
                <w:szCs w:val="15"/>
              </w:rPr>
              <w:t>30～40（20～30）</w:t>
            </w:r>
          </w:p>
        </w:tc>
      </w:tr>
      <w:tr w14:paraId="711F3E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8" w:hRule="atLeast"/>
          <w:jc w:val="center"/>
        </w:trPr>
        <w:tc>
          <w:tcPr>
            <w:tcW w:w="1217" w:type="pct"/>
            <w:vMerge w:val="continue"/>
            <w:tcBorders>
              <w:top w:val="single" w:color="auto" w:sz="6" w:space="0"/>
              <w:left w:val="single" w:color="auto" w:sz="12" w:space="0"/>
              <w:bottom w:val="single" w:color="auto" w:sz="6" w:space="0"/>
              <w:right w:val="single" w:color="auto" w:sz="4" w:space="0"/>
            </w:tcBorders>
            <w:vAlign w:val="center"/>
          </w:tcPr>
          <w:p w14:paraId="12BC75DC">
            <w:pPr>
              <w:widowControl/>
              <w:jc w:val="left"/>
              <w:rPr>
                <w:rFonts w:ascii="Times New Roman" w:hAnsi="Times New Roman" w:cs="Times New Roman"/>
                <w:b/>
                <w:sz w:val="15"/>
                <w:szCs w:val="15"/>
              </w:rPr>
            </w:pPr>
          </w:p>
        </w:tc>
        <w:tc>
          <w:tcPr>
            <w:tcW w:w="1667" w:type="pct"/>
            <w:tcBorders>
              <w:top w:val="single" w:color="auto" w:sz="6" w:space="0"/>
              <w:left w:val="single" w:color="auto" w:sz="4" w:space="0"/>
              <w:bottom w:val="single" w:color="auto" w:sz="6" w:space="0"/>
              <w:right w:val="single" w:color="auto" w:sz="6" w:space="0"/>
            </w:tcBorders>
            <w:vAlign w:val="center"/>
          </w:tcPr>
          <w:p w14:paraId="3A1677F1">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软质岩石</w:t>
            </w:r>
          </w:p>
        </w:tc>
        <w:tc>
          <w:tcPr>
            <w:tcW w:w="2114" w:type="pct"/>
            <w:tcBorders>
              <w:top w:val="single" w:color="auto" w:sz="6" w:space="0"/>
              <w:left w:val="single" w:color="auto" w:sz="6" w:space="0"/>
              <w:bottom w:val="single" w:color="auto" w:sz="6" w:space="0"/>
              <w:right w:val="single" w:color="auto" w:sz="12" w:space="0"/>
            </w:tcBorders>
            <w:vAlign w:val="center"/>
          </w:tcPr>
          <w:p w14:paraId="45006F43">
            <w:pPr>
              <w:tabs>
                <w:tab w:val="center" w:pos="4153"/>
                <w:tab w:val="right" w:pos="8306"/>
              </w:tabs>
              <w:jc w:val="center"/>
              <w:rPr>
                <w:rFonts w:ascii="Times New Roman" w:hAnsi="Times New Roman" w:cs="Times New Roman"/>
                <w:sz w:val="15"/>
                <w:szCs w:val="15"/>
              </w:rPr>
            </w:pPr>
            <w:r>
              <w:rPr>
                <w:rFonts w:ascii="Times New Roman" w:hAnsi="Times New Roman" w:cs="Times New Roman"/>
                <w:sz w:val="15"/>
                <w:szCs w:val="15"/>
              </w:rPr>
              <w:t>10～20（8～15）</w:t>
            </w:r>
          </w:p>
        </w:tc>
      </w:tr>
      <w:tr w14:paraId="30500F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8" w:hRule="atLeast"/>
          <w:jc w:val="center"/>
        </w:trPr>
        <w:tc>
          <w:tcPr>
            <w:tcW w:w="1217" w:type="pct"/>
            <w:tcBorders>
              <w:top w:val="single" w:color="auto" w:sz="6" w:space="0"/>
              <w:left w:val="single" w:color="auto" w:sz="12" w:space="0"/>
              <w:bottom w:val="single" w:color="auto" w:sz="6" w:space="0"/>
              <w:right w:val="single" w:color="auto" w:sz="4" w:space="0"/>
            </w:tcBorders>
            <w:vAlign w:val="center"/>
          </w:tcPr>
          <w:p w14:paraId="693741C2">
            <w:pPr>
              <w:tabs>
                <w:tab w:val="center" w:pos="4153"/>
                <w:tab w:val="right" w:pos="8306"/>
              </w:tabs>
              <w:jc w:val="center"/>
              <w:rPr>
                <w:rFonts w:ascii="Times New Roman" w:hAnsi="Times New Roman" w:cs="Times New Roman"/>
                <w:sz w:val="15"/>
                <w:szCs w:val="15"/>
              </w:rPr>
            </w:pPr>
            <w:r>
              <w:rPr>
                <w:rFonts w:ascii="Times New Roman" w:hAnsi="Times New Roman" w:cs="Times New Roman"/>
                <w:sz w:val="15"/>
                <w:szCs w:val="15"/>
              </w:rPr>
              <w:t>土石混合</w:t>
            </w:r>
          </w:p>
        </w:tc>
        <w:tc>
          <w:tcPr>
            <w:tcW w:w="1667" w:type="pct"/>
            <w:tcBorders>
              <w:top w:val="single" w:color="auto" w:sz="6" w:space="0"/>
              <w:left w:val="single" w:color="auto" w:sz="4" w:space="0"/>
              <w:bottom w:val="single" w:color="auto" w:sz="6" w:space="0"/>
              <w:right w:val="single" w:color="auto" w:sz="6" w:space="0"/>
            </w:tcBorders>
            <w:vAlign w:val="center"/>
          </w:tcPr>
          <w:p w14:paraId="47A9FB93">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混合土石</w:t>
            </w:r>
          </w:p>
        </w:tc>
        <w:tc>
          <w:tcPr>
            <w:tcW w:w="2114" w:type="pct"/>
            <w:tcBorders>
              <w:top w:val="single" w:color="auto" w:sz="6" w:space="0"/>
              <w:left w:val="single" w:color="auto" w:sz="6" w:space="0"/>
              <w:bottom w:val="single" w:color="auto" w:sz="6" w:space="0"/>
              <w:right w:val="single" w:color="auto" w:sz="12" w:space="0"/>
            </w:tcBorders>
            <w:vAlign w:val="center"/>
          </w:tcPr>
          <w:p w14:paraId="78E1C72B">
            <w:pPr>
              <w:tabs>
                <w:tab w:val="center" w:pos="4153"/>
                <w:tab w:val="right" w:pos="8306"/>
              </w:tabs>
              <w:jc w:val="center"/>
              <w:rPr>
                <w:rFonts w:ascii="Times New Roman" w:hAnsi="Times New Roman" w:cs="Times New Roman"/>
                <w:sz w:val="15"/>
                <w:szCs w:val="15"/>
              </w:rPr>
            </w:pPr>
            <w:r>
              <w:rPr>
                <w:rFonts w:ascii="Times New Roman" w:hAnsi="Times New Roman" w:cs="Times New Roman"/>
                <w:sz w:val="15"/>
                <w:szCs w:val="15"/>
              </w:rPr>
              <w:t>20～30（15～20）</w:t>
            </w:r>
          </w:p>
        </w:tc>
      </w:tr>
      <w:tr w14:paraId="12F13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9" w:hRule="atLeast"/>
          <w:jc w:val="center"/>
        </w:trPr>
        <w:tc>
          <w:tcPr>
            <w:tcW w:w="1217" w:type="pct"/>
            <w:vMerge w:val="restart"/>
            <w:tcBorders>
              <w:top w:val="single" w:color="auto" w:sz="6" w:space="0"/>
              <w:left w:val="single" w:color="auto" w:sz="12" w:space="0"/>
              <w:bottom w:val="single" w:color="auto" w:sz="6" w:space="0"/>
              <w:right w:val="single" w:color="auto" w:sz="4" w:space="0"/>
            </w:tcBorders>
            <w:vAlign w:val="center"/>
          </w:tcPr>
          <w:p w14:paraId="41158938">
            <w:pPr>
              <w:tabs>
                <w:tab w:val="center" w:pos="4153"/>
                <w:tab w:val="right" w:pos="8306"/>
              </w:tabs>
              <w:jc w:val="center"/>
              <w:rPr>
                <w:rFonts w:ascii="Times New Roman" w:hAnsi="Times New Roman" w:cs="Times New Roman"/>
                <w:sz w:val="15"/>
                <w:szCs w:val="15"/>
              </w:rPr>
            </w:pPr>
            <w:r>
              <w:rPr>
                <w:rFonts w:ascii="Times New Roman" w:hAnsi="Times New Roman" w:cs="Times New Roman"/>
                <w:sz w:val="15"/>
                <w:szCs w:val="15"/>
              </w:rPr>
              <w:t>土</w:t>
            </w:r>
          </w:p>
        </w:tc>
        <w:tc>
          <w:tcPr>
            <w:tcW w:w="1667" w:type="pct"/>
            <w:tcBorders>
              <w:top w:val="single" w:color="auto" w:sz="6" w:space="0"/>
              <w:left w:val="single" w:color="auto" w:sz="4" w:space="0"/>
              <w:bottom w:val="single" w:color="auto" w:sz="6" w:space="0"/>
              <w:right w:val="single" w:color="auto" w:sz="6" w:space="0"/>
            </w:tcBorders>
            <w:vAlign w:val="center"/>
          </w:tcPr>
          <w:p w14:paraId="18D9DED4">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粘土</w:t>
            </w:r>
          </w:p>
        </w:tc>
        <w:tc>
          <w:tcPr>
            <w:tcW w:w="2114" w:type="pct"/>
            <w:tcBorders>
              <w:top w:val="single" w:color="auto" w:sz="6" w:space="0"/>
              <w:left w:val="single" w:color="auto" w:sz="6" w:space="0"/>
              <w:bottom w:val="single" w:color="auto" w:sz="6" w:space="0"/>
              <w:right w:val="single" w:color="auto" w:sz="12" w:space="0"/>
            </w:tcBorders>
            <w:vAlign w:val="center"/>
          </w:tcPr>
          <w:p w14:paraId="77E56EAC">
            <w:pPr>
              <w:tabs>
                <w:tab w:val="center" w:pos="4153"/>
                <w:tab w:val="right" w:pos="8306"/>
              </w:tabs>
              <w:jc w:val="center"/>
              <w:rPr>
                <w:rFonts w:ascii="Times New Roman" w:hAnsi="Times New Roman" w:cs="Times New Roman"/>
                <w:sz w:val="15"/>
                <w:szCs w:val="15"/>
              </w:rPr>
            </w:pPr>
            <w:r>
              <w:rPr>
                <w:rFonts w:ascii="Times New Roman" w:hAnsi="Times New Roman" w:cs="Times New Roman"/>
                <w:sz w:val="15"/>
                <w:szCs w:val="15"/>
              </w:rPr>
              <w:t>10～15（8～12）</w:t>
            </w:r>
          </w:p>
        </w:tc>
      </w:tr>
      <w:tr w14:paraId="7F505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3" w:hRule="atLeast"/>
          <w:jc w:val="center"/>
        </w:trPr>
        <w:tc>
          <w:tcPr>
            <w:tcW w:w="1217" w:type="pct"/>
            <w:vMerge w:val="continue"/>
            <w:tcBorders>
              <w:top w:val="single" w:color="auto" w:sz="6" w:space="0"/>
              <w:left w:val="single" w:color="auto" w:sz="12" w:space="0"/>
              <w:bottom w:val="single" w:color="auto" w:sz="12" w:space="0"/>
              <w:right w:val="single" w:color="auto" w:sz="4" w:space="0"/>
            </w:tcBorders>
            <w:vAlign w:val="center"/>
          </w:tcPr>
          <w:p w14:paraId="63700A01">
            <w:pPr>
              <w:widowControl/>
              <w:jc w:val="left"/>
              <w:rPr>
                <w:rFonts w:ascii="Times New Roman" w:hAnsi="Times New Roman" w:cs="Times New Roman"/>
                <w:b/>
                <w:sz w:val="15"/>
                <w:szCs w:val="15"/>
              </w:rPr>
            </w:pPr>
          </w:p>
        </w:tc>
        <w:tc>
          <w:tcPr>
            <w:tcW w:w="1667" w:type="pct"/>
            <w:tcBorders>
              <w:top w:val="single" w:color="auto" w:sz="6" w:space="0"/>
              <w:left w:val="single" w:color="auto" w:sz="4" w:space="0"/>
              <w:bottom w:val="single" w:color="auto" w:sz="12" w:space="0"/>
              <w:right w:val="single" w:color="auto" w:sz="6" w:space="0"/>
            </w:tcBorders>
            <w:vAlign w:val="center"/>
          </w:tcPr>
          <w:p w14:paraId="74DBFEA2">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砂土、</w:t>
            </w:r>
            <w:r>
              <w:rPr>
                <w:rFonts w:ascii="Times New Roman" w:hAnsi="Times New Roman" w:cs="Times New Roman"/>
                <w:kern w:val="0"/>
                <w:sz w:val="15"/>
                <w:szCs w:val="15"/>
              </w:rPr>
              <w:t>人工土</w:t>
            </w:r>
          </w:p>
        </w:tc>
        <w:tc>
          <w:tcPr>
            <w:tcW w:w="2114" w:type="pct"/>
            <w:tcBorders>
              <w:top w:val="single" w:color="auto" w:sz="6" w:space="0"/>
              <w:left w:val="single" w:color="auto" w:sz="6" w:space="0"/>
              <w:bottom w:val="single" w:color="auto" w:sz="12" w:space="0"/>
              <w:right w:val="single" w:color="auto" w:sz="12" w:space="0"/>
            </w:tcBorders>
            <w:vAlign w:val="center"/>
          </w:tcPr>
          <w:p w14:paraId="203D8D0B">
            <w:pPr>
              <w:tabs>
                <w:tab w:val="center" w:pos="4153"/>
                <w:tab w:val="right" w:pos="8306"/>
              </w:tabs>
              <w:jc w:val="center"/>
              <w:rPr>
                <w:rFonts w:ascii="Times New Roman" w:hAnsi="Times New Roman" w:cs="Times New Roman"/>
                <w:sz w:val="15"/>
                <w:szCs w:val="15"/>
              </w:rPr>
            </w:pPr>
            <w:r>
              <w:rPr>
                <w:rFonts w:ascii="Times New Roman" w:hAnsi="Times New Roman" w:cs="Times New Roman"/>
                <w:sz w:val="15"/>
                <w:szCs w:val="15"/>
              </w:rPr>
              <w:t>5～10</w:t>
            </w:r>
          </w:p>
        </w:tc>
      </w:tr>
    </w:tbl>
    <w:p w14:paraId="6681A9FA">
      <w:pPr>
        <w:ind w:firstLine="320" w:firstLineChars="200"/>
        <w:jc w:val="left"/>
        <w:rPr>
          <w:rFonts w:ascii="Times New Roman" w:hAnsi="Times New Roman" w:cs="Times New Roman"/>
          <w:sz w:val="16"/>
          <w:szCs w:val="18"/>
        </w:rPr>
      </w:pPr>
      <w:r>
        <w:rPr>
          <w:rFonts w:ascii="Times New Roman" w:hAnsi="Times New Roman" w:cs="Times New Roman"/>
          <w:sz w:val="16"/>
          <w:szCs w:val="18"/>
        </w:rPr>
        <w:t xml:space="preserve">注：1 </w:t>
      </w:r>
      <w:r>
        <w:rPr>
          <w:rFonts w:hint="eastAsia" w:ascii="Times New Roman" w:hAnsi="Times New Roman" w:cs="Times New Roman"/>
          <w:sz w:val="16"/>
          <w:szCs w:val="18"/>
        </w:rPr>
        <w:t xml:space="preserve"> </w:t>
      </w:r>
      <w:r>
        <w:rPr>
          <w:rFonts w:ascii="Times New Roman" w:hAnsi="Times New Roman" w:cs="Times New Roman"/>
          <w:sz w:val="16"/>
          <w:szCs w:val="18"/>
        </w:rPr>
        <w:t>括号内数值系工程地质不良及气象条件不利时参考值；</w:t>
      </w:r>
    </w:p>
    <w:p w14:paraId="30BD039C">
      <w:pPr>
        <w:ind w:left="798" w:leftChars="228" w:right="-76" w:rightChars="-27" w:hanging="160" w:hangingChars="100"/>
        <w:jc w:val="left"/>
        <w:rPr>
          <w:rFonts w:ascii="Times New Roman" w:hAnsi="Times New Roman" w:cs="Times New Roman"/>
          <w:sz w:val="16"/>
          <w:szCs w:val="18"/>
        </w:rPr>
      </w:pPr>
      <w:r>
        <w:rPr>
          <w:rFonts w:ascii="Times New Roman" w:hAnsi="Times New Roman" w:cs="Times New Roman"/>
          <w:sz w:val="16"/>
          <w:szCs w:val="18"/>
        </w:rPr>
        <w:t xml:space="preserve">2 </w:t>
      </w:r>
      <w:r>
        <w:rPr>
          <w:rFonts w:hint="eastAsia" w:ascii="Times New Roman" w:hAnsi="Times New Roman" w:cs="Times New Roman"/>
          <w:sz w:val="16"/>
          <w:szCs w:val="18"/>
        </w:rPr>
        <w:t xml:space="preserve"> </w:t>
      </w:r>
      <w:r>
        <w:rPr>
          <w:rFonts w:ascii="Times New Roman" w:hAnsi="Times New Roman" w:cs="Times New Roman"/>
          <w:sz w:val="16"/>
          <w:szCs w:val="18"/>
        </w:rPr>
        <w:t>弃渣场地基（原地面）坡度平缓，渣为坚硬岩石或利用狭窄山沟、谷地、坑塘堆置的弃渣场，可不受此表限制。</w:t>
      </w:r>
    </w:p>
    <w:p w14:paraId="7163C4AB">
      <w:pPr>
        <w:spacing w:before="156" w:beforeLines="50" w:line="360" w:lineRule="auto"/>
        <w:rPr>
          <w:rFonts w:ascii="Times New Roman" w:hAnsi="Times New Roman" w:cs="Times New Roman"/>
          <w:sz w:val="21"/>
          <w:szCs w:val="24"/>
        </w:rPr>
      </w:pPr>
      <w:r>
        <w:rPr>
          <w:rFonts w:ascii="Times New Roman" w:hAnsi="Times New Roman" w:cs="Times New Roman"/>
          <w:b/>
          <w:sz w:val="21"/>
        </w:rPr>
        <w:t>5.2.13</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w:t>
      </w:r>
      <w:r>
        <w:rPr>
          <w:rFonts w:ascii="Times New Roman" w:hAnsi="Times New Roman" w:cs="Times New Roman"/>
          <w:sz w:val="21"/>
        </w:rPr>
        <w:t>弃渣场综合坡度和堆渣坡比应由弃渣场稳定计算确定。</w:t>
      </w:r>
      <w:r>
        <w:rPr>
          <w:rFonts w:ascii="Times New Roman" w:hAnsi="Times New Roman" w:cs="Times New Roman"/>
          <w:sz w:val="21"/>
          <w:szCs w:val="24"/>
        </w:rPr>
        <w:t>弃渣场堆渣高度40m以上的，</w:t>
      </w:r>
      <w:r>
        <w:rPr>
          <w:rFonts w:ascii="Times New Roman" w:hAnsi="Times New Roman" w:cs="Times New Roman"/>
          <w:sz w:val="21"/>
        </w:rPr>
        <w:t>堆渣综合坡度宜取22°～25°。当5级弃渣场缺乏工程地质资料时，堆渣坡比</w:t>
      </w:r>
      <w:r>
        <w:rPr>
          <w:rFonts w:ascii="Times New Roman" w:hAnsi="Times New Roman" w:cs="Times New Roman"/>
          <w:sz w:val="21"/>
          <w:szCs w:val="24"/>
        </w:rPr>
        <w:t>可按照表5.2.13确定。</w:t>
      </w:r>
    </w:p>
    <w:p w14:paraId="706BFFE2">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13  弃渣堆置自然安息角</w:t>
      </w:r>
    </w:p>
    <w:tbl>
      <w:tblPr>
        <w:tblStyle w:val="10"/>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1019"/>
        <w:gridCol w:w="3244"/>
        <w:gridCol w:w="1653"/>
        <w:gridCol w:w="1717"/>
      </w:tblGrid>
      <w:tr w14:paraId="62EEA2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2963" w:type="pct"/>
            <w:gridSpan w:val="3"/>
            <w:vAlign w:val="center"/>
          </w:tcPr>
          <w:p w14:paraId="234301B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弃渣体类别</w:t>
            </w:r>
          </w:p>
        </w:tc>
        <w:tc>
          <w:tcPr>
            <w:tcW w:w="999" w:type="pct"/>
            <w:vAlign w:val="center"/>
          </w:tcPr>
          <w:p w14:paraId="0F39965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自然安息角（°）</w:t>
            </w:r>
          </w:p>
        </w:tc>
        <w:tc>
          <w:tcPr>
            <w:tcW w:w="1037" w:type="pct"/>
            <w:vAlign w:val="center"/>
          </w:tcPr>
          <w:p w14:paraId="2EFB7CA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堆渣坡比</w:t>
            </w:r>
          </w:p>
        </w:tc>
      </w:tr>
      <w:tr w14:paraId="4569FD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restart"/>
            <w:vAlign w:val="center"/>
          </w:tcPr>
          <w:p w14:paraId="3E5BD0A4">
            <w:pPr>
              <w:widowControl/>
              <w:jc w:val="center"/>
              <w:rPr>
                <w:rFonts w:ascii="Times New Roman" w:hAnsi="Times New Roman" w:cs="Times New Roman"/>
                <w:sz w:val="15"/>
                <w:szCs w:val="15"/>
              </w:rPr>
            </w:pPr>
            <w:r>
              <w:rPr>
                <w:rFonts w:ascii="Times New Roman" w:hAnsi="Times New Roman" w:cs="Times New Roman"/>
                <w:sz w:val="15"/>
                <w:szCs w:val="15"/>
              </w:rPr>
              <w:t>岩石</w:t>
            </w:r>
          </w:p>
        </w:tc>
        <w:tc>
          <w:tcPr>
            <w:tcW w:w="616" w:type="pct"/>
            <w:vMerge w:val="restart"/>
            <w:vAlign w:val="center"/>
          </w:tcPr>
          <w:p w14:paraId="121AA06B">
            <w:pPr>
              <w:widowControl/>
              <w:jc w:val="center"/>
              <w:rPr>
                <w:rFonts w:ascii="Times New Roman" w:hAnsi="Times New Roman" w:cs="Times New Roman"/>
                <w:kern w:val="0"/>
                <w:sz w:val="15"/>
                <w:szCs w:val="15"/>
              </w:rPr>
            </w:pPr>
            <w:r>
              <w:rPr>
                <w:rFonts w:ascii="Times New Roman" w:hAnsi="Times New Roman" w:cs="Times New Roman"/>
                <w:sz w:val="15"/>
                <w:szCs w:val="15"/>
              </w:rPr>
              <w:t>硬质岩石</w:t>
            </w:r>
          </w:p>
        </w:tc>
        <w:tc>
          <w:tcPr>
            <w:tcW w:w="1959" w:type="pct"/>
            <w:vAlign w:val="center"/>
          </w:tcPr>
          <w:p w14:paraId="15B0BDCB">
            <w:pPr>
              <w:tabs>
                <w:tab w:val="center" w:pos="4153"/>
                <w:tab w:val="right" w:pos="8306"/>
              </w:tabs>
              <w:spacing w:line="0" w:lineRule="atLeast"/>
              <w:ind w:firstLine="301"/>
              <w:jc w:val="center"/>
              <w:rPr>
                <w:rFonts w:ascii="Times New Roman" w:hAnsi="Times New Roman" w:cs="Times New Roman"/>
                <w:sz w:val="15"/>
                <w:szCs w:val="15"/>
              </w:rPr>
            </w:pPr>
            <w:r>
              <w:rPr>
                <w:rFonts w:ascii="Times New Roman" w:hAnsi="Times New Roman" w:cs="Times New Roman"/>
                <w:sz w:val="15"/>
                <w:szCs w:val="15"/>
              </w:rPr>
              <w:t>花岗岩</w:t>
            </w:r>
          </w:p>
        </w:tc>
        <w:tc>
          <w:tcPr>
            <w:tcW w:w="999" w:type="pct"/>
            <w:vAlign w:val="center"/>
          </w:tcPr>
          <w:p w14:paraId="171D5537">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35～40</w:t>
            </w:r>
          </w:p>
        </w:tc>
        <w:tc>
          <w:tcPr>
            <w:tcW w:w="1037" w:type="pct"/>
            <w:vAlign w:val="center"/>
          </w:tcPr>
          <w:p w14:paraId="0DCD27EE">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1:1.85～1:1.60</w:t>
            </w:r>
          </w:p>
        </w:tc>
      </w:tr>
      <w:tr w14:paraId="5919B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10CB83DA">
            <w:pPr>
              <w:widowControl/>
              <w:jc w:val="center"/>
              <w:rPr>
                <w:rFonts w:ascii="Times New Roman" w:hAnsi="Times New Roman" w:cs="Times New Roman"/>
                <w:kern w:val="0"/>
                <w:sz w:val="15"/>
                <w:szCs w:val="15"/>
              </w:rPr>
            </w:pPr>
          </w:p>
        </w:tc>
        <w:tc>
          <w:tcPr>
            <w:tcW w:w="616" w:type="pct"/>
            <w:vMerge w:val="continue"/>
            <w:vAlign w:val="center"/>
          </w:tcPr>
          <w:p w14:paraId="3EDFF3C1">
            <w:pPr>
              <w:widowControl/>
              <w:jc w:val="center"/>
              <w:rPr>
                <w:rFonts w:ascii="Times New Roman" w:hAnsi="Times New Roman" w:cs="Times New Roman"/>
                <w:kern w:val="0"/>
                <w:sz w:val="15"/>
                <w:szCs w:val="15"/>
              </w:rPr>
            </w:pPr>
          </w:p>
        </w:tc>
        <w:tc>
          <w:tcPr>
            <w:tcW w:w="1959" w:type="pct"/>
            <w:vAlign w:val="center"/>
          </w:tcPr>
          <w:p w14:paraId="2DD71130">
            <w:pPr>
              <w:tabs>
                <w:tab w:val="center" w:pos="4153"/>
                <w:tab w:val="right" w:pos="8306"/>
              </w:tabs>
              <w:spacing w:line="0" w:lineRule="atLeast"/>
              <w:ind w:firstLine="301"/>
              <w:jc w:val="center"/>
              <w:rPr>
                <w:rFonts w:ascii="Times New Roman" w:hAnsi="Times New Roman" w:cs="Times New Roman"/>
                <w:sz w:val="15"/>
                <w:szCs w:val="15"/>
              </w:rPr>
            </w:pPr>
            <w:r>
              <w:rPr>
                <w:rFonts w:ascii="Times New Roman" w:hAnsi="Times New Roman" w:cs="Times New Roman"/>
                <w:sz w:val="15"/>
                <w:szCs w:val="15"/>
              </w:rPr>
              <w:t>玄武岩</w:t>
            </w:r>
          </w:p>
        </w:tc>
        <w:tc>
          <w:tcPr>
            <w:tcW w:w="999" w:type="pct"/>
            <w:vAlign w:val="center"/>
          </w:tcPr>
          <w:p w14:paraId="6086BBAF">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35～40</w:t>
            </w:r>
          </w:p>
        </w:tc>
        <w:tc>
          <w:tcPr>
            <w:tcW w:w="1037" w:type="pct"/>
            <w:vAlign w:val="center"/>
          </w:tcPr>
          <w:p w14:paraId="5CF62EF0">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1:1.85～1:1.60</w:t>
            </w:r>
          </w:p>
        </w:tc>
      </w:tr>
      <w:tr w14:paraId="33AA2C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7F94E656">
            <w:pPr>
              <w:widowControl/>
              <w:jc w:val="center"/>
              <w:rPr>
                <w:rFonts w:ascii="Times New Roman" w:hAnsi="Times New Roman" w:cs="Times New Roman"/>
                <w:kern w:val="0"/>
                <w:sz w:val="15"/>
                <w:szCs w:val="15"/>
              </w:rPr>
            </w:pPr>
          </w:p>
        </w:tc>
        <w:tc>
          <w:tcPr>
            <w:tcW w:w="616" w:type="pct"/>
            <w:vMerge w:val="continue"/>
            <w:vAlign w:val="center"/>
          </w:tcPr>
          <w:p w14:paraId="7C071B43">
            <w:pPr>
              <w:widowControl/>
              <w:jc w:val="center"/>
              <w:rPr>
                <w:rFonts w:ascii="Times New Roman" w:hAnsi="Times New Roman" w:cs="Times New Roman"/>
                <w:kern w:val="0"/>
                <w:sz w:val="15"/>
                <w:szCs w:val="15"/>
              </w:rPr>
            </w:pPr>
          </w:p>
        </w:tc>
        <w:tc>
          <w:tcPr>
            <w:tcW w:w="1959" w:type="pct"/>
            <w:vAlign w:val="center"/>
          </w:tcPr>
          <w:p w14:paraId="33233FBB">
            <w:pPr>
              <w:tabs>
                <w:tab w:val="center" w:pos="4153"/>
                <w:tab w:val="right" w:pos="8306"/>
              </w:tabs>
              <w:spacing w:line="0" w:lineRule="atLeast"/>
              <w:ind w:firstLine="301"/>
              <w:jc w:val="center"/>
              <w:rPr>
                <w:rFonts w:ascii="Times New Roman" w:hAnsi="Times New Roman" w:cs="Times New Roman"/>
                <w:sz w:val="15"/>
                <w:szCs w:val="15"/>
              </w:rPr>
            </w:pPr>
            <w:r>
              <w:rPr>
                <w:rFonts w:ascii="Times New Roman" w:hAnsi="Times New Roman" w:cs="Times New Roman"/>
                <w:sz w:val="15"/>
                <w:szCs w:val="15"/>
              </w:rPr>
              <w:t>致密石灰岩</w:t>
            </w:r>
          </w:p>
        </w:tc>
        <w:tc>
          <w:tcPr>
            <w:tcW w:w="999" w:type="pct"/>
            <w:vAlign w:val="center"/>
          </w:tcPr>
          <w:p w14:paraId="764E8D76">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32～36</w:t>
            </w:r>
          </w:p>
        </w:tc>
        <w:tc>
          <w:tcPr>
            <w:tcW w:w="1037" w:type="pct"/>
            <w:vAlign w:val="center"/>
          </w:tcPr>
          <w:p w14:paraId="20AF32CF">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1:2.10～1:1.85</w:t>
            </w:r>
          </w:p>
        </w:tc>
      </w:tr>
      <w:tr w14:paraId="66E1E7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11755A23">
            <w:pPr>
              <w:widowControl/>
              <w:jc w:val="center"/>
              <w:rPr>
                <w:rFonts w:ascii="Times New Roman" w:hAnsi="Times New Roman" w:cs="Times New Roman"/>
                <w:sz w:val="15"/>
                <w:szCs w:val="15"/>
              </w:rPr>
            </w:pPr>
          </w:p>
        </w:tc>
        <w:tc>
          <w:tcPr>
            <w:tcW w:w="616" w:type="pct"/>
            <w:vMerge w:val="restart"/>
            <w:vAlign w:val="center"/>
          </w:tcPr>
          <w:p w14:paraId="6200E578">
            <w:pPr>
              <w:widowControl/>
              <w:jc w:val="center"/>
              <w:rPr>
                <w:rFonts w:ascii="Times New Roman" w:hAnsi="Times New Roman" w:cs="Times New Roman"/>
                <w:kern w:val="0"/>
                <w:sz w:val="15"/>
                <w:szCs w:val="15"/>
              </w:rPr>
            </w:pPr>
            <w:r>
              <w:rPr>
                <w:rFonts w:ascii="Times New Roman" w:hAnsi="Times New Roman" w:cs="Times New Roman"/>
                <w:sz w:val="15"/>
                <w:szCs w:val="15"/>
              </w:rPr>
              <w:t>软质岩石</w:t>
            </w:r>
          </w:p>
        </w:tc>
        <w:tc>
          <w:tcPr>
            <w:tcW w:w="1959" w:type="pct"/>
            <w:vAlign w:val="center"/>
          </w:tcPr>
          <w:p w14:paraId="7DDA123C">
            <w:pPr>
              <w:tabs>
                <w:tab w:val="center" w:pos="4153"/>
                <w:tab w:val="right" w:pos="8306"/>
              </w:tabs>
              <w:spacing w:line="0" w:lineRule="atLeast"/>
              <w:ind w:firstLine="301"/>
              <w:jc w:val="center"/>
              <w:rPr>
                <w:rFonts w:ascii="Times New Roman" w:hAnsi="Times New Roman" w:cs="Times New Roman"/>
                <w:sz w:val="15"/>
                <w:szCs w:val="15"/>
              </w:rPr>
            </w:pPr>
            <w:r>
              <w:rPr>
                <w:rFonts w:ascii="Times New Roman" w:hAnsi="Times New Roman" w:cs="Times New Roman"/>
                <w:sz w:val="15"/>
                <w:szCs w:val="15"/>
              </w:rPr>
              <w:t>页岩（片岩）</w:t>
            </w:r>
          </w:p>
        </w:tc>
        <w:tc>
          <w:tcPr>
            <w:tcW w:w="999" w:type="pct"/>
            <w:vAlign w:val="center"/>
          </w:tcPr>
          <w:p w14:paraId="56EF49EA">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29～43</w:t>
            </w:r>
          </w:p>
        </w:tc>
        <w:tc>
          <w:tcPr>
            <w:tcW w:w="1037" w:type="pct"/>
            <w:vAlign w:val="center"/>
          </w:tcPr>
          <w:p w14:paraId="051F9510">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1:2.35～1:1.45</w:t>
            </w:r>
          </w:p>
        </w:tc>
      </w:tr>
      <w:tr w14:paraId="1E976E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75FA75DD">
            <w:pPr>
              <w:widowControl/>
              <w:jc w:val="center"/>
              <w:rPr>
                <w:rFonts w:ascii="Times New Roman" w:hAnsi="Times New Roman" w:cs="Times New Roman"/>
                <w:kern w:val="0"/>
                <w:sz w:val="15"/>
                <w:szCs w:val="15"/>
              </w:rPr>
            </w:pPr>
          </w:p>
        </w:tc>
        <w:tc>
          <w:tcPr>
            <w:tcW w:w="616" w:type="pct"/>
            <w:vMerge w:val="continue"/>
            <w:vAlign w:val="center"/>
          </w:tcPr>
          <w:p w14:paraId="14291673">
            <w:pPr>
              <w:widowControl/>
              <w:jc w:val="center"/>
              <w:rPr>
                <w:rFonts w:ascii="Times New Roman" w:hAnsi="Times New Roman" w:cs="Times New Roman"/>
                <w:kern w:val="0"/>
                <w:sz w:val="15"/>
                <w:szCs w:val="15"/>
              </w:rPr>
            </w:pPr>
          </w:p>
        </w:tc>
        <w:tc>
          <w:tcPr>
            <w:tcW w:w="1959" w:type="pct"/>
            <w:vAlign w:val="center"/>
          </w:tcPr>
          <w:p w14:paraId="279DC5F7">
            <w:pPr>
              <w:tabs>
                <w:tab w:val="center" w:pos="4153"/>
                <w:tab w:val="right" w:pos="8306"/>
              </w:tabs>
              <w:spacing w:line="0" w:lineRule="atLeast"/>
              <w:ind w:firstLine="301"/>
              <w:jc w:val="center"/>
              <w:rPr>
                <w:rFonts w:ascii="Times New Roman" w:hAnsi="Times New Roman" w:cs="Times New Roman"/>
                <w:sz w:val="15"/>
                <w:szCs w:val="15"/>
              </w:rPr>
            </w:pPr>
            <w:r>
              <w:rPr>
                <w:rFonts w:ascii="Times New Roman" w:hAnsi="Times New Roman" w:cs="Times New Roman"/>
                <w:sz w:val="15"/>
                <w:szCs w:val="15"/>
              </w:rPr>
              <w:t>砂岩（块石、碎石、角砾）</w:t>
            </w:r>
          </w:p>
        </w:tc>
        <w:tc>
          <w:tcPr>
            <w:tcW w:w="999" w:type="pct"/>
            <w:vAlign w:val="center"/>
          </w:tcPr>
          <w:p w14:paraId="022F046E">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26～40</w:t>
            </w:r>
          </w:p>
        </w:tc>
        <w:tc>
          <w:tcPr>
            <w:tcW w:w="1037" w:type="pct"/>
            <w:vAlign w:val="center"/>
          </w:tcPr>
          <w:p w14:paraId="3168D21C">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1:2.70～1:1.60</w:t>
            </w:r>
          </w:p>
        </w:tc>
      </w:tr>
      <w:tr w14:paraId="57C9B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450AB0ED">
            <w:pPr>
              <w:widowControl/>
              <w:jc w:val="center"/>
              <w:rPr>
                <w:rFonts w:ascii="Times New Roman" w:hAnsi="Times New Roman" w:cs="Times New Roman"/>
                <w:kern w:val="0"/>
                <w:sz w:val="15"/>
                <w:szCs w:val="15"/>
              </w:rPr>
            </w:pPr>
          </w:p>
        </w:tc>
        <w:tc>
          <w:tcPr>
            <w:tcW w:w="616" w:type="pct"/>
            <w:vMerge w:val="continue"/>
            <w:vAlign w:val="center"/>
          </w:tcPr>
          <w:p w14:paraId="6DD5F869">
            <w:pPr>
              <w:widowControl/>
              <w:jc w:val="center"/>
              <w:rPr>
                <w:rFonts w:ascii="Times New Roman" w:hAnsi="Times New Roman" w:cs="Times New Roman"/>
                <w:kern w:val="0"/>
                <w:sz w:val="15"/>
                <w:szCs w:val="15"/>
              </w:rPr>
            </w:pPr>
          </w:p>
        </w:tc>
        <w:tc>
          <w:tcPr>
            <w:tcW w:w="1959" w:type="pct"/>
            <w:vAlign w:val="center"/>
          </w:tcPr>
          <w:p w14:paraId="28B9107A">
            <w:pPr>
              <w:tabs>
                <w:tab w:val="center" w:pos="4153"/>
                <w:tab w:val="right" w:pos="8306"/>
              </w:tabs>
              <w:spacing w:line="0" w:lineRule="atLeast"/>
              <w:ind w:firstLine="301"/>
              <w:jc w:val="center"/>
              <w:rPr>
                <w:rFonts w:ascii="Times New Roman" w:hAnsi="Times New Roman" w:cs="Times New Roman"/>
                <w:sz w:val="15"/>
                <w:szCs w:val="15"/>
              </w:rPr>
            </w:pPr>
            <w:r>
              <w:rPr>
                <w:rFonts w:ascii="Times New Roman" w:hAnsi="Times New Roman" w:cs="Times New Roman"/>
                <w:sz w:val="15"/>
                <w:szCs w:val="15"/>
              </w:rPr>
              <w:t>砂岩（砾石、碎石）</w:t>
            </w:r>
          </w:p>
        </w:tc>
        <w:tc>
          <w:tcPr>
            <w:tcW w:w="999" w:type="pct"/>
            <w:vAlign w:val="center"/>
          </w:tcPr>
          <w:p w14:paraId="06026EF3">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27～39</w:t>
            </w:r>
          </w:p>
        </w:tc>
        <w:tc>
          <w:tcPr>
            <w:tcW w:w="1037" w:type="pct"/>
            <w:vAlign w:val="center"/>
          </w:tcPr>
          <w:p w14:paraId="0E10047A">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1:2.55～1:1.70</w:t>
            </w:r>
          </w:p>
        </w:tc>
      </w:tr>
      <w:tr w14:paraId="314F4F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restart"/>
            <w:vAlign w:val="center"/>
          </w:tcPr>
          <w:p w14:paraId="5080ECE2">
            <w:pPr>
              <w:widowControl/>
              <w:jc w:val="center"/>
              <w:rPr>
                <w:rFonts w:ascii="Times New Roman" w:hAnsi="Times New Roman" w:cs="Times New Roman"/>
                <w:sz w:val="15"/>
                <w:szCs w:val="15"/>
              </w:rPr>
            </w:pPr>
            <w:r>
              <w:rPr>
                <w:rFonts w:ascii="Times New Roman" w:hAnsi="Times New Roman" w:cs="Times New Roman"/>
                <w:sz w:val="15"/>
                <w:szCs w:val="15"/>
              </w:rPr>
              <w:t>土</w:t>
            </w:r>
          </w:p>
        </w:tc>
        <w:tc>
          <w:tcPr>
            <w:tcW w:w="616" w:type="pct"/>
            <w:vMerge w:val="restart"/>
            <w:vAlign w:val="center"/>
          </w:tcPr>
          <w:p w14:paraId="481D19AC">
            <w:pPr>
              <w:widowControl/>
              <w:jc w:val="center"/>
              <w:rPr>
                <w:rFonts w:ascii="Times New Roman" w:hAnsi="Times New Roman" w:cs="Times New Roman"/>
                <w:kern w:val="0"/>
                <w:sz w:val="15"/>
                <w:szCs w:val="15"/>
              </w:rPr>
            </w:pPr>
            <w:r>
              <w:rPr>
                <w:rFonts w:ascii="Times New Roman" w:hAnsi="Times New Roman" w:cs="Times New Roman"/>
                <w:sz w:val="15"/>
                <w:szCs w:val="15"/>
              </w:rPr>
              <w:t>碎石土</w:t>
            </w:r>
          </w:p>
        </w:tc>
        <w:tc>
          <w:tcPr>
            <w:tcW w:w="1959" w:type="pct"/>
            <w:vAlign w:val="center"/>
          </w:tcPr>
          <w:p w14:paraId="6D63F080">
            <w:pPr>
              <w:tabs>
                <w:tab w:val="center" w:pos="4153"/>
                <w:tab w:val="right" w:pos="8306"/>
              </w:tabs>
              <w:spacing w:line="0" w:lineRule="atLeast"/>
              <w:ind w:firstLine="301"/>
              <w:jc w:val="center"/>
              <w:rPr>
                <w:rFonts w:ascii="Times New Roman" w:hAnsi="Times New Roman" w:cs="Times New Roman"/>
                <w:sz w:val="15"/>
                <w:szCs w:val="15"/>
              </w:rPr>
            </w:pPr>
            <w:r>
              <w:rPr>
                <w:rFonts w:ascii="Times New Roman" w:hAnsi="Times New Roman" w:cs="Times New Roman"/>
                <w:sz w:val="15"/>
                <w:szCs w:val="15"/>
              </w:rPr>
              <w:t>砂质片岩（角砾、碎石）与砂粘土</w:t>
            </w:r>
          </w:p>
        </w:tc>
        <w:tc>
          <w:tcPr>
            <w:tcW w:w="999" w:type="pct"/>
            <w:vAlign w:val="center"/>
          </w:tcPr>
          <w:p w14:paraId="640325A8">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25～42</w:t>
            </w:r>
          </w:p>
        </w:tc>
        <w:tc>
          <w:tcPr>
            <w:tcW w:w="1037" w:type="pct"/>
            <w:vAlign w:val="center"/>
          </w:tcPr>
          <w:p w14:paraId="128BE322">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1:2.80～1:1.65</w:t>
            </w:r>
          </w:p>
        </w:tc>
      </w:tr>
      <w:tr w14:paraId="2A81CE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579A141D">
            <w:pPr>
              <w:widowControl/>
              <w:jc w:val="center"/>
              <w:rPr>
                <w:rFonts w:ascii="Times New Roman" w:hAnsi="Times New Roman" w:cs="Times New Roman"/>
                <w:kern w:val="0"/>
                <w:sz w:val="15"/>
                <w:szCs w:val="15"/>
              </w:rPr>
            </w:pPr>
          </w:p>
        </w:tc>
        <w:tc>
          <w:tcPr>
            <w:tcW w:w="616" w:type="pct"/>
            <w:vMerge w:val="continue"/>
            <w:vAlign w:val="center"/>
          </w:tcPr>
          <w:p w14:paraId="5B77FAAD">
            <w:pPr>
              <w:widowControl/>
              <w:jc w:val="center"/>
              <w:rPr>
                <w:rFonts w:ascii="Times New Roman" w:hAnsi="Times New Roman" w:cs="Times New Roman"/>
                <w:kern w:val="0"/>
                <w:sz w:val="15"/>
                <w:szCs w:val="15"/>
              </w:rPr>
            </w:pPr>
          </w:p>
        </w:tc>
        <w:tc>
          <w:tcPr>
            <w:tcW w:w="1959" w:type="pct"/>
            <w:vAlign w:val="center"/>
          </w:tcPr>
          <w:p w14:paraId="70CC5B09">
            <w:pPr>
              <w:tabs>
                <w:tab w:val="center" w:pos="4153"/>
                <w:tab w:val="right" w:pos="8306"/>
              </w:tabs>
              <w:spacing w:line="0" w:lineRule="atLeast"/>
              <w:ind w:firstLine="301"/>
              <w:jc w:val="center"/>
              <w:rPr>
                <w:rFonts w:ascii="Times New Roman" w:hAnsi="Times New Roman" w:cs="Times New Roman"/>
                <w:sz w:val="15"/>
                <w:szCs w:val="15"/>
              </w:rPr>
            </w:pPr>
            <w:r>
              <w:rPr>
                <w:rFonts w:ascii="Times New Roman" w:hAnsi="Times New Roman" w:cs="Times New Roman"/>
                <w:sz w:val="15"/>
                <w:szCs w:val="15"/>
              </w:rPr>
              <w:t>片岩（角砾、碎石）与砂粘土</w:t>
            </w:r>
          </w:p>
        </w:tc>
        <w:tc>
          <w:tcPr>
            <w:tcW w:w="999" w:type="pct"/>
            <w:vAlign w:val="center"/>
          </w:tcPr>
          <w:p w14:paraId="39B2B1C9">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36～43</w:t>
            </w:r>
          </w:p>
        </w:tc>
        <w:tc>
          <w:tcPr>
            <w:tcW w:w="1037" w:type="pct"/>
            <w:vAlign w:val="center"/>
          </w:tcPr>
          <w:p w14:paraId="4315F9D9">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1:1.80～1:1.65</w:t>
            </w:r>
          </w:p>
        </w:tc>
      </w:tr>
      <w:tr w14:paraId="117E9D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139FF8A4">
            <w:pPr>
              <w:widowControl/>
              <w:jc w:val="center"/>
              <w:rPr>
                <w:rFonts w:ascii="Times New Roman" w:hAnsi="Times New Roman" w:cs="Times New Roman"/>
                <w:kern w:val="0"/>
                <w:sz w:val="15"/>
                <w:szCs w:val="15"/>
              </w:rPr>
            </w:pPr>
          </w:p>
        </w:tc>
        <w:tc>
          <w:tcPr>
            <w:tcW w:w="616" w:type="pct"/>
            <w:vMerge w:val="continue"/>
            <w:vAlign w:val="center"/>
          </w:tcPr>
          <w:p w14:paraId="625D52DA">
            <w:pPr>
              <w:widowControl/>
              <w:jc w:val="center"/>
              <w:rPr>
                <w:rFonts w:ascii="Times New Roman" w:hAnsi="Times New Roman" w:cs="Times New Roman"/>
                <w:kern w:val="0"/>
                <w:sz w:val="15"/>
                <w:szCs w:val="15"/>
              </w:rPr>
            </w:pPr>
          </w:p>
        </w:tc>
        <w:tc>
          <w:tcPr>
            <w:tcW w:w="1959" w:type="pct"/>
            <w:vAlign w:val="center"/>
          </w:tcPr>
          <w:p w14:paraId="7B99DF1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砾石土</w:t>
            </w:r>
          </w:p>
        </w:tc>
        <w:tc>
          <w:tcPr>
            <w:tcW w:w="999" w:type="pct"/>
            <w:vAlign w:val="center"/>
          </w:tcPr>
          <w:p w14:paraId="095997FC">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27～37</w:t>
            </w:r>
          </w:p>
        </w:tc>
        <w:tc>
          <w:tcPr>
            <w:tcW w:w="1037" w:type="pct"/>
            <w:vAlign w:val="center"/>
          </w:tcPr>
          <w:p w14:paraId="6E271FD0">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1:2.55～1:2.0</w:t>
            </w:r>
          </w:p>
        </w:tc>
      </w:tr>
      <w:tr w14:paraId="529BC3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261D45F6">
            <w:pPr>
              <w:widowControl/>
              <w:jc w:val="center"/>
              <w:rPr>
                <w:rFonts w:ascii="Times New Roman" w:hAnsi="Times New Roman" w:cs="Times New Roman"/>
                <w:kern w:val="0"/>
                <w:sz w:val="15"/>
                <w:szCs w:val="15"/>
              </w:rPr>
            </w:pPr>
          </w:p>
        </w:tc>
        <w:tc>
          <w:tcPr>
            <w:tcW w:w="616" w:type="pct"/>
            <w:vMerge w:val="restart"/>
            <w:vAlign w:val="center"/>
          </w:tcPr>
          <w:p w14:paraId="4B9590E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黏土</w:t>
            </w:r>
          </w:p>
        </w:tc>
        <w:tc>
          <w:tcPr>
            <w:tcW w:w="1959" w:type="pct"/>
            <w:vAlign w:val="center"/>
          </w:tcPr>
          <w:p w14:paraId="5AC7F5D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松散的、软的粘土及砂质粘土</w:t>
            </w:r>
          </w:p>
        </w:tc>
        <w:tc>
          <w:tcPr>
            <w:tcW w:w="999" w:type="pct"/>
            <w:vAlign w:val="center"/>
          </w:tcPr>
          <w:p w14:paraId="6C3DDF40">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20～40</w:t>
            </w:r>
          </w:p>
        </w:tc>
        <w:tc>
          <w:tcPr>
            <w:tcW w:w="1037" w:type="pct"/>
            <w:vAlign w:val="center"/>
          </w:tcPr>
          <w:p w14:paraId="39B22393">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1:3.60～1:1.80</w:t>
            </w:r>
          </w:p>
        </w:tc>
      </w:tr>
      <w:tr w14:paraId="514C78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4FCA5F93">
            <w:pPr>
              <w:widowControl/>
              <w:jc w:val="center"/>
              <w:rPr>
                <w:rFonts w:ascii="Times New Roman" w:hAnsi="Times New Roman" w:cs="Times New Roman"/>
                <w:kern w:val="0"/>
                <w:sz w:val="15"/>
                <w:szCs w:val="15"/>
              </w:rPr>
            </w:pPr>
          </w:p>
        </w:tc>
        <w:tc>
          <w:tcPr>
            <w:tcW w:w="616" w:type="pct"/>
            <w:vMerge w:val="continue"/>
            <w:vAlign w:val="center"/>
          </w:tcPr>
          <w:p w14:paraId="3FF8C4FE">
            <w:pPr>
              <w:widowControl/>
              <w:jc w:val="center"/>
              <w:rPr>
                <w:rFonts w:ascii="Times New Roman" w:hAnsi="Times New Roman" w:cs="Times New Roman"/>
                <w:kern w:val="0"/>
                <w:sz w:val="15"/>
                <w:szCs w:val="15"/>
              </w:rPr>
            </w:pPr>
          </w:p>
        </w:tc>
        <w:tc>
          <w:tcPr>
            <w:tcW w:w="1959" w:type="pct"/>
            <w:vAlign w:val="center"/>
          </w:tcPr>
          <w:p w14:paraId="3889CB3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中等紧密的粘土及砂质粘土</w:t>
            </w:r>
          </w:p>
        </w:tc>
        <w:tc>
          <w:tcPr>
            <w:tcW w:w="999" w:type="pct"/>
            <w:vAlign w:val="center"/>
          </w:tcPr>
          <w:p w14:paraId="0F5B504F">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25～40</w:t>
            </w:r>
          </w:p>
        </w:tc>
        <w:tc>
          <w:tcPr>
            <w:tcW w:w="1037" w:type="pct"/>
            <w:vAlign w:val="center"/>
          </w:tcPr>
          <w:p w14:paraId="61DA44AF">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1:2.80～1:1.80</w:t>
            </w:r>
          </w:p>
        </w:tc>
      </w:tr>
      <w:tr w14:paraId="3B6238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11ECA277">
            <w:pPr>
              <w:widowControl/>
              <w:jc w:val="center"/>
              <w:rPr>
                <w:rFonts w:ascii="Times New Roman" w:hAnsi="Times New Roman" w:cs="Times New Roman"/>
                <w:kern w:val="0"/>
                <w:sz w:val="15"/>
                <w:szCs w:val="15"/>
              </w:rPr>
            </w:pPr>
          </w:p>
        </w:tc>
        <w:tc>
          <w:tcPr>
            <w:tcW w:w="616" w:type="pct"/>
            <w:vMerge w:val="continue"/>
            <w:vAlign w:val="center"/>
          </w:tcPr>
          <w:p w14:paraId="59002C86">
            <w:pPr>
              <w:widowControl/>
              <w:jc w:val="center"/>
              <w:rPr>
                <w:rFonts w:ascii="Times New Roman" w:hAnsi="Times New Roman" w:cs="Times New Roman"/>
                <w:kern w:val="0"/>
                <w:sz w:val="15"/>
                <w:szCs w:val="15"/>
              </w:rPr>
            </w:pPr>
          </w:p>
        </w:tc>
        <w:tc>
          <w:tcPr>
            <w:tcW w:w="1959" w:type="pct"/>
            <w:vAlign w:val="center"/>
          </w:tcPr>
          <w:p w14:paraId="56369B0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紧密的粘土及砂质粘土</w:t>
            </w:r>
          </w:p>
        </w:tc>
        <w:tc>
          <w:tcPr>
            <w:tcW w:w="999" w:type="pct"/>
            <w:vAlign w:val="center"/>
          </w:tcPr>
          <w:p w14:paraId="06AFF97B">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25～45</w:t>
            </w:r>
          </w:p>
        </w:tc>
        <w:tc>
          <w:tcPr>
            <w:tcW w:w="1037" w:type="pct"/>
            <w:vAlign w:val="center"/>
          </w:tcPr>
          <w:p w14:paraId="373ED429">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1:2.80～1:1.5</w:t>
            </w:r>
          </w:p>
        </w:tc>
      </w:tr>
      <w:tr w14:paraId="56BADE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7AE96C98">
            <w:pPr>
              <w:widowControl/>
              <w:jc w:val="center"/>
              <w:rPr>
                <w:rFonts w:ascii="Times New Roman" w:hAnsi="Times New Roman" w:cs="Times New Roman"/>
                <w:kern w:val="0"/>
                <w:sz w:val="15"/>
                <w:szCs w:val="15"/>
              </w:rPr>
            </w:pPr>
          </w:p>
        </w:tc>
        <w:tc>
          <w:tcPr>
            <w:tcW w:w="616" w:type="pct"/>
            <w:vMerge w:val="continue"/>
            <w:vAlign w:val="center"/>
          </w:tcPr>
          <w:p w14:paraId="72190970">
            <w:pPr>
              <w:widowControl/>
              <w:jc w:val="center"/>
              <w:rPr>
                <w:rFonts w:ascii="Times New Roman" w:hAnsi="Times New Roman" w:cs="Times New Roman"/>
                <w:kern w:val="0"/>
                <w:sz w:val="15"/>
                <w:szCs w:val="15"/>
              </w:rPr>
            </w:pPr>
          </w:p>
        </w:tc>
        <w:tc>
          <w:tcPr>
            <w:tcW w:w="1959" w:type="pct"/>
            <w:vAlign w:val="center"/>
          </w:tcPr>
          <w:p w14:paraId="03E9214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特别紧密的粘土</w:t>
            </w:r>
          </w:p>
        </w:tc>
        <w:tc>
          <w:tcPr>
            <w:tcW w:w="999" w:type="pct"/>
            <w:vAlign w:val="center"/>
          </w:tcPr>
          <w:p w14:paraId="74FE357A">
            <w:pPr>
              <w:tabs>
                <w:tab w:val="center" w:pos="4153"/>
                <w:tab w:val="right" w:pos="8306"/>
              </w:tabs>
              <w:spacing w:line="0" w:lineRule="atLeast"/>
              <w:ind w:hanging="36"/>
              <w:jc w:val="center"/>
              <w:rPr>
                <w:rFonts w:ascii="Times New Roman" w:hAnsi="Times New Roman" w:cs="Times New Roman"/>
                <w:sz w:val="15"/>
                <w:szCs w:val="15"/>
              </w:rPr>
            </w:pPr>
            <w:r>
              <w:rPr>
                <w:rFonts w:ascii="Times New Roman" w:hAnsi="Times New Roman" w:cs="Times New Roman"/>
                <w:sz w:val="15"/>
                <w:szCs w:val="15"/>
              </w:rPr>
              <w:t>25～45</w:t>
            </w:r>
          </w:p>
        </w:tc>
        <w:tc>
          <w:tcPr>
            <w:tcW w:w="1037" w:type="pct"/>
            <w:vAlign w:val="center"/>
          </w:tcPr>
          <w:p w14:paraId="2C2D1A4D">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1:2.80～1:1.5</w:t>
            </w:r>
          </w:p>
        </w:tc>
      </w:tr>
      <w:tr w14:paraId="29B885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4D8675FE">
            <w:pPr>
              <w:widowControl/>
              <w:jc w:val="center"/>
              <w:rPr>
                <w:rFonts w:ascii="Times New Roman" w:hAnsi="Times New Roman" w:cs="Times New Roman"/>
                <w:kern w:val="0"/>
                <w:sz w:val="15"/>
                <w:szCs w:val="15"/>
              </w:rPr>
            </w:pPr>
          </w:p>
        </w:tc>
        <w:tc>
          <w:tcPr>
            <w:tcW w:w="616" w:type="pct"/>
            <w:vMerge w:val="continue"/>
            <w:vAlign w:val="center"/>
          </w:tcPr>
          <w:p w14:paraId="2C11A9B5">
            <w:pPr>
              <w:widowControl/>
              <w:jc w:val="center"/>
              <w:rPr>
                <w:rFonts w:ascii="Times New Roman" w:hAnsi="Times New Roman" w:cs="Times New Roman"/>
                <w:kern w:val="0"/>
                <w:sz w:val="15"/>
                <w:szCs w:val="15"/>
              </w:rPr>
            </w:pPr>
          </w:p>
        </w:tc>
        <w:tc>
          <w:tcPr>
            <w:tcW w:w="1959" w:type="pct"/>
            <w:vAlign w:val="center"/>
          </w:tcPr>
          <w:p w14:paraId="701D4291">
            <w:pPr>
              <w:widowControl/>
              <w:jc w:val="center"/>
              <w:rPr>
                <w:rFonts w:ascii="Times New Roman" w:hAnsi="Times New Roman" w:cs="Times New Roman"/>
                <w:kern w:val="0"/>
                <w:sz w:val="15"/>
                <w:szCs w:val="15"/>
              </w:rPr>
            </w:pPr>
            <w:r>
              <w:rPr>
                <w:rFonts w:ascii="Times New Roman" w:hAnsi="Times New Roman" w:cs="Times New Roman"/>
                <w:kern w:val="0"/>
                <w:sz w:val="15"/>
                <w:szCs w:val="15"/>
              </w:rPr>
              <w:t>亚粘土</w:t>
            </w:r>
          </w:p>
        </w:tc>
        <w:tc>
          <w:tcPr>
            <w:tcW w:w="999" w:type="pct"/>
            <w:vAlign w:val="center"/>
          </w:tcPr>
          <w:p w14:paraId="7DF08135">
            <w:pPr>
              <w:tabs>
                <w:tab w:val="center" w:pos="4153"/>
                <w:tab w:val="right" w:pos="8306"/>
              </w:tabs>
              <w:spacing w:line="0" w:lineRule="atLeast"/>
              <w:ind w:hanging="36"/>
              <w:jc w:val="center"/>
              <w:rPr>
                <w:rFonts w:ascii="Times New Roman" w:hAnsi="Times New Roman" w:cs="Times New Roman"/>
                <w:sz w:val="15"/>
                <w:szCs w:val="15"/>
              </w:rPr>
            </w:pPr>
            <w:r>
              <w:rPr>
                <w:rFonts w:ascii="Times New Roman" w:hAnsi="Times New Roman" w:cs="Times New Roman"/>
                <w:sz w:val="15"/>
                <w:szCs w:val="15"/>
              </w:rPr>
              <w:t>25～50</w:t>
            </w:r>
          </w:p>
        </w:tc>
        <w:tc>
          <w:tcPr>
            <w:tcW w:w="1037" w:type="pct"/>
            <w:vAlign w:val="center"/>
          </w:tcPr>
          <w:p w14:paraId="13F25FCD">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1:2.80～1:1.30</w:t>
            </w:r>
          </w:p>
        </w:tc>
      </w:tr>
      <w:tr w14:paraId="304F62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37709CFC">
            <w:pPr>
              <w:widowControl/>
              <w:jc w:val="center"/>
              <w:rPr>
                <w:rFonts w:ascii="Times New Roman" w:hAnsi="Times New Roman" w:cs="Times New Roman"/>
                <w:kern w:val="0"/>
                <w:sz w:val="15"/>
                <w:szCs w:val="15"/>
              </w:rPr>
            </w:pPr>
          </w:p>
        </w:tc>
        <w:tc>
          <w:tcPr>
            <w:tcW w:w="616" w:type="pct"/>
            <w:vMerge w:val="continue"/>
            <w:vAlign w:val="center"/>
          </w:tcPr>
          <w:p w14:paraId="002DBB63">
            <w:pPr>
              <w:widowControl/>
              <w:jc w:val="center"/>
              <w:rPr>
                <w:rFonts w:ascii="Times New Roman" w:hAnsi="Times New Roman" w:cs="Times New Roman"/>
                <w:kern w:val="0"/>
                <w:sz w:val="15"/>
                <w:szCs w:val="15"/>
              </w:rPr>
            </w:pPr>
          </w:p>
        </w:tc>
        <w:tc>
          <w:tcPr>
            <w:tcW w:w="1959" w:type="pct"/>
            <w:vAlign w:val="center"/>
          </w:tcPr>
          <w:p w14:paraId="68BC2D2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肥粘土</w:t>
            </w:r>
          </w:p>
        </w:tc>
        <w:tc>
          <w:tcPr>
            <w:tcW w:w="999" w:type="pct"/>
            <w:vAlign w:val="center"/>
          </w:tcPr>
          <w:p w14:paraId="5FFBAEBB">
            <w:pPr>
              <w:tabs>
                <w:tab w:val="center" w:pos="4153"/>
                <w:tab w:val="right" w:pos="8306"/>
              </w:tabs>
              <w:spacing w:line="0" w:lineRule="atLeast"/>
              <w:ind w:hanging="36"/>
              <w:jc w:val="center"/>
              <w:rPr>
                <w:rFonts w:ascii="Times New Roman" w:hAnsi="Times New Roman" w:cs="Times New Roman"/>
                <w:sz w:val="15"/>
                <w:szCs w:val="15"/>
              </w:rPr>
            </w:pPr>
            <w:r>
              <w:rPr>
                <w:rFonts w:ascii="Times New Roman" w:hAnsi="Times New Roman" w:cs="Times New Roman"/>
                <w:sz w:val="15"/>
                <w:szCs w:val="15"/>
              </w:rPr>
              <w:t>15～50</w:t>
            </w:r>
          </w:p>
        </w:tc>
        <w:tc>
          <w:tcPr>
            <w:tcW w:w="1037" w:type="pct"/>
            <w:vAlign w:val="center"/>
          </w:tcPr>
          <w:p w14:paraId="3DFC9C8F">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1:4.85～1:1.30</w:t>
            </w:r>
          </w:p>
        </w:tc>
      </w:tr>
      <w:tr w14:paraId="5C4582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229478E5">
            <w:pPr>
              <w:widowControl/>
              <w:jc w:val="center"/>
              <w:rPr>
                <w:rFonts w:ascii="Times New Roman" w:hAnsi="Times New Roman" w:cs="Times New Roman"/>
                <w:kern w:val="0"/>
                <w:sz w:val="15"/>
                <w:szCs w:val="15"/>
              </w:rPr>
            </w:pPr>
          </w:p>
        </w:tc>
        <w:tc>
          <w:tcPr>
            <w:tcW w:w="616" w:type="pct"/>
            <w:vMerge w:val="restart"/>
            <w:vAlign w:val="center"/>
          </w:tcPr>
          <w:p w14:paraId="573BA46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砂土</w:t>
            </w:r>
          </w:p>
        </w:tc>
        <w:tc>
          <w:tcPr>
            <w:tcW w:w="1959" w:type="pct"/>
            <w:vAlign w:val="center"/>
          </w:tcPr>
          <w:p w14:paraId="26D44CF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细砂加泥</w:t>
            </w:r>
          </w:p>
        </w:tc>
        <w:tc>
          <w:tcPr>
            <w:tcW w:w="999" w:type="pct"/>
            <w:vAlign w:val="center"/>
          </w:tcPr>
          <w:p w14:paraId="1A934A1C">
            <w:pPr>
              <w:tabs>
                <w:tab w:val="center" w:pos="4153"/>
                <w:tab w:val="right" w:pos="8306"/>
              </w:tabs>
              <w:spacing w:line="0" w:lineRule="atLeast"/>
              <w:ind w:hanging="36"/>
              <w:jc w:val="center"/>
              <w:rPr>
                <w:rFonts w:ascii="Times New Roman" w:hAnsi="Times New Roman" w:cs="Times New Roman"/>
                <w:sz w:val="15"/>
                <w:szCs w:val="15"/>
              </w:rPr>
            </w:pPr>
            <w:r>
              <w:rPr>
                <w:rFonts w:ascii="Times New Roman" w:hAnsi="Times New Roman" w:cs="Times New Roman"/>
                <w:sz w:val="15"/>
                <w:szCs w:val="15"/>
              </w:rPr>
              <w:t>20～40</w:t>
            </w:r>
          </w:p>
        </w:tc>
        <w:tc>
          <w:tcPr>
            <w:tcW w:w="1037" w:type="pct"/>
            <w:vAlign w:val="center"/>
          </w:tcPr>
          <w:p w14:paraId="0D392CC5">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1:3.60～1:1.80</w:t>
            </w:r>
          </w:p>
        </w:tc>
      </w:tr>
      <w:tr w14:paraId="2B064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04977B91">
            <w:pPr>
              <w:widowControl/>
              <w:jc w:val="center"/>
              <w:rPr>
                <w:rFonts w:ascii="Times New Roman" w:hAnsi="Times New Roman" w:cs="Times New Roman"/>
                <w:kern w:val="0"/>
                <w:sz w:val="15"/>
                <w:szCs w:val="15"/>
              </w:rPr>
            </w:pPr>
          </w:p>
        </w:tc>
        <w:tc>
          <w:tcPr>
            <w:tcW w:w="616" w:type="pct"/>
            <w:vMerge w:val="continue"/>
            <w:vAlign w:val="center"/>
          </w:tcPr>
          <w:p w14:paraId="5415535B">
            <w:pPr>
              <w:widowControl/>
              <w:jc w:val="center"/>
              <w:rPr>
                <w:rFonts w:ascii="Times New Roman" w:hAnsi="Times New Roman" w:cs="Times New Roman"/>
                <w:kern w:val="0"/>
                <w:sz w:val="15"/>
                <w:szCs w:val="15"/>
              </w:rPr>
            </w:pPr>
          </w:p>
        </w:tc>
        <w:tc>
          <w:tcPr>
            <w:tcW w:w="1959" w:type="pct"/>
            <w:vAlign w:val="center"/>
          </w:tcPr>
          <w:p w14:paraId="443247A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松散细砂</w:t>
            </w:r>
          </w:p>
        </w:tc>
        <w:tc>
          <w:tcPr>
            <w:tcW w:w="999" w:type="pct"/>
            <w:vAlign w:val="center"/>
          </w:tcPr>
          <w:p w14:paraId="2B8D08B2">
            <w:pPr>
              <w:tabs>
                <w:tab w:val="center" w:pos="4153"/>
                <w:tab w:val="right" w:pos="8306"/>
              </w:tabs>
              <w:spacing w:line="0" w:lineRule="atLeast"/>
              <w:ind w:hanging="36"/>
              <w:jc w:val="center"/>
              <w:rPr>
                <w:rFonts w:ascii="Times New Roman" w:hAnsi="Times New Roman" w:cs="Times New Roman"/>
                <w:sz w:val="15"/>
                <w:szCs w:val="15"/>
              </w:rPr>
            </w:pPr>
            <w:r>
              <w:rPr>
                <w:rFonts w:ascii="Times New Roman" w:hAnsi="Times New Roman" w:cs="Times New Roman"/>
                <w:sz w:val="15"/>
                <w:szCs w:val="15"/>
              </w:rPr>
              <w:t>22～37</w:t>
            </w:r>
          </w:p>
        </w:tc>
        <w:tc>
          <w:tcPr>
            <w:tcW w:w="1037" w:type="pct"/>
            <w:vAlign w:val="center"/>
          </w:tcPr>
          <w:p w14:paraId="2E245E40">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1:3.20～1:2.0</w:t>
            </w:r>
          </w:p>
        </w:tc>
      </w:tr>
      <w:tr w14:paraId="179BD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7F0D0213">
            <w:pPr>
              <w:widowControl/>
              <w:jc w:val="center"/>
              <w:rPr>
                <w:rFonts w:ascii="Times New Roman" w:hAnsi="Times New Roman" w:cs="Times New Roman"/>
                <w:kern w:val="0"/>
                <w:sz w:val="15"/>
                <w:szCs w:val="15"/>
              </w:rPr>
            </w:pPr>
          </w:p>
        </w:tc>
        <w:tc>
          <w:tcPr>
            <w:tcW w:w="616" w:type="pct"/>
            <w:vMerge w:val="continue"/>
            <w:vAlign w:val="center"/>
          </w:tcPr>
          <w:p w14:paraId="3F75B0A0">
            <w:pPr>
              <w:widowControl/>
              <w:jc w:val="center"/>
              <w:rPr>
                <w:rFonts w:ascii="Times New Roman" w:hAnsi="Times New Roman" w:cs="Times New Roman"/>
                <w:kern w:val="0"/>
                <w:sz w:val="15"/>
                <w:szCs w:val="15"/>
              </w:rPr>
            </w:pPr>
          </w:p>
        </w:tc>
        <w:tc>
          <w:tcPr>
            <w:tcW w:w="1959" w:type="pct"/>
            <w:vAlign w:val="center"/>
          </w:tcPr>
          <w:p w14:paraId="557EB8A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紧密细砂</w:t>
            </w:r>
          </w:p>
        </w:tc>
        <w:tc>
          <w:tcPr>
            <w:tcW w:w="999" w:type="pct"/>
            <w:vAlign w:val="center"/>
          </w:tcPr>
          <w:p w14:paraId="77476AE4">
            <w:pPr>
              <w:tabs>
                <w:tab w:val="center" w:pos="4153"/>
                <w:tab w:val="right" w:pos="8306"/>
              </w:tabs>
              <w:spacing w:line="0" w:lineRule="atLeast"/>
              <w:ind w:hanging="36"/>
              <w:jc w:val="center"/>
              <w:rPr>
                <w:rFonts w:ascii="Times New Roman" w:hAnsi="Times New Roman" w:cs="Times New Roman"/>
                <w:sz w:val="15"/>
                <w:szCs w:val="15"/>
              </w:rPr>
            </w:pPr>
            <w:r>
              <w:rPr>
                <w:rFonts w:ascii="Times New Roman" w:hAnsi="Times New Roman" w:cs="Times New Roman"/>
                <w:sz w:val="15"/>
                <w:szCs w:val="15"/>
              </w:rPr>
              <w:t>25～45</w:t>
            </w:r>
          </w:p>
        </w:tc>
        <w:tc>
          <w:tcPr>
            <w:tcW w:w="1037" w:type="pct"/>
            <w:vAlign w:val="center"/>
          </w:tcPr>
          <w:p w14:paraId="37BC5AEF">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1:2.80～1:1.5</w:t>
            </w:r>
          </w:p>
        </w:tc>
      </w:tr>
      <w:tr w14:paraId="365B37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7A5DE08C">
            <w:pPr>
              <w:widowControl/>
              <w:jc w:val="center"/>
              <w:rPr>
                <w:rFonts w:ascii="Times New Roman" w:hAnsi="Times New Roman" w:cs="Times New Roman"/>
                <w:kern w:val="0"/>
                <w:sz w:val="15"/>
                <w:szCs w:val="15"/>
              </w:rPr>
            </w:pPr>
          </w:p>
        </w:tc>
        <w:tc>
          <w:tcPr>
            <w:tcW w:w="616" w:type="pct"/>
            <w:vMerge w:val="continue"/>
            <w:vAlign w:val="center"/>
          </w:tcPr>
          <w:p w14:paraId="73059162">
            <w:pPr>
              <w:widowControl/>
              <w:jc w:val="center"/>
              <w:rPr>
                <w:rFonts w:ascii="Times New Roman" w:hAnsi="Times New Roman" w:cs="Times New Roman"/>
                <w:kern w:val="0"/>
                <w:sz w:val="15"/>
                <w:szCs w:val="15"/>
              </w:rPr>
            </w:pPr>
          </w:p>
        </w:tc>
        <w:tc>
          <w:tcPr>
            <w:tcW w:w="1959" w:type="pct"/>
            <w:vAlign w:val="center"/>
          </w:tcPr>
          <w:p w14:paraId="6A75D63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松散中砂</w:t>
            </w:r>
          </w:p>
        </w:tc>
        <w:tc>
          <w:tcPr>
            <w:tcW w:w="999" w:type="pct"/>
            <w:vAlign w:val="center"/>
          </w:tcPr>
          <w:p w14:paraId="4D5B23D7">
            <w:pPr>
              <w:tabs>
                <w:tab w:val="center" w:pos="4153"/>
                <w:tab w:val="right" w:pos="8306"/>
              </w:tabs>
              <w:spacing w:line="0" w:lineRule="atLeast"/>
              <w:ind w:hanging="36"/>
              <w:jc w:val="center"/>
              <w:rPr>
                <w:rFonts w:ascii="Times New Roman" w:hAnsi="Times New Roman" w:cs="Times New Roman"/>
                <w:sz w:val="15"/>
                <w:szCs w:val="15"/>
              </w:rPr>
            </w:pPr>
            <w:r>
              <w:rPr>
                <w:rFonts w:ascii="Times New Roman" w:hAnsi="Times New Roman" w:cs="Times New Roman"/>
                <w:sz w:val="15"/>
                <w:szCs w:val="15"/>
              </w:rPr>
              <w:t>25～37</w:t>
            </w:r>
          </w:p>
        </w:tc>
        <w:tc>
          <w:tcPr>
            <w:tcW w:w="1037" w:type="pct"/>
            <w:vAlign w:val="center"/>
          </w:tcPr>
          <w:p w14:paraId="7518F9FD">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1:2.80～1:2.0</w:t>
            </w:r>
          </w:p>
        </w:tc>
      </w:tr>
      <w:tr w14:paraId="12920E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17AF7BEB">
            <w:pPr>
              <w:widowControl/>
              <w:jc w:val="center"/>
              <w:rPr>
                <w:rFonts w:ascii="Times New Roman" w:hAnsi="Times New Roman" w:cs="Times New Roman"/>
                <w:kern w:val="0"/>
                <w:sz w:val="15"/>
                <w:szCs w:val="15"/>
              </w:rPr>
            </w:pPr>
          </w:p>
        </w:tc>
        <w:tc>
          <w:tcPr>
            <w:tcW w:w="616" w:type="pct"/>
            <w:vMerge w:val="continue"/>
            <w:vAlign w:val="center"/>
          </w:tcPr>
          <w:p w14:paraId="38A4C53F">
            <w:pPr>
              <w:widowControl/>
              <w:jc w:val="center"/>
              <w:rPr>
                <w:rFonts w:ascii="Times New Roman" w:hAnsi="Times New Roman" w:cs="Times New Roman"/>
                <w:kern w:val="0"/>
                <w:sz w:val="15"/>
                <w:szCs w:val="15"/>
              </w:rPr>
            </w:pPr>
          </w:p>
        </w:tc>
        <w:tc>
          <w:tcPr>
            <w:tcW w:w="1959" w:type="pct"/>
            <w:vAlign w:val="center"/>
          </w:tcPr>
          <w:p w14:paraId="733E4BB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紧密中砂</w:t>
            </w:r>
          </w:p>
        </w:tc>
        <w:tc>
          <w:tcPr>
            <w:tcW w:w="999" w:type="pct"/>
            <w:vAlign w:val="center"/>
          </w:tcPr>
          <w:p w14:paraId="0D01AE89">
            <w:pPr>
              <w:tabs>
                <w:tab w:val="center" w:pos="4153"/>
                <w:tab w:val="right" w:pos="8306"/>
              </w:tabs>
              <w:spacing w:line="0" w:lineRule="atLeast"/>
              <w:ind w:hanging="36"/>
              <w:jc w:val="center"/>
              <w:rPr>
                <w:rFonts w:ascii="Times New Roman" w:hAnsi="Times New Roman" w:cs="Times New Roman"/>
                <w:sz w:val="15"/>
                <w:szCs w:val="15"/>
              </w:rPr>
            </w:pPr>
            <w:r>
              <w:rPr>
                <w:rFonts w:ascii="Times New Roman" w:hAnsi="Times New Roman" w:cs="Times New Roman"/>
                <w:sz w:val="15"/>
                <w:szCs w:val="15"/>
              </w:rPr>
              <w:t>27～45</w:t>
            </w:r>
          </w:p>
        </w:tc>
        <w:tc>
          <w:tcPr>
            <w:tcW w:w="1037" w:type="pct"/>
            <w:vAlign w:val="center"/>
          </w:tcPr>
          <w:p w14:paraId="5493EEFC">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1:2.55～1:1.5</w:t>
            </w:r>
          </w:p>
        </w:tc>
      </w:tr>
      <w:tr w14:paraId="648D6D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146D7A14">
            <w:pPr>
              <w:widowControl/>
              <w:jc w:val="center"/>
              <w:rPr>
                <w:rFonts w:ascii="Times New Roman" w:hAnsi="Times New Roman" w:cs="Times New Roman"/>
                <w:kern w:val="0"/>
                <w:sz w:val="15"/>
                <w:szCs w:val="15"/>
              </w:rPr>
            </w:pPr>
          </w:p>
        </w:tc>
        <w:tc>
          <w:tcPr>
            <w:tcW w:w="616" w:type="pct"/>
            <w:vMerge w:val="restart"/>
            <w:vAlign w:val="center"/>
          </w:tcPr>
          <w:p w14:paraId="74F4DD7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人工土</w:t>
            </w:r>
          </w:p>
        </w:tc>
        <w:tc>
          <w:tcPr>
            <w:tcW w:w="1959" w:type="pct"/>
            <w:vAlign w:val="center"/>
          </w:tcPr>
          <w:p w14:paraId="6D78DFC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种植土</w:t>
            </w:r>
          </w:p>
        </w:tc>
        <w:tc>
          <w:tcPr>
            <w:tcW w:w="999" w:type="pct"/>
            <w:vAlign w:val="center"/>
          </w:tcPr>
          <w:p w14:paraId="39FA3850">
            <w:pPr>
              <w:tabs>
                <w:tab w:val="center" w:pos="4153"/>
                <w:tab w:val="right" w:pos="8306"/>
              </w:tabs>
              <w:spacing w:line="0" w:lineRule="atLeast"/>
              <w:ind w:hanging="36"/>
              <w:jc w:val="center"/>
              <w:rPr>
                <w:rFonts w:ascii="Times New Roman" w:hAnsi="Times New Roman" w:cs="Times New Roman"/>
                <w:sz w:val="15"/>
                <w:szCs w:val="15"/>
              </w:rPr>
            </w:pPr>
            <w:r>
              <w:rPr>
                <w:rFonts w:ascii="Times New Roman" w:hAnsi="Times New Roman" w:cs="Times New Roman"/>
                <w:sz w:val="15"/>
                <w:szCs w:val="15"/>
              </w:rPr>
              <w:t>25～40</w:t>
            </w:r>
          </w:p>
        </w:tc>
        <w:tc>
          <w:tcPr>
            <w:tcW w:w="1037" w:type="pct"/>
            <w:vAlign w:val="center"/>
          </w:tcPr>
          <w:p w14:paraId="06E526E6">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1:2.80～1:1.80</w:t>
            </w:r>
          </w:p>
        </w:tc>
      </w:tr>
      <w:tr w14:paraId="44E23A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7" w:type="pct"/>
            <w:vMerge w:val="continue"/>
            <w:vAlign w:val="center"/>
          </w:tcPr>
          <w:p w14:paraId="4AEBB4F3">
            <w:pPr>
              <w:widowControl/>
              <w:jc w:val="center"/>
              <w:rPr>
                <w:rFonts w:ascii="Times New Roman" w:hAnsi="Times New Roman" w:cs="Times New Roman"/>
                <w:kern w:val="0"/>
                <w:sz w:val="15"/>
                <w:szCs w:val="15"/>
              </w:rPr>
            </w:pPr>
          </w:p>
        </w:tc>
        <w:tc>
          <w:tcPr>
            <w:tcW w:w="616" w:type="pct"/>
            <w:vMerge w:val="continue"/>
            <w:vAlign w:val="center"/>
          </w:tcPr>
          <w:p w14:paraId="3E9F9C9E">
            <w:pPr>
              <w:widowControl/>
              <w:jc w:val="center"/>
              <w:rPr>
                <w:rFonts w:ascii="Times New Roman" w:hAnsi="Times New Roman" w:cs="Times New Roman"/>
                <w:kern w:val="0"/>
                <w:sz w:val="15"/>
                <w:szCs w:val="15"/>
              </w:rPr>
            </w:pPr>
          </w:p>
        </w:tc>
        <w:tc>
          <w:tcPr>
            <w:tcW w:w="1959" w:type="pct"/>
            <w:vAlign w:val="center"/>
          </w:tcPr>
          <w:p w14:paraId="6EF73E7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密实的种植土</w:t>
            </w:r>
          </w:p>
        </w:tc>
        <w:tc>
          <w:tcPr>
            <w:tcW w:w="999" w:type="pct"/>
            <w:vAlign w:val="center"/>
          </w:tcPr>
          <w:p w14:paraId="28D2E027">
            <w:pPr>
              <w:tabs>
                <w:tab w:val="center" w:pos="4153"/>
                <w:tab w:val="right" w:pos="8306"/>
              </w:tabs>
              <w:spacing w:line="0" w:lineRule="atLeast"/>
              <w:ind w:hanging="36"/>
              <w:jc w:val="center"/>
              <w:rPr>
                <w:rFonts w:ascii="Times New Roman" w:hAnsi="Times New Roman" w:cs="Times New Roman"/>
                <w:sz w:val="15"/>
                <w:szCs w:val="15"/>
              </w:rPr>
            </w:pPr>
            <w:r>
              <w:rPr>
                <w:rFonts w:ascii="Times New Roman" w:hAnsi="Times New Roman" w:cs="Times New Roman"/>
                <w:sz w:val="15"/>
                <w:szCs w:val="15"/>
              </w:rPr>
              <w:t>30～45</w:t>
            </w:r>
          </w:p>
        </w:tc>
        <w:tc>
          <w:tcPr>
            <w:tcW w:w="1037" w:type="pct"/>
            <w:vAlign w:val="center"/>
          </w:tcPr>
          <w:p w14:paraId="1F11C8C8">
            <w:pPr>
              <w:tabs>
                <w:tab w:val="center" w:pos="4153"/>
                <w:tab w:val="right" w:pos="8306"/>
              </w:tabs>
              <w:spacing w:line="0" w:lineRule="atLeast"/>
              <w:jc w:val="center"/>
              <w:rPr>
                <w:rFonts w:ascii="Times New Roman" w:hAnsi="Times New Roman" w:cs="Times New Roman"/>
                <w:sz w:val="15"/>
                <w:szCs w:val="15"/>
              </w:rPr>
            </w:pPr>
            <w:r>
              <w:rPr>
                <w:rFonts w:ascii="Times New Roman" w:hAnsi="Times New Roman" w:cs="Times New Roman"/>
                <w:sz w:val="15"/>
                <w:szCs w:val="15"/>
              </w:rPr>
              <w:t>1:2.30～1:1.5</w:t>
            </w:r>
          </w:p>
        </w:tc>
      </w:tr>
    </w:tbl>
    <w:p w14:paraId="6B1EE8F5">
      <w:pPr>
        <w:spacing w:line="360" w:lineRule="auto"/>
        <w:rPr>
          <w:rFonts w:ascii="Times New Roman" w:hAnsi="Times New Roman" w:cs="Times New Roman"/>
          <w:sz w:val="21"/>
          <w:szCs w:val="21"/>
        </w:rPr>
      </w:pPr>
      <w:r>
        <w:rPr>
          <w:rFonts w:ascii="Times New Roman" w:hAnsi="Times New Roman" w:cs="Times New Roman"/>
          <w:b/>
          <w:sz w:val="21"/>
          <w:szCs w:val="24"/>
        </w:rPr>
        <w:t>5.2.14</w:t>
      </w:r>
      <w:r>
        <w:rPr>
          <w:rFonts w:ascii="Times New Roman" w:hAnsi="Times New Roman" w:cs="Times New Roman"/>
          <w:sz w:val="21"/>
          <w:szCs w:val="24"/>
        </w:rPr>
        <w:t xml:space="preserve">  弃渣场周边应设置安全保护范围，在弃渣场及安全保护范围内不得开展危及弃渣场安全的开挖、爆破、取土等活动。安全保护范围应</w:t>
      </w:r>
      <w:r>
        <w:rPr>
          <w:rFonts w:ascii="Times New Roman" w:hAnsi="Times New Roman" w:cs="Times New Roman"/>
          <w:sz w:val="21"/>
          <w:szCs w:val="21"/>
        </w:rPr>
        <w:t>按表5.2.14规定确定。</w:t>
      </w:r>
    </w:p>
    <w:p w14:paraId="519FBFDC">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14  弃渣场安全保护范围</w:t>
      </w:r>
    </w:p>
    <w:tbl>
      <w:tblPr>
        <w:tblStyle w:val="11"/>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71"/>
        <w:gridCol w:w="6102"/>
      </w:tblGrid>
      <w:tr w14:paraId="76195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12" w:type="pct"/>
            <w:shd w:val="clear" w:color="auto" w:fill="auto"/>
            <w:vAlign w:val="center"/>
          </w:tcPr>
          <w:p w14:paraId="7E1BEA8E">
            <w:pPr>
              <w:jc w:val="center"/>
              <w:rPr>
                <w:rFonts w:ascii="Times New Roman" w:hAnsi="Times New Roman" w:cs="Times New Roman"/>
                <w:kern w:val="0"/>
                <w:sz w:val="18"/>
                <w:szCs w:val="18"/>
              </w:rPr>
            </w:pPr>
            <w:r>
              <w:rPr>
                <w:rFonts w:ascii="Times New Roman" w:hAnsi="Times New Roman" w:cs="Times New Roman"/>
                <w:kern w:val="0"/>
                <w:sz w:val="18"/>
                <w:szCs w:val="18"/>
              </w:rPr>
              <w:t>渣场级别</w:t>
            </w:r>
          </w:p>
        </w:tc>
        <w:tc>
          <w:tcPr>
            <w:tcW w:w="3688" w:type="pct"/>
            <w:vAlign w:val="center"/>
          </w:tcPr>
          <w:p w14:paraId="14EB479A">
            <w:pPr>
              <w:jc w:val="center"/>
              <w:rPr>
                <w:rFonts w:ascii="Times New Roman" w:hAnsi="Times New Roman" w:cs="Times New Roman"/>
                <w:sz w:val="18"/>
                <w:szCs w:val="18"/>
              </w:rPr>
            </w:pPr>
            <w:r>
              <w:rPr>
                <w:rFonts w:ascii="Times New Roman" w:hAnsi="Times New Roman" w:cs="Times New Roman"/>
                <w:sz w:val="18"/>
                <w:szCs w:val="18"/>
              </w:rPr>
              <w:t>安全保护范围（m）</w:t>
            </w:r>
          </w:p>
        </w:tc>
      </w:tr>
      <w:tr w14:paraId="37365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12" w:type="pct"/>
            <w:shd w:val="clear" w:color="auto" w:fill="auto"/>
            <w:vAlign w:val="center"/>
          </w:tcPr>
          <w:p w14:paraId="034A9028">
            <w:pPr>
              <w:jc w:val="center"/>
              <w:rPr>
                <w:rFonts w:ascii="Times New Roman" w:hAnsi="Times New Roman" w:cs="Times New Roman"/>
                <w:kern w:val="0"/>
                <w:sz w:val="18"/>
                <w:szCs w:val="18"/>
              </w:rPr>
            </w:pPr>
            <w:r>
              <w:rPr>
                <w:rFonts w:ascii="Times New Roman" w:hAnsi="Times New Roman" w:cs="Times New Roman"/>
                <w:kern w:val="0"/>
                <w:sz w:val="18"/>
                <w:szCs w:val="18"/>
              </w:rPr>
              <w:t>1</w:t>
            </w:r>
          </w:p>
        </w:tc>
        <w:tc>
          <w:tcPr>
            <w:tcW w:w="3688" w:type="pct"/>
            <w:vAlign w:val="center"/>
          </w:tcPr>
          <w:p w14:paraId="18D3F72B">
            <w:pPr>
              <w:jc w:val="center"/>
              <w:rPr>
                <w:rFonts w:ascii="Times New Roman" w:hAnsi="Times New Roman" w:cs="Times New Roman"/>
                <w:sz w:val="18"/>
                <w:szCs w:val="18"/>
              </w:rPr>
            </w:pPr>
            <w:r>
              <w:rPr>
                <w:rFonts w:ascii="Times New Roman" w:hAnsi="Times New Roman" w:cs="Times New Roman"/>
                <w:sz w:val="18"/>
                <w:szCs w:val="18"/>
              </w:rPr>
              <w:t>2H</w:t>
            </w:r>
          </w:p>
        </w:tc>
      </w:tr>
      <w:tr w14:paraId="1019F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12" w:type="pct"/>
            <w:shd w:val="clear" w:color="auto" w:fill="auto"/>
            <w:vAlign w:val="center"/>
          </w:tcPr>
          <w:p w14:paraId="0AA22891">
            <w:pPr>
              <w:jc w:val="center"/>
              <w:rPr>
                <w:rFonts w:ascii="Times New Roman" w:hAnsi="Times New Roman" w:cs="Times New Roman"/>
                <w:kern w:val="0"/>
                <w:sz w:val="18"/>
                <w:szCs w:val="18"/>
              </w:rPr>
            </w:pPr>
            <w:r>
              <w:rPr>
                <w:rFonts w:ascii="Times New Roman" w:hAnsi="Times New Roman" w:cs="Times New Roman"/>
                <w:kern w:val="0"/>
                <w:sz w:val="18"/>
                <w:szCs w:val="18"/>
              </w:rPr>
              <w:t>2</w:t>
            </w:r>
          </w:p>
        </w:tc>
        <w:tc>
          <w:tcPr>
            <w:tcW w:w="3688" w:type="pct"/>
            <w:vAlign w:val="center"/>
          </w:tcPr>
          <w:p w14:paraId="18F49647">
            <w:pPr>
              <w:jc w:val="center"/>
              <w:rPr>
                <w:rFonts w:ascii="Times New Roman" w:hAnsi="Times New Roman" w:cs="Times New Roman"/>
                <w:sz w:val="18"/>
                <w:szCs w:val="18"/>
              </w:rPr>
            </w:pPr>
            <w:r>
              <w:rPr>
                <w:rFonts w:ascii="Times New Roman" w:hAnsi="Times New Roman" w:cs="Times New Roman"/>
                <w:sz w:val="18"/>
                <w:szCs w:val="18"/>
              </w:rPr>
              <w:t>1.5H</w:t>
            </w:r>
          </w:p>
        </w:tc>
      </w:tr>
      <w:tr w14:paraId="0F1F69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12" w:type="pct"/>
            <w:shd w:val="clear" w:color="auto" w:fill="auto"/>
            <w:vAlign w:val="center"/>
          </w:tcPr>
          <w:p w14:paraId="34358171">
            <w:pPr>
              <w:jc w:val="center"/>
              <w:rPr>
                <w:rFonts w:ascii="Times New Roman" w:hAnsi="Times New Roman" w:cs="Times New Roman"/>
                <w:kern w:val="0"/>
                <w:sz w:val="18"/>
                <w:szCs w:val="18"/>
              </w:rPr>
            </w:pPr>
            <w:r>
              <w:rPr>
                <w:rFonts w:ascii="Times New Roman" w:hAnsi="Times New Roman" w:cs="Times New Roman"/>
                <w:kern w:val="0"/>
                <w:sz w:val="18"/>
                <w:szCs w:val="18"/>
              </w:rPr>
              <w:t>3</w:t>
            </w:r>
          </w:p>
        </w:tc>
        <w:tc>
          <w:tcPr>
            <w:tcW w:w="3688" w:type="pct"/>
            <w:vMerge w:val="restart"/>
            <w:vAlign w:val="center"/>
          </w:tcPr>
          <w:p w14:paraId="6A01C1D0">
            <w:pPr>
              <w:jc w:val="center"/>
              <w:rPr>
                <w:rFonts w:ascii="Times New Roman" w:hAnsi="Times New Roman" w:cs="Times New Roman"/>
                <w:sz w:val="18"/>
                <w:szCs w:val="18"/>
              </w:rPr>
            </w:pPr>
            <w:r>
              <w:rPr>
                <w:rFonts w:ascii="Times New Roman" w:hAnsi="Times New Roman" w:cs="Times New Roman"/>
                <w:sz w:val="18"/>
                <w:szCs w:val="18"/>
              </w:rPr>
              <w:t>1.0H</w:t>
            </w:r>
          </w:p>
        </w:tc>
      </w:tr>
      <w:tr w14:paraId="77DD0A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12" w:type="pct"/>
            <w:shd w:val="clear" w:color="auto" w:fill="auto"/>
            <w:vAlign w:val="center"/>
          </w:tcPr>
          <w:p w14:paraId="416FBBCE">
            <w:pPr>
              <w:jc w:val="center"/>
              <w:rPr>
                <w:rFonts w:ascii="Times New Roman" w:hAnsi="Times New Roman" w:cs="Times New Roman"/>
                <w:kern w:val="0"/>
                <w:sz w:val="18"/>
                <w:szCs w:val="18"/>
              </w:rPr>
            </w:pPr>
            <w:r>
              <w:rPr>
                <w:rFonts w:ascii="Times New Roman" w:hAnsi="Times New Roman" w:cs="Times New Roman"/>
                <w:kern w:val="0"/>
                <w:sz w:val="18"/>
                <w:szCs w:val="18"/>
              </w:rPr>
              <w:t>4</w:t>
            </w:r>
          </w:p>
        </w:tc>
        <w:tc>
          <w:tcPr>
            <w:tcW w:w="3688" w:type="pct"/>
            <w:vMerge w:val="continue"/>
            <w:vAlign w:val="center"/>
          </w:tcPr>
          <w:p w14:paraId="30436BDA">
            <w:pPr>
              <w:jc w:val="center"/>
              <w:rPr>
                <w:rFonts w:ascii="Times New Roman" w:hAnsi="Times New Roman" w:cs="Times New Roman"/>
                <w:sz w:val="18"/>
                <w:szCs w:val="18"/>
              </w:rPr>
            </w:pPr>
          </w:p>
        </w:tc>
      </w:tr>
      <w:tr w14:paraId="4C3E6C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12" w:type="pct"/>
            <w:shd w:val="clear" w:color="auto" w:fill="auto"/>
            <w:vAlign w:val="center"/>
          </w:tcPr>
          <w:p w14:paraId="37EAB2C1">
            <w:pPr>
              <w:jc w:val="center"/>
              <w:rPr>
                <w:rFonts w:ascii="Times New Roman" w:hAnsi="Times New Roman" w:cs="Times New Roman"/>
                <w:kern w:val="0"/>
                <w:sz w:val="18"/>
                <w:szCs w:val="18"/>
              </w:rPr>
            </w:pPr>
            <w:r>
              <w:rPr>
                <w:rFonts w:ascii="Times New Roman" w:hAnsi="Times New Roman" w:cs="Times New Roman"/>
                <w:kern w:val="0"/>
                <w:sz w:val="18"/>
                <w:szCs w:val="18"/>
              </w:rPr>
              <w:t>5</w:t>
            </w:r>
          </w:p>
        </w:tc>
        <w:tc>
          <w:tcPr>
            <w:tcW w:w="3688" w:type="pct"/>
            <w:vMerge w:val="continue"/>
            <w:vAlign w:val="center"/>
          </w:tcPr>
          <w:p w14:paraId="3958824B">
            <w:pPr>
              <w:jc w:val="center"/>
              <w:rPr>
                <w:rFonts w:ascii="Times New Roman" w:hAnsi="Times New Roman" w:cs="Times New Roman"/>
                <w:sz w:val="18"/>
                <w:szCs w:val="18"/>
              </w:rPr>
            </w:pPr>
          </w:p>
        </w:tc>
      </w:tr>
    </w:tbl>
    <w:p w14:paraId="3788AD78">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Ⅳ </w:t>
      </w:r>
      <w:r>
        <w:rPr>
          <w:rFonts w:ascii="Times New Roman" w:hAnsi="Times New Roman" w:eastAsia="黑体" w:cs="Times New Roman"/>
          <w:bCs/>
          <w:sz w:val="24"/>
          <w:szCs w:val="24"/>
        </w:rPr>
        <w:t>弃渣场稳定分析</w:t>
      </w:r>
    </w:p>
    <w:p w14:paraId="0B13A09C">
      <w:pPr>
        <w:spacing w:line="360" w:lineRule="auto"/>
        <w:rPr>
          <w:rFonts w:ascii="Times New Roman" w:hAnsi="Times New Roman" w:cs="Times New Roman"/>
          <w:sz w:val="21"/>
          <w:szCs w:val="24"/>
        </w:rPr>
      </w:pPr>
      <w:r>
        <w:rPr>
          <w:rFonts w:ascii="Times New Roman" w:hAnsi="Times New Roman" w:eastAsia="黑体" w:cs="Times New Roman"/>
          <w:b/>
          <w:sz w:val="21"/>
          <w:szCs w:val="21"/>
        </w:rPr>
        <w:t>5.2.15</w:t>
      </w:r>
      <w:r>
        <w:rPr>
          <w:rFonts w:ascii="Times New Roman" w:hAnsi="Times New Roman" w:cs="Times New Roman"/>
          <w:sz w:val="21"/>
          <w:szCs w:val="24"/>
        </w:rPr>
        <w:t xml:space="preserve">  弃渣场稳定分析包括弃渣场的整体稳定和局部稳定分析。稳定分析应根据弃渣场级别，地形、地质，弃渣堆置形式，堆置高度，弃渣组成，弃渣物理力学参数等选择有代表性的断面进行计算分析。</w:t>
      </w:r>
    </w:p>
    <w:p w14:paraId="7CB7C061">
      <w:pPr>
        <w:spacing w:line="360" w:lineRule="auto"/>
        <w:rPr>
          <w:rFonts w:ascii="Times New Roman" w:hAnsi="Times New Roman" w:cs="Times New Roman"/>
          <w:sz w:val="21"/>
          <w:szCs w:val="24"/>
        </w:rPr>
      </w:pPr>
      <w:r>
        <w:rPr>
          <w:rFonts w:ascii="Times New Roman" w:hAnsi="Times New Roman" w:cs="Times New Roman"/>
          <w:b/>
          <w:sz w:val="21"/>
          <w:szCs w:val="24"/>
        </w:rPr>
        <w:t>5.2.16</w:t>
      </w:r>
      <w:r>
        <w:rPr>
          <w:rFonts w:ascii="Times New Roman" w:hAnsi="Times New Roman" w:cs="Times New Roman"/>
          <w:sz w:val="21"/>
          <w:szCs w:val="24"/>
        </w:rPr>
        <w:t xml:space="preserve">  弃渣场应按最大堆渣高度并选取可能最不利断面进行稳定计算。</w:t>
      </w:r>
    </w:p>
    <w:p w14:paraId="3B4C2ABC">
      <w:pPr>
        <w:spacing w:line="360" w:lineRule="auto"/>
        <w:rPr>
          <w:rFonts w:ascii="Times New Roman" w:hAnsi="Times New Roman" w:cs="Times New Roman"/>
          <w:sz w:val="21"/>
          <w:szCs w:val="24"/>
        </w:rPr>
      </w:pPr>
      <w:r>
        <w:rPr>
          <w:rFonts w:ascii="Times New Roman" w:hAnsi="Times New Roman" w:cs="Times New Roman"/>
          <w:b/>
          <w:sz w:val="21"/>
          <w:szCs w:val="24"/>
        </w:rPr>
        <w:t>5.2.17</w:t>
      </w:r>
      <w:r>
        <w:rPr>
          <w:rFonts w:ascii="Times New Roman" w:hAnsi="Times New Roman" w:cs="Times New Roman"/>
          <w:sz w:val="21"/>
          <w:szCs w:val="24"/>
        </w:rPr>
        <w:t xml:space="preserve">  渣体应按组成情况分类确定物理力学参数，计算范围内有多种组成的，物理力学参数应采用加权平均值，下部渣体性质较差时，物理力学参数应取低值。</w:t>
      </w:r>
    </w:p>
    <w:p w14:paraId="5020F0CE">
      <w:pPr>
        <w:spacing w:line="360" w:lineRule="auto"/>
        <w:rPr>
          <w:rFonts w:ascii="Times New Roman" w:hAnsi="Times New Roman" w:cs="Times New Roman"/>
          <w:sz w:val="21"/>
          <w:szCs w:val="24"/>
        </w:rPr>
      </w:pPr>
      <w:r>
        <w:rPr>
          <w:rFonts w:ascii="Times New Roman" w:hAnsi="Times New Roman" w:cs="Times New Roman"/>
          <w:b/>
          <w:sz w:val="21"/>
          <w:szCs w:val="24"/>
        </w:rPr>
        <w:t>5.2.18</w:t>
      </w:r>
      <w:r>
        <w:rPr>
          <w:rFonts w:ascii="Times New Roman" w:hAnsi="Times New Roman" w:cs="Times New Roman"/>
          <w:sz w:val="21"/>
          <w:szCs w:val="24"/>
        </w:rPr>
        <w:t xml:space="preserve">  弃渣场级别为3级及以上时，弃渣物理力学参数值应采用试验方式确定，工程前期阶段应采用地质勘探产生的弃渣或附近工程产生的同类岩土进行试验获取，实施阶段应从工程实际产生弃渣进行试验获取。</w:t>
      </w:r>
    </w:p>
    <w:p w14:paraId="4A2CE3A1">
      <w:pPr>
        <w:spacing w:line="360" w:lineRule="auto"/>
        <w:rPr>
          <w:rFonts w:ascii="Times New Roman" w:hAnsi="Times New Roman" w:cs="Times New Roman"/>
          <w:sz w:val="21"/>
          <w:szCs w:val="24"/>
        </w:rPr>
      </w:pPr>
      <w:r>
        <w:rPr>
          <w:rFonts w:ascii="Times New Roman" w:hAnsi="Times New Roman" w:cs="Times New Roman"/>
          <w:b/>
          <w:sz w:val="21"/>
          <w:szCs w:val="24"/>
        </w:rPr>
        <w:t>5.2.19</w:t>
      </w:r>
      <w:r>
        <w:rPr>
          <w:rFonts w:ascii="Times New Roman" w:hAnsi="Times New Roman" w:cs="Times New Roman"/>
          <w:sz w:val="21"/>
          <w:szCs w:val="24"/>
        </w:rPr>
        <w:t xml:space="preserve">  弃渣场基底物理力学参数应按清表后建基面的地质条件分区分片确定，一般应按占地面积加权平均后确定；当基底受不良工程地质、水文地质影响较大时，物理力学参数应选用不良土层的参数值。</w:t>
      </w:r>
    </w:p>
    <w:p w14:paraId="7CB9CF17">
      <w:pPr>
        <w:spacing w:line="360" w:lineRule="auto"/>
        <w:rPr>
          <w:rFonts w:ascii="Times New Roman" w:hAnsi="Times New Roman" w:cs="Times New Roman"/>
          <w:sz w:val="21"/>
          <w:szCs w:val="24"/>
        </w:rPr>
      </w:pPr>
      <w:r>
        <w:rPr>
          <w:rFonts w:ascii="Times New Roman" w:hAnsi="Times New Roman" w:eastAsia="黑体" w:cs="Times New Roman"/>
          <w:b/>
          <w:sz w:val="21"/>
          <w:szCs w:val="21"/>
        </w:rPr>
        <w:t>5.2.20</w:t>
      </w:r>
      <w:r>
        <w:rPr>
          <w:rFonts w:ascii="Times New Roman" w:hAnsi="Times New Roman" w:cs="Times New Roman"/>
          <w:sz w:val="21"/>
          <w:szCs w:val="24"/>
        </w:rPr>
        <w:t xml:space="preserve">  弃渣场抗滑稳定计算应分为正常运用工况和非常运用工况。</w:t>
      </w:r>
    </w:p>
    <w:p w14:paraId="669EFB69">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 xml:space="preserve">1  </w:t>
      </w:r>
      <w:r>
        <w:rPr>
          <w:rFonts w:ascii="Times New Roman" w:hAnsi="Times New Roman" w:cs="Times New Roman"/>
          <w:sz w:val="21"/>
          <w:szCs w:val="24"/>
        </w:rPr>
        <w:t>正常运用工况：指弃渣场在正常和持久的条件下运用，弃渣场处在施工期或正常运行情况时，渣体无渗流或稳定渗流。</w:t>
      </w:r>
    </w:p>
    <w:p w14:paraId="782FF191">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 xml:space="preserve">2  </w:t>
      </w:r>
      <w:r>
        <w:rPr>
          <w:rFonts w:ascii="Times New Roman" w:hAnsi="Times New Roman" w:cs="Times New Roman"/>
          <w:sz w:val="21"/>
          <w:szCs w:val="24"/>
        </w:rPr>
        <w:t>非常运用工况：弃渣场在正常工况下遇暴雨或连续降雨情况或弃渣场在正常工况下遭遇Ⅶ度以上（含Ⅶ度）地震情况；</w:t>
      </w:r>
    </w:p>
    <w:p w14:paraId="573D70AA">
      <w:pPr>
        <w:spacing w:line="360" w:lineRule="auto"/>
        <w:rPr>
          <w:rFonts w:ascii="Times New Roman" w:hAnsi="Times New Roman" w:cs="Times New Roman"/>
          <w:sz w:val="21"/>
          <w:szCs w:val="24"/>
        </w:rPr>
      </w:pPr>
      <w:r>
        <w:rPr>
          <w:rFonts w:ascii="Times New Roman" w:hAnsi="Times New Roman" w:eastAsia="黑体" w:cs="Times New Roman"/>
          <w:b/>
          <w:sz w:val="21"/>
          <w:szCs w:val="21"/>
        </w:rPr>
        <w:t>5.2.21</w:t>
      </w:r>
      <w:r>
        <w:rPr>
          <w:rFonts w:ascii="Times New Roman" w:hAnsi="Times New Roman" w:cs="Times New Roman"/>
          <w:sz w:val="21"/>
          <w:szCs w:val="24"/>
        </w:rPr>
        <w:t xml:space="preserve">  弃渣场荷载应主要包括自重荷载、水荷载、施工机械附加荷载、加固力、地震</w:t>
      </w:r>
      <w:bookmarkStart w:id="500" w:name="_Hlk198138106"/>
      <w:r>
        <w:rPr>
          <w:rFonts w:ascii="Times New Roman" w:hAnsi="Times New Roman" w:cs="Times New Roman"/>
          <w:sz w:val="21"/>
          <w:szCs w:val="24"/>
        </w:rPr>
        <w:t>荷载</w:t>
      </w:r>
      <w:bookmarkEnd w:id="500"/>
      <w:r>
        <w:rPr>
          <w:rFonts w:ascii="Times New Roman" w:hAnsi="Times New Roman" w:cs="Times New Roman"/>
          <w:sz w:val="21"/>
          <w:szCs w:val="24"/>
        </w:rPr>
        <w:t>，其类别划分应符合下列要求：</w:t>
      </w:r>
    </w:p>
    <w:p w14:paraId="32E51D83">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 xml:space="preserve">1  </w:t>
      </w:r>
      <w:r>
        <w:rPr>
          <w:rFonts w:ascii="Times New Roman" w:hAnsi="Times New Roman" w:cs="Times New Roman"/>
          <w:sz w:val="21"/>
          <w:szCs w:val="24"/>
        </w:rPr>
        <w:t>弃渣场岩土体及附属设施的自重，宜包括：岩土体自重、附属设施自重和顶部其他设备自重等。</w:t>
      </w:r>
    </w:p>
    <w:p w14:paraId="1F242A56">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 xml:space="preserve">2  </w:t>
      </w:r>
      <w:r>
        <w:rPr>
          <w:rFonts w:ascii="Times New Roman" w:hAnsi="Times New Roman" w:cs="Times New Roman"/>
          <w:sz w:val="21"/>
          <w:szCs w:val="24"/>
        </w:rPr>
        <w:t>地下水产生的荷载，宜包括：正常运用工况地下水产生的荷载、挡水坝拦蓄后引起的地下水产生的荷载、含水量较高的细颗粒弃渣引起的地下水产生的荷载、暴雨或连续降雨引起的地下水产生的荷载等。</w:t>
      </w:r>
    </w:p>
    <w:p w14:paraId="2EF2686A">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 xml:space="preserve">3  </w:t>
      </w:r>
      <w:r>
        <w:rPr>
          <w:rFonts w:ascii="Times New Roman" w:hAnsi="Times New Roman" w:cs="Times New Roman"/>
          <w:sz w:val="21"/>
          <w:szCs w:val="24"/>
        </w:rPr>
        <w:t>施工机械附加荷载</w:t>
      </w:r>
    </w:p>
    <w:p w14:paraId="499E451D">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 xml:space="preserve">4  </w:t>
      </w:r>
      <w:r>
        <w:rPr>
          <w:rFonts w:ascii="Times New Roman" w:hAnsi="Times New Roman" w:cs="Times New Roman"/>
          <w:sz w:val="21"/>
          <w:szCs w:val="24"/>
        </w:rPr>
        <w:t>弃渣场进行挡护时施加的加固力。</w:t>
      </w:r>
    </w:p>
    <w:p w14:paraId="079C613B">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 xml:space="preserve">5  </w:t>
      </w:r>
      <w:r>
        <w:rPr>
          <w:rFonts w:ascii="Times New Roman" w:hAnsi="Times New Roman" w:cs="Times New Roman"/>
          <w:sz w:val="21"/>
          <w:szCs w:val="24"/>
        </w:rPr>
        <w:t>地震荷载。</w:t>
      </w:r>
    </w:p>
    <w:p w14:paraId="240E45B0">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 xml:space="preserve">6  </w:t>
      </w:r>
      <w:r>
        <w:rPr>
          <w:rFonts w:ascii="Times New Roman" w:hAnsi="Times New Roman" w:cs="Times New Roman"/>
          <w:sz w:val="21"/>
          <w:szCs w:val="24"/>
        </w:rPr>
        <w:t>其他荷载。</w:t>
      </w:r>
    </w:p>
    <w:p w14:paraId="0C22DA55">
      <w:pPr>
        <w:spacing w:line="360" w:lineRule="auto"/>
        <w:rPr>
          <w:rFonts w:ascii="Times New Roman" w:hAnsi="Times New Roman" w:cs="Times New Roman"/>
          <w:sz w:val="21"/>
          <w:szCs w:val="24"/>
        </w:rPr>
      </w:pPr>
      <w:r>
        <w:rPr>
          <w:rFonts w:ascii="Times New Roman" w:hAnsi="Times New Roman" w:eastAsia="黑体" w:cs="Times New Roman"/>
          <w:b/>
          <w:sz w:val="21"/>
          <w:szCs w:val="21"/>
        </w:rPr>
        <w:t>5.2.22</w:t>
      </w:r>
      <w:r>
        <w:rPr>
          <w:rFonts w:ascii="Times New Roman" w:hAnsi="Times New Roman" w:cs="Times New Roman"/>
          <w:sz w:val="21"/>
          <w:szCs w:val="24"/>
        </w:rPr>
        <w:t xml:space="preserve">  荷载组合应符合表5.2.</w:t>
      </w:r>
      <w:r>
        <w:rPr>
          <w:rFonts w:hint="eastAsia" w:ascii="Times New Roman" w:hAnsi="Times New Roman" w:cs="Times New Roman"/>
          <w:sz w:val="21"/>
          <w:szCs w:val="24"/>
        </w:rPr>
        <w:t>22</w:t>
      </w:r>
      <w:r>
        <w:rPr>
          <w:rFonts w:ascii="Times New Roman" w:hAnsi="Times New Roman" w:cs="Times New Roman"/>
          <w:sz w:val="21"/>
          <w:szCs w:val="24"/>
        </w:rPr>
        <w:t>的规定。</w:t>
      </w:r>
    </w:p>
    <w:p w14:paraId="7E113D8B">
      <w:pPr>
        <w:jc w:val="center"/>
        <w:rPr>
          <w:rFonts w:ascii="Times New Roman" w:hAnsi="Times New Roman" w:eastAsia="黑体" w:cs="Times New Roman"/>
          <w:sz w:val="18"/>
          <w:szCs w:val="18"/>
        </w:rPr>
      </w:pPr>
      <w:r>
        <w:rPr>
          <w:rFonts w:ascii="Times New Roman" w:hAnsi="Times New Roman" w:cs="Times New Roman"/>
          <w:sz w:val="18"/>
          <w:szCs w:val="18"/>
        </w:rPr>
        <w:t xml:space="preserve">表5.2.22 </w:t>
      </w:r>
      <w:r>
        <w:rPr>
          <w:rFonts w:ascii="Times New Roman" w:hAnsi="Times New Roman" w:eastAsia="黑体" w:cs="Times New Roman"/>
          <w:sz w:val="18"/>
          <w:szCs w:val="18"/>
        </w:rPr>
        <w:t xml:space="preserve"> 荷载组合</w:t>
      </w:r>
    </w:p>
    <w:tbl>
      <w:tblPr>
        <w:tblStyle w:val="11"/>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430"/>
        <w:gridCol w:w="1124"/>
        <w:gridCol w:w="584"/>
        <w:gridCol w:w="794"/>
        <w:gridCol w:w="1048"/>
        <w:gridCol w:w="794"/>
        <w:gridCol w:w="690"/>
        <w:gridCol w:w="751"/>
        <w:gridCol w:w="1449"/>
      </w:tblGrid>
      <w:tr w14:paraId="04F665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trPr>
        <w:tc>
          <w:tcPr>
            <w:tcW w:w="368" w:type="pct"/>
            <w:vMerge w:val="restart"/>
            <w:vAlign w:val="center"/>
          </w:tcPr>
          <w:p w14:paraId="08CC7AA0">
            <w:pPr>
              <w:jc w:val="center"/>
              <w:rPr>
                <w:rFonts w:ascii="Times New Roman" w:hAnsi="Times New Roman" w:cs="Times New Roman"/>
                <w:sz w:val="18"/>
                <w:szCs w:val="18"/>
              </w:rPr>
            </w:pPr>
            <w:r>
              <w:rPr>
                <w:rFonts w:ascii="Times New Roman" w:hAnsi="Times New Roman" w:cs="Times New Roman"/>
                <w:sz w:val="18"/>
                <w:szCs w:val="18"/>
              </w:rPr>
              <w:t>设计</w:t>
            </w:r>
          </w:p>
          <w:p w14:paraId="285C8491">
            <w:pPr>
              <w:jc w:val="center"/>
              <w:rPr>
                <w:rFonts w:ascii="Times New Roman" w:hAnsi="Times New Roman" w:cs="Times New Roman"/>
                <w:sz w:val="18"/>
                <w:szCs w:val="18"/>
              </w:rPr>
            </w:pPr>
            <w:r>
              <w:rPr>
                <w:rFonts w:ascii="Times New Roman" w:hAnsi="Times New Roman" w:cs="Times New Roman"/>
                <w:sz w:val="18"/>
                <w:szCs w:val="18"/>
              </w:rPr>
              <w:t>状况</w:t>
            </w:r>
          </w:p>
        </w:tc>
        <w:tc>
          <w:tcPr>
            <w:tcW w:w="260" w:type="pct"/>
            <w:vMerge w:val="restart"/>
            <w:vAlign w:val="center"/>
          </w:tcPr>
          <w:p w14:paraId="062728FC">
            <w:pPr>
              <w:jc w:val="center"/>
              <w:rPr>
                <w:rFonts w:ascii="Times New Roman" w:hAnsi="Times New Roman" w:cs="Times New Roman"/>
                <w:sz w:val="18"/>
                <w:szCs w:val="18"/>
              </w:rPr>
            </w:pPr>
            <w:r>
              <w:rPr>
                <w:rFonts w:ascii="Times New Roman" w:hAnsi="Times New Roman" w:cs="Times New Roman"/>
                <w:sz w:val="18"/>
                <w:szCs w:val="18"/>
              </w:rPr>
              <w:t>荷载</w:t>
            </w:r>
          </w:p>
          <w:p w14:paraId="3DFEB67F">
            <w:pPr>
              <w:jc w:val="center"/>
              <w:rPr>
                <w:rFonts w:ascii="Times New Roman" w:hAnsi="Times New Roman" w:cs="Times New Roman"/>
                <w:sz w:val="18"/>
                <w:szCs w:val="18"/>
              </w:rPr>
            </w:pPr>
            <w:r>
              <w:rPr>
                <w:rFonts w:ascii="Times New Roman" w:hAnsi="Times New Roman" w:cs="Times New Roman"/>
                <w:sz w:val="18"/>
                <w:szCs w:val="18"/>
              </w:rPr>
              <w:t>组合</w:t>
            </w:r>
          </w:p>
        </w:tc>
        <w:tc>
          <w:tcPr>
            <w:tcW w:w="679" w:type="pct"/>
            <w:vMerge w:val="restart"/>
            <w:vAlign w:val="center"/>
          </w:tcPr>
          <w:p w14:paraId="5B48526E">
            <w:pPr>
              <w:jc w:val="center"/>
              <w:rPr>
                <w:rFonts w:ascii="Times New Roman" w:hAnsi="Times New Roman" w:cs="Times New Roman"/>
                <w:sz w:val="18"/>
                <w:szCs w:val="18"/>
              </w:rPr>
            </w:pPr>
            <w:r>
              <w:rPr>
                <w:rFonts w:ascii="Times New Roman" w:hAnsi="Times New Roman" w:cs="Times New Roman"/>
                <w:sz w:val="18"/>
                <w:szCs w:val="18"/>
              </w:rPr>
              <w:t>主要考虑情况</w:t>
            </w:r>
          </w:p>
        </w:tc>
        <w:tc>
          <w:tcPr>
            <w:tcW w:w="2817" w:type="pct"/>
            <w:gridSpan w:val="6"/>
            <w:vAlign w:val="center"/>
          </w:tcPr>
          <w:p w14:paraId="2B5D7C19">
            <w:pPr>
              <w:jc w:val="center"/>
              <w:rPr>
                <w:rFonts w:ascii="Times New Roman" w:hAnsi="Times New Roman" w:cs="Times New Roman"/>
                <w:sz w:val="18"/>
                <w:szCs w:val="18"/>
              </w:rPr>
            </w:pPr>
            <w:r>
              <w:rPr>
                <w:rFonts w:ascii="Times New Roman" w:hAnsi="Times New Roman" w:cs="Times New Roman"/>
                <w:sz w:val="18"/>
                <w:szCs w:val="18"/>
              </w:rPr>
              <w:t>荷载类别</w:t>
            </w:r>
          </w:p>
        </w:tc>
        <w:tc>
          <w:tcPr>
            <w:tcW w:w="875" w:type="pct"/>
            <w:vAlign w:val="center"/>
          </w:tcPr>
          <w:p w14:paraId="737FA6FA">
            <w:pPr>
              <w:jc w:val="center"/>
              <w:rPr>
                <w:rFonts w:ascii="Times New Roman" w:hAnsi="Times New Roman" w:cs="Times New Roman"/>
                <w:sz w:val="18"/>
                <w:szCs w:val="18"/>
              </w:rPr>
            </w:pPr>
            <w:r>
              <w:rPr>
                <w:rFonts w:ascii="Times New Roman" w:hAnsi="Times New Roman" w:cs="Times New Roman"/>
                <w:sz w:val="18"/>
                <w:szCs w:val="18"/>
              </w:rPr>
              <w:t>备注</w:t>
            </w:r>
          </w:p>
        </w:tc>
      </w:tr>
      <w:tr w14:paraId="1E7FB0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trPr>
        <w:tc>
          <w:tcPr>
            <w:tcW w:w="368" w:type="pct"/>
            <w:vMerge w:val="continue"/>
            <w:vAlign w:val="center"/>
          </w:tcPr>
          <w:p w14:paraId="49845946">
            <w:pPr>
              <w:jc w:val="center"/>
              <w:rPr>
                <w:rFonts w:ascii="Times New Roman" w:hAnsi="Times New Roman" w:cs="Times New Roman"/>
                <w:sz w:val="18"/>
                <w:szCs w:val="18"/>
              </w:rPr>
            </w:pPr>
          </w:p>
        </w:tc>
        <w:tc>
          <w:tcPr>
            <w:tcW w:w="260" w:type="pct"/>
            <w:vMerge w:val="continue"/>
            <w:vAlign w:val="center"/>
          </w:tcPr>
          <w:p w14:paraId="399A20D9">
            <w:pPr>
              <w:jc w:val="center"/>
              <w:rPr>
                <w:rFonts w:ascii="Times New Roman" w:hAnsi="Times New Roman" w:cs="Times New Roman"/>
                <w:sz w:val="18"/>
                <w:szCs w:val="18"/>
              </w:rPr>
            </w:pPr>
          </w:p>
        </w:tc>
        <w:tc>
          <w:tcPr>
            <w:tcW w:w="679" w:type="pct"/>
            <w:vMerge w:val="continue"/>
            <w:vAlign w:val="center"/>
          </w:tcPr>
          <w:p w14:paraId="78223E4B">
            <w:pPr>
              <w:jc w:val="center"/>
              <w:rPr>
                <w:rFonts w:ascii="Times New Roman" w:hAnsi="Times New Roman" w:cs="Times New Roman"/>
                <w:sz w:val="18"/>
                <w:szCs w:val="18"/>
              </w:rPr>
            </w:pPr>
          </w:p>
        </w:tc>
        <w:tc>
          <w:tcPr>
            <w:tcW w:w="353" w:type="pct"/>
            <w:vAlign w:val="center"/>
          </w:tcPr>
          <w:p w14:paraId="6DBA7FE9">
            <w:pPr>
              <w:jc w:val="center"/>
              <w:rPr>
                <w:rFonts w:ascii="Times New Roman" w:hAnsi="Times New Roman" w:cs="Times New Roman"/>
                <w:sz w:val="18"/>
                <w:szCs w:val="18"/>
              </w:rPr>
            </w:pPr>
            <w:r>
              <w:rPr>
                <w:rFonts w:ascii="Times New Roman" w:hAnsi="Times New Roman" w:cs="Times New Roman"/>
                <w:sz w:val="18"/>
                <w:szCs w:val="18"/>
              </w:rPr>
              <w:t>自重</w:t>
            </w:r>
          </w:p>
        </w:tc>
        <w:tc>
          <w:tcPr>
            <w:tcW w:w="480" w:type="pct"/>
            <w:vAlign w:val="center"/>
          </w:tcPr>
          <w:p w14:paraId="495B40A1">
            <w:pPr>
              <w:jc w:val="center"/>
              <w:rPr>
                <w:rFonts w:ascii="Times New Roman" w:hAnsi="Times New Roman" w:cs="Times New Roman"/>
                <w:sz w:val="18"/>
                <w:szCs w:val="18"/>
              </w:rPr>
            </w:pPr>
            <w:r>
              <w:rPr>
                <w:rFonts w:ascii="Times New Roman" w:hAnsi="Times New Roman" w:cs="Times New Roman"/>
                <w:sz w:val="18"/>
                <w:szCs w:val="18"/>
              </w:rPr>
              <w:t>地下水</w:t>
            </w:r>
          </w:p>
        </w:tc>
        <w:tc>
          <w:tcPr>
            <w:tcW w:w="633" w:type="pct"/>
            <w:vAlign w:val="center"/>
          </w:tcPr>
          <w:p w14:paraId="19A091DD">
            <w:pPr>
              <w:jc w:val="center"/>
              <w:rPr>
                <w:rFonts w:ascii="Times New Roman" w:hAnsi="Times New Roman" w:cs="Times New Roman"/>
                <w:sz w:val="18"/>
                <w:szCs w:val="18"/>
              </w:rPr>
            </w:pPr>
            <w:r>
              <w:rPr>
                <w:rFonts w:ascii="Times New Roman" w:hAnsi="Times New Roman" w:cs="Times New Roman"/>
                <w:sz w:val="18"/>
                <w:szCs w:val="18"/>
              </w:rPr>
              <w:t>施工机械附加荷载</w:t>
            </w:r>
          </w:p>
        </w:tc>
        <w:tc>
          <w:tcPr>
            <w:tcW w:w="480" w:type="pct"/>
            <w:vAlign w:val="center"/>
          </w:tcPr>
          <w:p w14:paraId="228A33CA">
            <w:pPr>
              <w:jc w:val="center"/>
              <w:rPr>
                <w:rFonts w:ascii="Times New Roman" w:hAnsi="Times New Roman" w:cs="Times New Roman"/>
                <w:sz w:val="18"/>
                <w:szCs w:val="18"/>
              </w:rPr>
            </w:pPr>
            <w:r>
              <w:rPr>
                <w:rFonts w:ascii="Times New Roman" w:hAnsi="Times New Roman" w:cs="Times New Roman"/>
                <w:sz w:val="18"/>
                <w:szCs w:val="18"/>
              </w:rPr>
              <w:t>加固力</w:t>
            </w:r>
          </w:p>
        </w:tc>
        <w:tc>
          <w:tcPr>
            <w:tcW w:w="417" w:type="pct"/>
            <w:vAlign w:val="center"/>
          </w:tcPr>
          <w:p w14:paraId="2290B62D">
            <w:pPr>
              <w:jc w:val="center"/>
              <w:rPr>
                <w:rFonts w:ascii="Times New Roman" w:hAnsi="Times New Roman" w:cs="Times New Roman"/>
                <w:sz w:val="18"/>
                <w:szCs w:val="18"/>
              </w:rPr>
            </w:pPr>
            <w:r>
              <w:rPr>
                <w:rFonts w:ascii="Times New Roman" w:hAnsi="Times New Roman" w:cs="Times New Roman"/>
                <w:sz w:val="18"/>
                <w:szCs w:val="18"/>
              </w:rPr>
              <w:t>地震</w:t>
            </w:r>
          </w:p>
          <w:p w14:paraId="584FB868">
            <w:pPr>
              <w:jc w:val="center"/>
              <w:rPr>
                <w:rFonts w:ascii="Times New Roman" w:hAnsi="Times New Roman" w:cs="Times New Roman"/>
                <w:sz w:val="18"/>
                <w:szCs w:val="18"/>
              </w:rPr>
            </w:pPr>
            <w:r>
              <w:rPr>
                <w:rFonts w:ascii="Times New Roman" w:hAnsi="Times New Roman" w:cs="Times New Roman"/>
                <w:sz w:val="18"/>
                <w:szCs w:val="18"/>
              </w:rPr>
              <w:t>荷载</w:t>
            </w:r>
          </w:p>
        </w:tc>
        <w:tc>
          <w:tcPr>
            <w:tcW w:w="453" w:type="pct"/>
            <w:vAlign w:val="center"/>
          </w:tcPr>
          <w:p w14:paraId="2241A304">
            <w:pPr>
              <w:jc w:val="center"/>
              <w:rPr>
                <w:rFonts w:ascii="Times New Roman" w:hAnsi="Times New Roman" w:cs="Times New Roman"/>
                <w:sz w:val="18"/>
                <w:szCs w:val="18"/>
              </w:rPr>
            </w:pPr>
            <w:r>
              <w:rPr>
                <w:rFonts w:ascii="Times New Roman" w:hAnsi="Times New Roman" w:cs="Times New Roman"/>
                <w:sz w:val="18"/>
                <w:szCs w:val="18"/>
              </w:rPr>
              <w:t>其他</w:t>
            </w:r>
          </w:p>
          <w:p w14:paraId="1E81A2E8">
            <w:pPr>
              <w:jc w:val="center"/>
              <w:rPr>
                <w:rFonts w:ascii="Times New Roman" w:hAnsi="Times New Roman" w:cs="Times New Roman"/>
                <w:sz w:val="18"/>
                <w:szCs w:val="18"/>
              </w:rPr>
            </w:pPr>
            <w:r>
              <w:rPr>
                <w:rFonts w:ascii="Times New Roman" w:hAnsi="Times New Roman" w:cs="Times New Roman"/>
                <w:sz w:val="18"/>
                <w:szCs w:val="18"/>
              </w:rPr>
              <w:t>荷载</w:t>
            </w:r>
          </w:p>
        </w:tc>
        <w:tc>
          <w:tcPr>
            <w:tcW w:w="875" w:type="pct"/>
            <w:vAlign w:val="center"/>
          </w:tcPr>
          <w:p w14:paraId="21048543">
            <w:pPr>
              <w:jc w:val="center"/>
              <w:rPr>
                <w:rFonts w:ascii="Times New Roman" w:hAnsi="Times New Roman" w:cs="Times New Roman"/>
                <w:sz w:val="18"/>
                <w:szCs w:val="18"/>
              </w:rPr>
            </w:pPr>
          </w:p>
        </w:tc>
      </w:tr>
      <w:tr w14:paraId="66C51A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68" w:type="pct"/>
            <w:vMerge w:val="restart"/>
            <w:vAlign w:val="center"/>
          </w:tcPr>
          <w:p w14:paraId="42F1D2B9">
            <w:pPr>
              <w:jc w:val="center"/>
              <w:rPr>
                <w:rFonts w:ascii="Times New Roman" w:hAnsi="Times New Roman" w:cs="Times New Roman"/>
                <w:sz w:val="18"/>
                <w:szCs w:val="18"/>
              </w:rPr>
            </w:pPr>
            <w:r>
              <w:rPr>
                <w:rFonts w:ascii="Times New Roman" w:hAnsi="Times New Roman" w:cs="Times New Roman"/>
                <w:sz w:val="18"/>
                <w:szCs w:val="18"/>
              </w:rPr>
              <w:t>正常运用工况</w:t>
            </w:r>
          </w:p>
        </w:tc>
        <w:tc>
          <w:tcPr>
            <w:tcW w:w="260" w:type="pct"/>
            <w:vMerge w:val="restart"/>
            <w:vAlign w:val="center"/>
          </w:tcPr>
          <w:p w14:paraId="4C02C91F">
            <w:pPr>
              <w:jc w:val="center"/>
              <w:rPr>
                <w:rFonts w:ascii="Times New Roman" w:hAnsi="Times New Roman" w:cs="Times New Roman"/>
                <w:sz w:val="18"/>
                <w:szCs w:val="18"/>
              </w:rPr>
            </w:pPr>
            <w:r>
              <w:rPr>
                <w:rFonts w:ascii="Times New Roman" w:hAnsi="Times New Roman" w:cs="Times New Roman"/>
                <w:sz w:val="18"/>
                <w:szCs w:val="18"/>
              </w:rPr>
              <w:t>基本组合</w:t>
            </w:r>
          </w:p>
        </w:tc>
        <w:tc>
          <w:tcPr>
            <w:tcW w:w="679" w:type="pct"/>
            <w:vAlign w:val="center"/>
          </w:tcPr>
          <w:p w14:paraId="54F51A77">
            <w:pPr>
              <w:jc w:val="center"/>
              <w:rPr>
                <w:rFonts w:ascii="Times New Roman" w:hAnsi="Times New Roman" w:cs="Times New Roman"/>
                <w:sz w:val="18"/>
                <w:szCs w:val="18"/>
              </w:rPr>
            </w:pPr>
            <w:r>
              <w:rPr>
                <w:rFonts w:ascii="Times New Roman" w:hAnsi="Times New Roman" w:cs="Times New Roman"/>
                <w:sz w:val="18"/>
                <w:szCs w:val="18"/>
              </w:rPr>
              <w:t>正常运用情况</w:t>
            </w:r>
          </w:p>
        </w:tc>
        <w:tc>
          <w:tcPr>
            <w:tcW w:w="353" w:type="pct"/>
            <w:vAlign w:val="center"/>
          </w:tcPr>
          <w:p w14:paraId="1E3767C7">
            <w:pPr>
              <w:jc w:val="center"/>
              <w:rPr>
                <w:rFonts w:ascii="Times New Roman" w:hAnsi="Times New Roman" w:cs="Times New Roman"/>
                <w:sz w:val="18"/>
                <w:szCs w:val="18"/>
              </w:rPr>
            </w:pPr>
            <w:r>
              <w:rPr>
                <w:rFonts w:ascii="Times New Roman" w:hAnsi="Times New Roman" w:cs="Times New Roman"/>
                <w:sz w:val="18"/>
                <w:szCs w:val="18"/>
              </w:rPr>
              <w:t>√</w:t>
            </w:r>
          </w:p>
        </w:tc>
        <w:tc>
          <w:tcPr>
            <w:tcW w:w="480" w:type="pct"/>
            <w:vAlign w:val="center"/>
          </w:tcPr>
          <w:p w14:paraId="4EEB65C8">
            <w:pPr>
              <w:jc w:val="center"/>
              <w:rPr>
                <w:rFonts w:ascii="Times New Roman" w:hAnsi="Times New Roman" w:cs="Times New Roman"/>
                <w:sz w:val="18"/>
                <w:szCs w:val="18"/>
              </w:rPr>
            </w:pPr>
            <w:r>
              <w:rPr>
                <w:rFonts w:ascii="Times New Roman" w:hAnsi="Times New Roman" w:cs="Times New Roman"/>
                <w:sz w:val="18"/>
                <w:szCs w:val="18"/>
              </w:rPr>
              <w:t>√</w:t>
            </w:r>
          </w:p>
        </w:tc>
        <w:tc>
          <w:tcPr>
            <w:tcW w:w="633" w:type="pct"/>
            <w:vAlign w:val="center"/>
          </w:tcPr>
          <w:p w14:paraId="1388192A">
            <w:pPr>
              <w:jc w:val="center"/>
              <w:rPr>
                <w:rFonts w:ascii="Times New Roman" w:hAnsi="Times New Roman" w:cs="Times New Roman"/>
                <w:sz w:val="18"/>
                <w:szCs w:val="18"/>
              </w:rPr>
            </w:pPr>
            <w:r>
              <w:rPr>
                <w:rFonts w:ascii="Times New Roman" w:hAnsi="Times New Roman" w:cs="Times New Roman"/>
                <w:sz w:val="18"/>
                <w:szCs w:val="18"/>
              </w:rPr>
              <w:t>—</w:t>
            </w:r>
          </w:p>
        </w:tc>
        <w:tc>
          <w:tcPr>
            <w:tcW w:w="480" w:type="pct"/>
            <w:vAlign w:val="center"/>
          </w:tcPr>
          <w:p w14:paraId="54F36553">
            <w:pPr>
              <w:jc w:val="center"/>
              <w:rPr>
                <w:rFonts w:ascii="Times New Roman" w:hAnsi="Times New Roman" w:cs="Times New Roman"/>
                <w:sz w:val="18"/>
                <w:szCs w:val="18"/>
              </w:rPr>
            </w:pPr>
            <w:r>
              <w:rPr>
                <w:rFonts w:ascii="Times New Roman" w:hAnsi="Times New Roman" w:cs="Times New Roman"/>
                <w:sz w:val="18"/>
                <w:szCs w:val="18"/>
              </w:rPr>
              <w:t>√</w:t>
            </w:r>
          </w:p>
        </w:tc>
        <w:tc>
          <w:tcPr>
            <w:tcW w:w="417" w:type="pct"/>
            <w:vAlign w:val="center"/>
          </w:tcPr>
          <w:p w14:paraId="6F0CF814">
            <w:pPr>
              <w:jc w:val="center"/>
              <w:rPr>
                <w:rFonts w:ascii="Times New Roman" w:hAnsi="Times New Roman" w:cs="Times New Roman"/>
                <w:sz w:val="18"/>
                <w:szCs w:val="18"/>
              </w:rPr>
            </w:pPr>
            <w:r>
              <w:rPr>
                <w:rFonts w:ascii="Times New Roman" w:hAnsi="Times New Roman" w:cs="Times New Roman"/>
                <w:sz w:val="18"/>
                <w:szCs w:val="18"/>
              </w:rPr>
              <w:t>—</w:t>
            </w:r>
          </w:p>
        </w:tc>
        <w:tc>
          <w:tcPr>
            <w:tcW w:w="453" w:type="pct"/>
            <w:vAlign w:val="center"/>
          </w:tcPr>
          <w:p w14:paraId="1153850D">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875" w:type="pct"/>
            <w:vAlign w:val="center"/>
          </w:tcPr>
          <w:p w14:paraId="79875844">
            <w:pPr>
              <w:jc w:val="center"/>
              <w:rPr>
                <w:rFonts w:ascii="Times New Roman" w:hAnsi="Times New Roman" w:cs="Times New Roman"/>
                <w:sz w:val="18"/>
                <w:szCs w:val="18"/>
              </w:rPr>
            </w:pPr>
          </w:p>
        </w:tc>
      </w:tr>
      <w:tr w14:paraId="22A2CA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68" w:type="pct"/>
            <w:vMerge w:val="continue"/>
            <w:vAlign w:val="center"/>
          </w:tcPr>
          <w:p w14:paraId="33B73C19">
            <w:pPr>
              <w:jc w:val="center"/>
              <w:rPr>
                <w:rFonts w:ascii="Times New Roman" w:hAnsi="Times New Roman" w:cs="Times New Roman"/>
                <w:sz w:val="18"/>
                <w:szCs w:val="18"/>
              </w:rPr>
            </w:pPr>
          </w:p>
        </w:tc>
        <w:tc>
          <w:tcPr>
            <w:tcW w:w="260" w:type="pct"/>
            <w:vMerge w:val="continue"/>
            <w:vAlign w:val="center"/>
          </w:tcPr>
          <w:p w14:paraId="2AD2A838">
            <w:pPr>
              <w:jc w:val="center"/>
              <w:rPr>
                <w:rFonts w:ascii="Times New Roman" w:hAnsi="Times New Roman" w:cs="Times New Roman"/>
                <w:sz w:val="18"/>
                <w:szCs w:val="18"/>
              </w:rPr>
            </w:pPr>
          </w:p>
        </w:tc>
        <w:tc>
          <w:tcPr>
            <w:tcW w:w="679" w:type="pct"/>
            <w:vAlign w:val="center"/>
          </w:tcPr>
          <w:p w14:paraId="2D444918">
            <w:pPr>
              <w:jc w:val="center"/>
              <w:rPr>
                <w:rFonts w:ascii="Times New Roman" w:hAnsi="Times New Roman" w:cs="Times New Roman"/>
                <w:sz w:val="18"/>
                <w:szCs w:val="18"/>
              </w:rPr>
            </w:pPr>
            <w:r>
              <w:rPr>
                <w:rFonts w:ascii="Times New Roman" w:hAnsi="Times New Roman" w:cs="Times New Roman"/>
                <w:sz w:val="18"/>
                <w:szCs w:val="18"/>
              </w:rPr>
              <w:t>上游挡水坝库内存在水位情况</w:t>
            </w:r>
          </w:p>
        </w:tc>
        <w:tc>
          <w:tcPr>
            <w:tcW w:w="353" w:type="pct"/>
            <w:vAlign w:val="center"/>
          </w:tcPr>
          <w:p w14:paraId="21678308">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480" w:type="pct"/>
            <w:vAlign w:val="center"/>
          </w:tcPr>
          <w:p w14:paraId="60365358">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633" w:type="pct"/>
            <w:vAlign w:val="center"/>
          </w:tcPr>
          <w:p w14:paraId="30713E8C">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480" w:type="pct"/>
            <w:vAlign w:val="center"/>
          </w:tcPr>
          <w:p w14:paraId="2E75E1B9">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417" w:type="pct"/>
            <w:vAlign w:val="center"/>
          </w:tcPr>
          <w:p w14:paraId="6B4DD655">
            <w:pPr>
              <w:jc w:val="center"/>
              <w:rPr>
                <w:rFonts w:ascii="Times New Roman" w:hAnsi="Times New Roman" w:cs="Times New Roman"/>
                <w:sz w:val="18"/>
                <w:szCs w:val="18"/>
              </w:rPr>
            </w:pPr>
            <w:r>
              <w:rPr>
                <w:rFonts w:ascii="Times New Roman" w:hAnsi="Times New Roman" w:cs="Times New Roman"/>
                <w:sz w:val="18"/>
                <w:szCs w:val="18"/>
              </w:rPr>
              <w:t>—</w:t>
            </w:r>
          </w:p>
        </w:tc>
        <w:tc>
          <w:tcPr>
            <w:tcW w:w="453" w:type="pct"/>
            <w:vAlign w:val="center"/>
          </w:tcPr>
          <w:p w14:paraId="02AA90ED">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875" w:type="pct"/>
            <w:vAlign w:val="center"/>
          </w:tcPr>
          <w:p w14:paraId="5BEDEB91">
            <w:pPr>
              <w:jc w:val="center"/>
              <w:rPr>
                <w:rFonts w:ascii="Times New Roman" w:hAnsi="Times New Roman" w:cs="Times New Roman"/>
                <w:sz w:val="18"/>
                <w:szCs w:val="18"/>
              </w:rPr>
            </w:pPr>
            <w:r>
              <w:rPr>
                <w:rFonts w:ascii="Times New Roman" w:hAnsi="Times New Roman" w:cs="Times New Roman"/>
                <w:sz w:val="18"/>
                <w:szCs w:val="18"/>
              </w:rPr>
              <w:t>沟道型弃渣场，上游设置挡水坝</w:t>
            </w:r>
          </w:p>
        </w:tc>
      </w:tr>
      <w:tr w14:paraId="139C96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68" w:type="pct"/>
            <w:vMerge w:val="continue"/>
            <w:vAlign w:val="center"/>
          </w:tcPr>
          <w:p w14:paraId="27BB02E7">
            <w:pPr>
              <w:jc w:val="center"/>
              <w:rPr>
                <w:rFonts w:ascii="Times New Roman" w:hAnsi="Times New Roman" w:cs="Times New Roman"/>
                <w:sz w:val="18"/>
                <w:szCs w:val="18"/>
              </w:rPr>
            </w:pPr>
          </w:p>
        </w:tc>
        <w:tc>
          <w:tcPr>
            <w:tcW w:w="260" w:type="pct"/>
            <w:vMerge w:val="continue"/>
            <w:vAlign w:val="center"/>
          </w:tcPr>
          <w:p w14:paraId="12F8D9F5">
            <w:pPr>
              <w:jc w:val="center"/>
              <w:rPr>
                <w:rFonts w:ascii="Times New Roman" w:hAnsi="Times New Roman" w:cs="Times New Roman"/>
                <w:sz w:val="18"/>
                <w:szCs w:val="18"/>
              </w:rPr>
            </w:pPr>
          </w:p>
        </w:tc>
        <w:tc>
          <w:tcPr>
            <w:tcW w:w="679" w:type="pct"/>
            <w:vAlign w:val="center"/>
          </w:tcPr>
          <w:p w14:paraId="48F5B3B1">
            <w:pPr>
              <w:jc w:val="center"/>
              <w:rPr>
                <w:rFonts w:ascii="Times New Roman" w:hAnsi="Times New Roman" w:cs="Times New Roman"/>
                <w:sz w:val="18"/>
                <w:szCs w:val="18"/>
              </w:rPr>
            </w:pPr>
            <w:r>
              <w:rPr>
                <w:rFonts w:ascii="Times New Roman" w:hAnsi="Times New Roman" w:cs="Times New Roman"/>
                <w:sz w:val="18"/>
                <w:szCs w:val="18"/>
              </w:rPr>
              <w:t>施工期情况</w:t>
            </w:r>
          </w:p>
        </w:tc>
        <w:tc>
          <w:tcPr>
            <w:tcW w:w="353" w:type="pct"/>
            <w:vAlign w:val="center"/>
          </w:tcPr>
          <w:p w14:paraId="12AFD42B">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480" w:type="pct"/>
            <w:vAlign w:val="center"/>
          </w:tcPr>
          <w:p w14:paraId="0076DE64">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633" w:type="pct"/>
            <w:vAlign w:val="center"/>
          </w:tcPr>
          <w:p w14:paraId="57595277">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480" w:type="pct"/>
            <w:vAlign w:val="center"/>
          </w:tcPr>
          <w:p w14:paraId="53D0D383">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417" w:type="pct"/>
            <w:vAlign w:val="center"/>
          </w:tcPr>
          <w:p w14:paraId="01D2302A">
            <w:pPr>
              <w:jc w:val="center"/>
              <w:rPr>
                <w:rFonts w:ascii="Times New Roman" w:hAnsi="Times New Roman" w:cs="Times New Roman"/>
                <w:sz w:val="18"/>
                <w:szCs w:val="18"/>
              </w:rPr>
            </w:pPr>
            <w:r>
              <w:rPr>
                <w:rFonts w:ascii="Times New Roman" w:hAnsi="Times New Roman" w:cs="Times New Roman"/>
                <w:sz w:val="18"/>
                <w:szCs w:val="18"/>
              </w:rPr>
              <w:t>—</w:t>
            </w:r>
          </w:p>
        </w:tc>
        <w:tc>
          <w:tcPr>
            <w:tcW w:w="453" w:type="pct"/>
            <w:vAlign w:val="center"/>
          </w:tcPr>
          <w:p w14:paraId="020AAE1D">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875" w:type="pct"/>
            <w:vAlign w:val="center"/>
          </w:tcPr>
          <w:p w14:paraId="3EE00F7A">
            <w:pPr>
              <w:jc w:val="center"/>
              <w:rPr>
                <w:rFonts w:ascii="Times New Roman" w:hAnsi="Times New Roman" w:cs="Times New Roman"/>
                <w:sz w:val="18"/>
                <w:szCs w:val="18"/>
              </w:rPr>
            </w:pPr>
            <w:r>
              <w:rPr>
                <w:rFonts w:ascii="Times New Roman" w:hAnsi="Times New Roman" w:cs="Times New Roman"/>
                <w:sz w:val="18"/>
                <w:szCs w:val="18"/>
              </w:rPr>
              <w:t>施工过程各个阶段临时荷载</w:t>
            </w:r>
          </w:p>
        </w:tc>
      </w:tr>
      <w:tr w14:paraId="0AE3DA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368" w:type="pct"/>
            <w:vMerge w:val="restart"/>
            <w:vAlign w:val="center"/>
          </w:tcPr>
          <w:p w14:paraId="3CABB725">
            <w:pPr>
              <w:jc w:val="center"/>
              <w:rPr>
                <w:rFonts w:ascii="Times New Roman" w:hAnsi="Times New Roman" w:cs="Times New Roman"/>
                <w:sz w:val="18"/>
                <w:szCs w:val="18"/>
              </w:rPr>
            </w:pPr>
            <w:r>
              <w:rPr>
                <w:rFonts w:ascii="Times New Roman" w:hAnsi="Times New Roman" w:cs="Times New Roman"/>
                <w:sz w:val="18"/>
                <w:szCs w:val="18"/>
              </w:rPr>
              <w:t>非常运用工况</w:t>
            </w:r>
          </w:p>
        </w:tc>
        <w:tc>
          <w:tcPr>
            <w:tcW w:w="260" w:type="pct"/>
            <w:vMerge w:val="restart"/>
            <w:vAlign w:val="center"/>
          </w:tcPr>
          <w:p w14:paraId="4F522432">
            <w:pPr>
              <w:jc w:val="center"/>
              <w:rPr>
                <w:rFonts w:ascii="Times New Roman" w:hAnsi="Times New Roman" w:cs="Times New Roman"/>
                <w:sz w:val="18"/>
                <w:szCs w:val="18"/>
              </w:rPr>
            </w:pPr>
            <w:r>
              <w:rPr>
                <w:rFonts w:ascii="Times New Roman" w:hAnsi="Times New Roman" w:cs="Times New Roman"/>
                <w:sz w:val="18"/>
                <w:szCs w:val="18"/>
              </w:rPr>
              <w:t>偶然组合</w:t>
            </w:r>
          </w:p>
        </w:tc>
        <w:tc>
          <w:tcPr>
            <w:tcW w:w="679" w:type="pct"/>
            <w:vAlign w:val="center"/>
          </w:tcPr>
          <w:p w14:paraId="4B5A2FDE">
            <w:pPr>
              <w:jc w:val="center"/>
              <w:rPr>
                <w:rFonts w:ascii="Times New Roman" w:hAnsi="Times New Roman" w:cs="Times New Roman"/>
                <w:sz w:val="18"/>
                <w:szCs w:val="18"/>
              </w:rPr>
            </w:pPr>
            <w:r>
              <w:rPr>
                <w:rFonts w:ascii="Times New Roman" w:hAnsi="Times New Roman" w:cs="Times New Roman"/>
                <w:sz w:val="18"/>
                <w:szCs w:val="18"/>
              </w:rPr>
              <w:t>暴雨或连续降雨情况</w:t>
            </w:r>
          </w:p>
        </w:tc>
        <w:tc>
          <w:tcPr>
            <w:tcW w:w="353" w:type="pct"/>
            <w:vAlign w:val="center"/>
          </w:tcPr>
          <w:p w14:paraId="43ED7C51">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480" w:type="pct"/>
            <w:vAlign w:val="center"/>
          </w:tcPr>
          <w:p w14:paraId="3CCB83A6">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633" w:type="pct"/>
            <w:vAlign w:val="center"/>
          </w:tcPr>
          <w:p w14:paraId="23768A1F">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480" w:type="pct"/>
            <w:vAlign w:val="center"/>
          </w:tcPr>
          <w:p w14:paraId="483912AC">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417" w:type="pct"/>
            <w:vAlign w:val="center"/>
          </w:tcPr>
          <w:p w14:paraId="512935E5">
            <w:pPr>
              <w:jc w:val="center"/>
              <w:rPr>
                <w:rFonts w:ascii="Times New Roman" w:hAnsi="Times New Roman" w:cs="Times New Roman"/>
                <w:sz w:val="18"/>
                <w:szCs w:val="18"/>
              </w:rPr>
            </w:pPr>
            <w:r>
              <w:rPr>
                <w:rFonts w:ascii="Times New Roman" w:hAnsi="Times New Roman" w:cs="Times New Roman"/>
                <w:sz w:val="18"/>
                <w:szCs w:val="18"/>
              </w:rPr>
              <w:t>—</w:t>
            </w:r>
          </w:p>
        </w:tc>
        <w:tc>
          <w:tcPr>
            <w:tcW w:w="453" w:type="pct"/>
            <w:vAlign w:val="center"/>
          </w:tcPr>
          <w:p w14:paraId="0E701AD4">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875" w:type="pct"/>
            <w:vAlign w:val="center"/>
          </w:tcPr>
          <w:p w14:paraId="1A813805">
            <w:pPr>
              <w:jc w:val="center"/>
              <w:rPr>
                <w:rFonts w:ascii="Times New Roman" w:hAnsi="Times New Roman" w:cs="Times New Roman"/>
                <w:sz w:val="18"/>
                <w:szCs w:val="18"/>
              </w:rPr>
            </w:pPr>
          </w:p>
        </w:tc>
      </w:tr>
      <w:tr w14:paraId="08FC67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68" w:type="pct"/>
            <w:vMerge w:val="continue"/>
            <w:vAlign w:val="center"/>
          </w:tcPr>
          <w:p w14:paraId="5B9E3F0D">
            <w:pPr>
              <w:jc w:val="center"/>
              <w:rPr>
                <w:rFonts w:ascii="Times New Roman" w:hAnsi="Times New Roman" w:cs="Times New Roman"/>
                <w:sz w:val="18"/>
                <w:szCs w:val="18"/>
              </w:rPr>
            </w:pPr>
          </w:p>
        </w:tc>
        <w:tc>
          <w:tcPr>
            <w:tcW w:w="260" w:type="pct"/>
            <w:vMerge w:val="continue"/>
            <w:vAlign w:val="center"/>
          </w:tcPr>
          <w:p w14:paraId="495E9E9C">
            <w:pPr>
              <w:jc w:val="center"/>
              <w:rPr>
                <w:rFonts w:ascii="Times New Roman" w:hAnsi="Times New Roman" w:cs="Times New Roman"/>
                <w:sz w:val="18"/>
                <w:szCs w:val="18"/>
              </w:rPr>
            </w:pPr>
          </w:p>
        </w:tc>
        <w:tc>
          <w:tcPr>
            <w:tcW w:w="679" w:type="pct"/>
            <w:vAlign w:val="center"/>
          </w:tcPr>
          <w:p w14:paraId="0FAE0833">
            <w:pPr>
              <w:jc w:val="center"/>
              <w:rPr>
                <w:rFonts w:ascii="Times New Roman" w:hAnsi="Times New Roman" w:cs="Times New Roman"/>
                <w:sz w:val="18"/>
                <w:szCs w:val="18"/>
              </w:rPr>
            </w:pPr>
            <w:r>
              <w:rPr>
                <w:rFonts w:ascii="Times New Roman" w:hAnsi="Times New Roman" w:cs="Times New Roman"/>
                <w:sz w:val="18"/>
                <w:szCs w:val="18"/>
              </w:rPr>
              <w:t>地震情况</w:t>
            </w:r>
          </w:p>
        </w:tc>
        <w:tc>
          <w:tcPr>
            <w:tcW w:w="353" w:type="pct"/>
            <w:vAlign w:val="center"/>
          </w:tcPr>
          <w:p w14:paraId="02ED18B2">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480" w:type="pct"/>
            <w:vAlign w:val="center"/>
          </w:tcPr>
          <w:p w14:paraId="7F26FECB">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633" w:type="pct"/>
            <w:vAlign w:val="center"/>
          </w:tcPr>
          <w:p w14:paraId="0D319CA9">
            <w:pPr>
              <w:spacing w:line="36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480" w:type="pct"/>
            <w:vAlign w:val="center"/>
          </w:tcPr>
          <w:p w14:paraId="5AFB6C73">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417" w:type="pct"/>
            <w:vAlign w:val="center"/>
          </w:tcPr>
          <w:p w14:paraId="168313C7">
            <w:pPr>
              <w:jc w:val="center"/>
              <w:rPr>
                <w:rFonts w:ascii="Times New Roman" w:hAnsi="Times New Roman" w:cs="Times New Roman"/>
                <w:sz w:val="18"/>
                <w:szCs w:val="18"/>
              </w:rPr>
            </w:pPr>
            <w:r>
              <w:rPr>
                <w:rFonts w:ascii="Times New Roman" w:hAnsi="Times New Roman" w:cs="Times New Roman"/>
                <w:sz w:val="18"/>
                <w:szCs w:val="18"/>
              </w:rPr>
              <w:t>√</w:t>
            </w:r>
          </w:p>
        </w:tc>
        <w:tc>
          <w:tcPr>
            <w:tcW w:w="453" w:type="pct"/>
            <w:vAlign w:val="center"/>
          </w:tcPr>
          <w:p w14:paraId="5475D4B1">
            <w:pPr>
              <w:spacing w:line="360" w:lineRule="auto"/>
              <w:jc w:val="center"/>
              <w:rPr>
                <w:rFonts w:ascii="Times New Roman" w:hAnsi="Times New Roman" w:cs="Times New Roman"/>
                <w:sz w:val="21"/>
              </w:rPr>
            </w:pPr>
            <w:r>
              <w:rPr>
                <w:rFonts w:ascii="Times New Roman" w:hAnsi="Times New Roman" w:cs="Times New Roman"/>
                <w:sz w:val="18"/>
                <w:szCs w:val="18"/>
              </w:rPr>
              <w:t>√</w:t>
            </w:r>
          </w:p>
        </w:tc>
        <w:tc>
          <w:tcPr>
            <w:tcW w:w="875" w:type="pct"/>
            <w:vAlign w:val="center"/>
          </w:tcPr>
          <w:p w14:paraId="7630A48A">
            <w:pPr>
              <w:jc w:val="center"/>
              <w:rPr>
                <w:rFonts w:ascii="Times New Roman" w:hAnsi="Times New Roman" w:cs="Times New Roman"/>
                <w:sz w:val="18"/>
                <w:szCs w:val="18"/>
              </w:rPr>
            </w:pPr>
          </w:p>
        </w:tc>
      </w:tr>
    </w:tbl>
    <w:p w14:paraId="2BE0B3CF">
      <w:pPr>
        <w:spacing w:before="156" w:beforeLines="50" w:line="360" w:lineRule="auto"/>
        <w:rPr>
          <w:rFonts w:ascii="Times New Roman" w:hAnsi="Times New Roman" w:cs="Times New Roman"/>
          <w:sz w:val="21"/>
          <w:szCs w:val="24"/>
        </w:rPr>
      </w:pPr>
      <w:r>
        <w:rPr>
          <w:rFonts w:ascii="Times New Roman" w:hAnsi="Times New Roman" w:eastAsia="黑体" w:cs="Times New Roman"/>
          <w:b/>
          <w:sz w:val="21"/>
          <w:szCs w:val="21"/>
        </w:rPr>
        <w:t>5.2.23</w:t>
      </w:r>
      <w:r>
        <w:rPr>
          <w:rFonts w:ascii="Times New Roman" w:hAnsi="Times New Roman" w:cs="Times New Roman"/>
          <w:sz w:val="21"/>
          <w:szCs w:val="24"/>
        </w:rPr>
        <w:t xml:space="preserve">  弃渣场抗滑稳定计算可采用不计条块间作用力的瑞典圆弧滑动法；对均质渣体，宜采用计及条块间作用力的简化毕肖普法；对有软弱夹层的弃渣场，宜采用满足力和力矩平衡的摩根斯顿—普赖斯法进行抗滑稳定计算；对于存在软基的弃渣场，宜采改良圆弧法进行抗滑稳定计算。前述计算方法应符合本标准附录B的规定。</w:t>
      </w:r>
    </w:p>
    <w:p w14:paraId="1E81E1CD">
      <w:pPr>
        <w:spacing w:line="360" w:lineRule="auto"/>
        <w:rPr>
          <w:rFonts w:ascii="Times New Roman" w:hAnsi="Times New Roman" w:cs="Times New Roman"/>
          <w:sz w:val="21"/>
          <w:szCs w:val="24"/>
        </w:rPr>
      </w:pPr>
      <w:r>
        <w:rPr>
          <w:rFonts w:ascii="Times New Roman" w:hAnsi="Times New Roman" w:eastAsia="黑体" w:cs="Times New Roman"/>
          <w:b/>
          <w:sz w:val="21"/>
          <w:szCs w:val="21"/>
        </w:rPr>
        <w:t>5.2.24</w:t>
      </w:r>
      <w:r>
        <w:rPr>
          <w:rFonts w:ascii="Times New Roman" w:hAnsi="Times New Roman" w:cs="Times New Roman"/>
          <w:sz w:val="21"/>
          <w:szCs w:val="24"/>
        </w:rPr>
        <w:t xml:space="preserve">  对于最大堆渣高度不小于100m的弃渣场边坡，宜采用有限元、离散元等数值分析方法进行稳定分析复核，综合评价边坡变形与稳定安全性。</w:t>
      </w:r>
    </w:p>
    <w:p w14:paraId="21E03ACD">
      <w:pPr>
        <w:spacing w:line="360" w:lineRule="auto"/>
        <w:rPr>
          <w:rFonts w:ascii="Times New Roman" w:hAnsi="Times New Roman" w:cs="Times New Roman"/>
          <w:sz w:val="21"/>
          <w:szCs w:val="24"/>
        </w:rPr>
      </w:pPr>
      <w:r>
        <w:rPr>
          <w:rFonts w:ascii="Times New Roman" w:hAnsi="Times New Roman" w:eastAsia="黑体" w:cs="Times New Roman"/>
          <w:b/>
          <w:sz w:val="21"/>
          <w:szCs w:val="21"/>
        </w:rPr>
        <w:t>5.2.25</w:t>
      </w:r>
      <w:r>
        <w:rPr>
          <w:rFonts w:ascii="Times New Roman" w:hAnsi="Times New Roman" w:cs="Times New Roman"/>
          <w:sz w:val="21"/>
          <w:szCs w:val="24"/>
        </w:rPr>
        <w:t xml:space="preserve">  采用简化毕肖普法、摩根斯顿-普赖斯法计算时，抗滑稳定安全系数不应小于表5.2.25中数值。</w:t>
      </w:r>
    </w:p>
    <w:p w14:paraId="3EEBD517">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25</w:t>
      </w:r>
      <w:r>
        <w:rPr>
          <w:rFonts w:ascii="Times New Roman" w:hAnsi="Times New Roman" w:eastAsia="黑体" w:cs="Times New Roman"/>
          <w:sz w:val="18"/>
          <w:szCs w:val="18"/>
        </w:rPr>
        <w:t xml:space="preserve">  弃渣场抗滑稳定安全系数</w:t>
      </w:r>
    </w:p>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000"/>
        <w:gridCol w:w="1569"/>
        <w:gridCol w:w="2047"/>
        <w:gridCol w:w="2003"/>
        <w:gridCol w:w="1657"/>
      </w:tblGrid>
      <w:tr w14:paraId="3AD769B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1" w:hRule="atLeast"/>
          <w:jc w:val="center"/>
        </w:trPr>
        <w:tc>
          <w:tcPr>
            <w:tcW w:w="604" w:type="pct"/>
            <w:vMerge w:val="restart"/>
            <w:tcBorders>
              <w:top w:val="single" w:color="auto" w:sz="12" w:space="0"/>
              <w:left w:val="single" w:color="auto" w:sz="12" w:space="0"/>
              <w:bottom w:val="single" w:color="auto" w:sz="2" w:space="0"/>
              <w:right w:val="single" w:color="auto" w:sz="2" w:space="0"/>
            </w:tcBorders>
            <w:noWrap/>
            <w:vAlign w:val="center"/>
          </w:tcPr>
          <w:p w14:paraId="7334F6DA">
            <w:pPr>
              <w:jc w:val="center"/>
              <w:rPr>
                <w:rFonts w:ascii="Times New Roman" w:hAnsi="Times New Roman" w:cs="Times New Roman"/>
                <w:kern w:val="0"/>
                <w:sz w:val="15"/>
                <w:szCs w:val="15"/>
              </w:rPr>
            </w:pPr>
            <w:r>
              <w:rPr>
                <w:rFonts w:ascii="Times New Roman" w:hAnsi="Times New Roman" w:cs="Times New Roman"/>
                <w:kern w:val="0"/>
                <w:sz w:val="15"/>
                <w:szCs w:val="15"/>
              </w:rPr>
              <w:t>应用情况</w:t>
            </w:r>
          </w:p>
        </w:tc>
        <w:tc>
          <w:tcPr>
            <w:tcW w:w="4396" w:type="pct"/>
            <w:gridSpan w:val="4"/>
            <w:tcBorders>
              <w:top w:val="single" w:color="auto" w:sz="12" w:space="0"/>
              <w:left w:val="single" w:color="auto" w:sz="2" w:space="0"/>
              <w:bottom w:val="single" w:color="auto" w:sz="2" w:space="0"/>
              <w:right w:val="single" w:color="auto" w:sz="12" w:space="0"/>
            </w:tcBorders>
            <w:noWrap/>
            <w:vAlign w:val="center"/>
          </w:tcPr>
          <w:p w14:paraId="598F32B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弃渣场级别</w:t>
            </w:r>
          </w:p>
        </w:tc>
      </w:tr>
      <w:tr w14:paraId="6657232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23" w:hRule="atLeast"/>
          <w:jc w:val="center"/>
        </w:trPr>
        <w:tc>
          <w:tcPr>
            <w:tcW w:w="0" w:type="auto"/>
            <w:vMerge w:val="continue"/>
            <w:tcBorders>
              <w:top w:val="single" w:color="auto" w:sz="12" w:space="0"/>
              <w:left w:val="single" w:color="auto" w:sz="12" w:space="0"/>
              <w:bottom w:val="single" w:color="auto" w:sz="2" w:space="0"/>
              <w:right w:val="single" w:color="auto" w:sz="2" w:space="0"/>
            </w:tcBorders>
            <w:vAlign w:val="center"/>
          </w:tcPr>
          <w:p w14:paraId="1EF02414">
            <w:pPr>
              <w:widowControl/>
              <w:jc w:val="left"/>
              <w:rPr>
                <w:rFonts w:ascii="Times New Roman" w:hAnsi="Times New Roman" w:cs="Times New Roman"/>
                <w:kern w:val="0"/>
                <w:sz w:val="15"/>
                <w:szCs w:val="15"/>
              </w:rPr>
            </w:pPr>
          </w:p>
        </w:tc>
        <w:tc>
          <w:tcPr>
            <w:tcW w:w="948" w:type="pct"/>
            <w:tcBorders>
              <w:top w:val="single" w:color="auto" w:sz="2" w:space="0"/>
              <w:left w:val="single" w:color="auto" w:sz="2" w:space="0"/>
              <w:bottom w:val="single" w:color="auto" w:sz="2" w:space="0"/>
              <w:right w:val="single" w:color="auto" w:sz="4" w:space="0"/>
            </w:tcBorders>
            <w:noWrap/>
            <w:vAlign w:val="center"/>
          </w:tcPr>
          <w:p w14:paraId="152AA04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237" w:type="pct"/>
            <w:tcBorders>
              <w:top w:val="single" w:color="auto" w:sz="2" w:space="0"/>
              <w:left w:val="single" w:color="auto" w:sz="2" w:space="0"/>
              <w:bottom w:val="single" w:color="auto" w:sz="2" w:space="0"/>
              <w:right w:val="single" w:color="auto" w:sz="2" w:space="0"/>
            </w:tcBorders>
            <w:vAlign w:val="center"/>
          </w:tcPr>
          <w:p w14:paraId="2E66F00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210" w:type="pct"/>
            <w:tcBorders>
              <w:top w:val="single" w:color="auto" w:sz="2" w:space="0"/>
              <w:left w:val="single" w:color="auto" w:sz="2" w:space="0"/>
              <w:bottom w:val="single" w:color="auto" w:sz="2" w:space="0"/>
              <w:right w:val="single" w:color="auto" w:sz="4" w:space="0"/>
            </w:tcBorders>
            <w:vAlign w:val="center"/>
          </w:tcPr>
          <w:p w14:paraId="56E56CA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001" w:type="pct"/>
            <w:tcBorders>
              <w:top w:val="single" w:color="auto" w:sz="2" w:space="0"/>
              <w:left w:val="single" w:color="auto" w:sz="2" w:space="0"/>
              <w:bottom w:val="single" w:color="auto" w:sz="2" w:space="0"/>
              <w:right w:val="single" w:color="auto" w:sz="12" w:space="0"/>
            </w:tcBorders>
            <w:noWrap/>
            <w:vAlign w:val="center"/>
          </w:tcPr>
          <w:p w14:paraId="0AB12E1F">
            <w:pPr>
              <w:widowControl/>
              <w:jc w:val="center"/>
              <w:rPr>
                <w:rFonts w:ascii="Times New Roman" w:hAnsi="Times New Roman" w:cs="Times New Roman"/>
                <w:kern w:val="0"/>
                <w:sz w:val="15"/>
                <w:szCs w:val="15"/>
              </w:rPr>
            </w:pPr>
            <w:r>
              <w:rPr>
                <w:rFonts w:ascii="Times New Roman" w:hAnsi="Times New Roman" w:cs="Times New Roman"/>
                <w:kern w:val="0"/>
                <w:sz w:val="15"/>
                <w:szCs w:val="15"/>
              </w:rPr>
              <w:t>4、5</w:t>
            </w:r>
          </w:p>
        </w:tc>
      </w:tr>
      <w:tr w14:paraId="031A906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13" w:hRule="atLeast"/>
          <w:jc w:val="center"/>
        </w:trPr>
        <w:tc>
          <w:tcPr>
            <w:tcW w:w="604" w:type="pct"/>
            <w:tcBorders>
              <w:top w:val="single" w:color="auto" w:sz="2" w:space="0"/>
              <w:left w:val="single" w:color="auto" w:sz="12" w:space="0"/>
              <w:bottom w:val="single" w:color="auto" w:sz="2" w:space="0"/>
              <w:right w:val="single" w:color="auto" w:sz="2" w:space="0"/>
            </w:tcBorders>
            <w:noWrap/>
            <w:vAlign w:val="center"/>
          </w:tcPr>
          <w:p w14:paraId="515678EF">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正常运用</w:t>
            </w:r>
          </w:p>
        </w:tc>
        <w:tc>
          <w:tcPr>
            <w:tcW w:w="948" w:type="pct"/>
            <w:tcBorders>
              <w:top w:val="single" w:color="auto" w:sz="2" w:space="0"/>
              <w:left w:val="single" w:color="auto" w:sz="2" w:space="0"/>
              <w:bottom w:val="single" w:color="auto" w:sz="2" w:space="0"/>
              <w:right w:val="single" w:color="auto" w:sz="4" w:space="0"/>
            </w:tcBorders>
            <w:noWrap/>
            <w:vAlign w:val="center"/>
          </w:tcPr>
          <w:p w14:paraId="529D9E5A">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1.35</w:t>
            </w:r>
          </w:p>
        </w:tc>
        <w:tc>
          <w:tcPr>
            <w:tcW w:w="1237" w:type="pct"/>
            <w:tcBorders>
              <w:top w:val="single" w:color="auto" w:sz="2" w:space="0"/>
              <w:left w:val="single" w:color="auto" w:sz="2" w:space="0"/>
              <w:bottom w:val="single" w:color="auto" w:sz="2" w:space="0"/>
              <w:right w:val="single" w:color="auto" w:sz="2" w:space="0"/>
            </w:tcBorders>
            <w:vAlign w:val="center"/>
          </w:tcPr>
          <w:p w14:paraId="0AC6AC2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1.30</w:t>
            </w:r>
          </w:p>
        </w:tc>
        <w:tc>
          <w:tcPr>
            <w:tcW w:w="1210" w:type="pct"/>
            <w:tcBorders>
              <w:top w:val="single" w:color="auto" w:sz="2" w:space="0"/>
              <w:left w:val="single" w:color="auto" w:sz="2" w:space="0"/>
              <w:bottom w:val="single" w:color="auto" w:sz="2" w:space="0"/>
              <w:right w:val="single" w:color="auto" w:sz="4" w:space="0"/>
            </w:tcBorders>
            <w:vAlign w:val="center"/>
          </w:tcPr>
          <w:p w14:paraId="2B8E945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1.25</w:t>
            </w:r>
          </w:p>
        </w:tc>
        <w:tc>
          <w:tcPr>
            <w:tcW w:w="1001" w:type="pct"/>
            <w:tcBorders>
              <w:top w:val="single" w:color="auto" w:sz="2" w:space="0"/>
              <w:left w:val="single" w:color="auto" w:sz="2" w:space="0"/>
              <w:bottom w:val="single" w:color="auto" w:sz="2" w:space="0"/>
              <w:right w:val="single" w:color="auto" w:sz="12" w:space="0"/>
            </w:tcBorders>
            <w:noWrap/>
            <w:vAlign w:val="center"/>
          </w:tcPr>
          <w:p w14:paraId="60D4913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1.20</w:t>
            </w:r>
          </w:p>
        </w:tc>
      </w:tr>
      <w:tr w14:paraId="3A0B9F5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24" w:hRule="atLeast"/>
          <w:jc w:val="center"/>
        </w:trPr>
        <w:tc>
          <w:tcPr>
            <w:tcW w:w="604" w:type="pct"/>
            <w:tcBorders>
              <w:top w:val="single" w:color="auto" w:sz="2" w:space="0"/>
              <w:left w:val="single" w:color="auto" w:sz="12" w:space="0"/>
              <w:bottom w:val="single" w:color="auto" w:sz="12" w:space="0"/>
              <w:right w:val="single" w:color="auto" w:sz="2" w:space="0"/>
            </w:tcBorders>
            <w:vAlign w:val="center"/>
          </w:tcPr>
          <w:p w14:paraId="09E663C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非常运用</w:t>
            </w:r>
          </w:p>
        </w:tc>
        <w:tc>
          <w:tcPr>
            <w:tcW w:w="948" w:type="pct"/>
            <w:tcBorders>
              <w:top w:val="single" w:color="auto" w:sz="2" w:space="0"/>
              <w:left w:val="single" w:color="auto" w:sz="2" w:space="0"/>
              <w:bottom w:val="single" w:color="auto" w:sz="12" w:space="0"/>
              <w:right w:val="single" w:color="auto" w:sz="4" w:space="0"/>
            </w:tcBorders>
            <w:noWrap/>
            <w:vAlign w:val="center"/>
          </w:tcPr>
          <w:p w14:paraId="3D95BF4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1.15</w:t>
            </w:r>
          </w:p>
        </w:tc>
        <w:tc>
          <w:tcPr>
            <w:tcW w:w="1237" w:type="pct"/>
            <w:tcBorders>
              <w:top w:val="single" w:color="auto" w:sz="2" w:space="0"/>
              <w:left w:val="single" w:color="auto" w:sz="2" w:space="0"/>
              <w:bottom w:val="single" w:color="auto" w:sz="12" w:space="0"/>
              <w:right w:val="single" w:color="auto" w:sz="2" w:space="0"/>
            </w:tcBorders>
            <w:vAlign w:val="center"/>
          </w:tcPr>
          <w:p w14:paraId="61CA05A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1.15</w:t>
            </w:r>
          </w:p>
        </w:tc>
        <w:tc>
          <w:tcPr>
            <w:tcW w:w="1210" w:type="pct"/>
            <w:tcBorders>
              <w:top w:val="single" w:color="auto" w:sz="2" w:space="0"/>
              <w:left w:val="single" w:color="auto" w:sz="2" w:space="0"/>
              <w:bottom w:val="single" w:color="auto" w:sz="12" w:space="0"/>
              <w:right w:val="single" w:color="auto" w:sz="4" w:space="0"/>
            </w:tcBorders>
            <w:vAlign w:val="center"/>
          </w:tcPr>
          <w:p w14:paraId="1468C3F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1.10</w:t>
            </w:r>
          </w:p>
        </w:tc>
        <w:tc>
          <w:tcPr>
            <w:tcW w:w="1001" w:type="pct"/>
            <w:tcBorders>
              <w:top w:val="single" w:color="auto" w:sz="2" w:space="0"/>
              <w:left w:val="single" w:color="auto" w:sz="2" w:space="0"/>
              <w:bottom w:val="single" w:color="auto" w:sz="12" w:space="0"/>
              <w:right w:val="single" w:color="auto" w:sz="12" w:space="0"/>
            </w:tcBorders>
            <w:noWrap/>
            <w:vAlign w:val="center"/>
          </w:tcPr>
          <w:p w14:paraId="7896086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1.05</w:t>
            </w:r>
          </w:p>
        </w:tc>
      </w:tr>
    </w:tbl>
    <w:p w14:paraId="245827C3">
      <w:pPr>
        <w:spacing w:line="360" w:lineRule="auto"/>
        <w:rPr>
          <w:rFonts w:ascii="Times New Roman" w:hAnsi="Times New Roman" w:cs="Times New Roman"/>
          <w:sz w:val="21"/>
          <w:szCs w:val="24"/>
        </w:rPr>
      </w:pPr>
      <w:r>
        <w:rPr>
          <w:rFonts w:ascii="Times New Roman" w:hAnsi="Times New Roman" w:eastAsia="黑体" w:cs="Times New Roman"/>
          <w:b/>
          <w:sz w:val="21"/>
          <w:szCs w:val="21"/>
        </w:rPr>
        <w:t>5.2.26</w:t>
      </w:r>
      <w:r>
        <w:rPr>
          <w:rFonts w:ascii="Times New Roman" w:hAnsi="Times New Roman" w:cs="Times New Roman"/>
          <w:sz w:val="21"/>
          <w:szCs w:val="24"/>
        </w:rPr>
        <w:t xml:space="preserve">  采用瑞典圆弧法、改良圆弧法计算时，抗滑稳定安全系数不应小于表5.2.26中规定数值。</w:t>
      </w:r>
    </w:p>
    <w:p w14:paraId="4739603E">
      <w:pPr>
        <w:jc w:val="center"/>
        <w:rPr>
          <w:rFonts w:ascii="Times New Roman" w:hAnsi="Times New Roman" w:eastAsia="黑体" w:cs="Times New Roman"/>
          <w:sz w:val="18"/>
          <w:szCs w:val="18"/>
        </w:rPr>
      </w:pPr>
      <w:r>
        <w:rPr>
          <w:rFonts w:ascii="Times New Roman" w:hAnsi="Times New Roman" w:eastAsia="黑体" w:cs="Times New Roman"/>
          <w:sz w:val="18"/>
          <w:szCs w:val="18"/>
        </w:rPr>
        <w:t>表</w:t>
      </w:r>
      <w:bookmarkStart w:id="501" w:name="_Hlk198141511"/>
      <w:r>
        <w:rPr>
          <w:rFonts w:ascii="Times New Roman" w:hAnsi="Times New Roman" w:eastAsia="黑体" w:cs="Times New Roman"/>
          <w:sz w:val="18"/>
          <w:szCs w:val="18"/>
        </w:rPr>
        <w:t>5</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bookmarkEnd w:id="501"/>
      <w:r>
        <w:rPr>
          <w:rFonts w:ascii="Times New Roman" w:hAnsi="Times New Roman" w:eastAsia="黑体" w:cs="Times New Roman"/>
          <w:sz w:val="18"/>
          <w:szCs w:val="18"/>
        </w:rPr>
        <w:t>26  弃渣场抗滑稳定安全系数</w:t>
      </w:r>
    </w:p>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005"/>
        <w:gridCol w:w="1559"/>
        <w:gridCol w:w="1971"/>
        <w:gridCol w:w="1993"/>
        <w:gridCol w:w="1748"/>
      </w:tblGrid>
      <w:tr w14:paraId="6DC5548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607" w:type="pct"/>
            <w:vMerge w:val="restart"/>
            <w:tcBorders>
              <w:top w:val="single" w:color="auto" w:sz="12" w:space="0"/>
              <w:left w:val="single" w:color="auto" w:sz="12" w:space="0"/>
              <w:bottom w:val="single" w:color="auto" w:sz="2" w:space="0"/>
              <w:right w:val="single" w:color="auto" w:sz="2" w:space="0"/>
            </w:tcBorders>
            <w:noWrap/>
            <w:vAlign w:val="center"/>
          </w:tcPr>
          <w:p w14:paraId="28AFF41D">
            <w:pPr>
              <w:jc w:val="center"/>
              <w:rPr>
                <w:rFonts w:ascii="Times New Roman" w:hAnsi="Times New Roman" w:cs="Times New Roman"/>
                <w:kern w:val="0"/>
                <w:sz w:val="15"/>
                <w:szCs w:val="15"/>
              </w:rPr>
            </w:pPr>
            <w:r>
              <w:rPr>
                <w:rFonts w:ascii="Times New Roman" w:hAnsi="Times New Roman" w:cs="Times New Roman"/>
                <w:kern w:val="0"/>
                <w:sz w:val="15"/>
                <w:szCs w:val="15"/>
              </w:rPr>
              <w:t>应用情况</w:t>
            </w:r>
          </w:p>
        </w:tc>
        <w:tc>
          <w:tcPr>
            <w:tcW w:w="4393" w:type="pct"/>
            <w:gridSpan w:val="4"/>
            <w:tcBorders>
              <w:top w:val="single" w:color="auto" w:sz="12" w:space="0"/>
              <w:left w:val="single" w:color="auto" w:sz="2" w:space="0"/>
              <w:bottom w:val="single" w:color="auto" w:sz="2" w:space="0"/>
              <w:right w:val="single" w:color="auto" w:sz="12" w:space="0"/>
            </w:tcBorders>
            <w:noWrap/>
            <w:vAlign w:val="center"/>
          </w:tcPr>
          <w:p w14:paraId="09948BB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弃渣场级别</w:t>
            </w:r>
          </w:p>
        </w:tc>
      </w:tr>
      <w:tr w14:paraId="24DAB8E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607" w:type="pct"/>
            <w:vMerge w:val="continue"/>
            <w:tcBorders>
              <w:top w:val="single" w:color="auto" w:sz="12" w:space="0"/>
              <w:left w:val="single" w:color="auto" w:sz="12" w:space="0"/>
              <w:bottom w:val="single" w:color="auto" w:sz="2" w:space="0"/>
              <w:right w:val="single" w:color="auto" w:sz="2" w:space="0"/>
            </w:tcBorders>
            <w:vAlign w:val="center"/>
          </w:tcPr>
          <w:p w14:paraId="712E783F">
            <w:pPr>
              <w:widowControl/>
              <w:jc w:val="left"/>
              <w:rPr>
                <w:rFonts w:ascii="Times New Roman" w:hAnsi="Times New Roman" w:cs="Times New Roman"/>
                <w:kern w:val="0"/>
                <w:sz w:val="15"/>
                <w:szCs w:val="15"/>
              </w:rPr>
            </w:pPr>
          </w:p>
        </w:tc>
        <w:tc>
          <w:tcPr>
            <w:tcW w:w="942" w:type="pct"/>
            <w:tcBorders>
              <w:top w:val="single" w:color="auto" w:sz="2" w:space="0"/>
              <w:left w:val="single" w:color="auto" w:sz="2" w:space="0"/>
              <w:bottom w:val="single" w:color="auto" w:sz="2" w:space="0"/>
              <w:right w:val="single" w:color="auto" w:sz="4" w:space="0"/>
            </w:tcBorders>
            <w:noWrap/>
            <w:vAlign w:val="center"/>
          </w:tcPr>
          <w:p w14:paraId="1310E13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191" w:type="pct"/>
            <w:tcBorders>
              <w:top w:val="single" w:color="auto" w:sz="2" w:space="0"/>
              <w:left w:val="single" w:color="auto" w:sz="2" w:space="0"/>
              <w:bottom w:val="single" w:color="auto" w:sz="2" w:space="0"/>
              <w:right w:val="single" w:color="auto" w:sz="2" w:space="0"/>
            </w:tcBorders>
          </w:tcPr>
          <w:p w14:paraId="0F3FDD0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204" w:type="pct"/>
            <w:tcBorders>
              <w:top w:val="single" w:color="auto" w:sz="2" w:space="0"/>
              <w:left w:val="single" w:color="auto" w:sz="2" w:space="0"/>
              <w:bottom w:val="single" w:color="auto" w:sz="2" w:space="0"/>
              <w:right w:val="single" w:color="auto" w:sz="4" w:space="0"/>
            </w:tcBorders>
            <w:vAlign w:val="center"/>
          </w:tcPr>
          <w:p w14:paraId="6934DF2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056" w:type="pct"/>
            <w:tcBorders>
              <w:top w:val="single" w:color="auto" w:sz="2" w:space="0"/>
              <w:left w:val="single" w:color="auto" w:sz="2" w:space="0"/>
              <w:bottom w:val="single" w:color="auto" w:sz="2" w:space="0"/>
              <w:right w:val="single" w:color="auto" w:sz="12" w:space="0"/>
            </w:tcBorders>
            <w:noWrap/>
            <w:vAlign w:val="center"/>
          </w:tcPr>
          <w:p w14:paraId="2CF0785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4、5</w:t>
            </w:r>
          </w:p>
        </w:tc>
      </w:tr>
      <w:tr w14:paraId="01D1E40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607" w:type="pct"/>
            <w:tcBorders>
              <w:top w:val="single" w:color="auto" w:sz="2" w:space="0"/>
              <w:left w:val="single" w:color="auto" w:sz="12" w:space="0"/>
              <w:bottom w:val="single" w:color="auto" w:sz="2" w:space="0"/>
              <w:right w:val="single" w:color="auto" w:sz="2" w:space="0"/>
            </w:tcBorders>
            <w:noWrap/>
            <w:vAlign w:val="center"/>
          </w:tcPr>
          <w:p w14:paraId="4DDDE86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正常运用</w:t>
            </w:r>
          </w:p>
        </w:tc>
        <w:tc>
          <w:tcPr>
            <w:tcW w:w="942" w:type="pct"/>
            <w:tcBorders>
              <w:top w:val="single" w:color="auto" w:sz="2" w:space="0"/>
              <w:left w:val="single" w:color="auto" w:sz="2" w:space="0"/>
              <w:bottom w:val="single" w:color="auto" w:sz="2" w:space="0"/>
              <w:right w:val="single" w:color="auto" w:sz="4" w:space="0"/>
            </w:tcBorders>
            <w:noWrap/>
            <w:vAlign w:val="center"/>
          </w:tcPr>
          <w:p w14:paraId="4FED57A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1.25</w:t>
            </w:r>
          </w:p>
        </w:tc>
        <w:tc>
          <w:tcPr>
            <w:tcW w:w="1191" w:type="pct"/>
            <w:tcBorders>
              <w:top w:val="single" w:color="auto" w:sz="2" w:space="0"/>
              <w:left w:val="single" w:color="auto" w:sz="2" w:space="0"/>
              <w:bottom w:val="single" w:color="auto" w:sz="2" w:space="0"/>
              <w:right w:val="single" w:color="auto" w:sz="2" w:space="0"/>
            </w:tcBorders>
          </w:tcPr>
          <w:p w14:paraId="0FBEDFD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1.20</w:t>
            </w:r>
          </w:p>
        </w:tc>
        <w:tc>
          <w:tcPr>
            <w:tcW w:w="1204" w:type="pct"/>
            <w:tcBorders>
              <w:top w:val="single" w:color="auto" w:sz="2" w:space="0"/>
              <w:left w:val="single" w:color="auto" w:sz="2" w:space="0"/>
              <w:bottom w:val="single" w:color="auto" w:sz="2" w:space="0"/>
              <w:right w:val="single" w:color="auto" w:sz="4" w:space="0"/>
            </w:tcBorders>
            <w:vAlign w:val="center"/>
          </w:tcPr>
          <w:p w14:paraId="1A1332F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1.20</w:t>
            </w:r>
          </w:p>
        </w:tc>
        <w:tc>
          <w:tcPr>
            <w:tcW w:w="1056" w:type="pct"/>
            <w:tcBorders>
              <w:top w:val="single" w:color="auto" w:sz="2" w:space="0"/>
              <w:left w:val="single" w:color="auto" w:sz="2" w:space="0"/>
              <w:bottom w:val="single" w:color="auto" w:sz="2" w:space="0"/>
              <w:right w:val="single" w:color="auto" w:sz="12" w:space="0"/>
            </w:tcBorders>
            <w:noWrap/>
            <w:vAlign w:val="center"/>
          </w:tcPr>
          <w:p w14:paraId="4D4E271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1.15</w:t>
            </w:r>
          </w:p>
        </w:tc>
      </w:tr>
      <w:tr w14:paraId="6F61011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jc w:val="center"/>
        </w:trPr>
        <w:tc>
          <w:tcPr>
            <w:tcW w:w="607" w:type="pct"/>
            <w:tcBorders>
              <w:top w:val="single" w:color="auto" w:sz="2" w:space="0"/>
              <w:left w:val="single" w:color="auto" w:sz="12" w:space="0"/>
              <w:bottom w:val="single" w:color="auto" w:sz="12" w:space="0"/>
              <w:right w:val="single" w:color="auto" w:sz="2" w:space="0"/>
            </w:tcBorders>
            <w:vAlign w:val="center"/>
          </w:tcPr>
          <w:p w14:paraId="5301CBF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非常运用</w:t>
            </w:r>
          </w:p>
        </w:tc>
        <w:tc>
          <w:tcPr>
            <w:tcW w:w="942" w:type="pct"/>
            <w:tcBorders>
              <w:top w:val="single" w:color="auto" w:sz="2" w:space="0"/>
              <w:left w:val="single" w:color="auto" w:sz="2" w:space="0"/>
              <w:bottom w:val="single" w:color="auto" w:sz="12" w:space="0"/>
              <w:right w:val="single" w:color="auto" w:sz="4" w:space="0"/>
            </w:tcBorders>
            <w:noWrap/>
            <w:vAlign w:val="center"/>
          </w:tcPr>
          <w:p w14:paraId="4090956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1.10</w:t>
            </w:r>
          </w:p>
        </w:tc>
        <w:tc>
          <w:tcPr>
            <w:tcW w:w="1191" w:type="pct"/>
            <w:tcBorders>
              <w:top w:val="single" w:color="auto" w:sz="2" w:space="0"/>
              <w:left w:val="single" w:color="auto" w:sz="2" w:space="0"/>
              <w:bottom w:val="single" w:color="auto" w:sz="12" w:space="0"/>
              <w:right w:val="single" w:color="auto" w:sz="2" w:space="0"/>
            </w:tcBorders>
          </w:tcPr>
          <w:p w14:paraId="1B5ADD8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1.10</w:t>
            </w:r>
          </w:p>
        </w:tc>
        <w:tc>
          <w:tcPr>
            <w:tcW w:w="1204" w:type="pct"/>
            <w:tcBorders>
              <w:top w:val="single" w:color="auto" w:sz="2" w:space="0"/>
              <w:left w:val="single" w:color="auto" w:sz="2" w:space="0"/>
              <w:bottom w:val="single" w:color="auto" w:sz="12" w:space="0"/>
              <w:right w:val="single" w:color="auto" w:sz="4" w:space="0"/>
            </w:tcBorders>
            <w:vAlign w:val="center"/>
          </w:tcPr>
          <w:p w14:paraId="321A27B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1.05</w:t>
            </w:r>
          </w:p>
        </w:tc>
        <w:tc>
          <w:tcPr>
            <w:tcW w:w="1056" w:type="pct"/>
            <w:tcBorders>
              <w:top w:val="single" w:color="auto" w:sz="2" w:space="0"/>
              <w:left w:val="single" w:color="auto" w:sz="2" w:space="0"/>
              <w:bottom w:val="single" w:color="auto" w:sz="12" w:space="0"/>
              <w:right w:val="single" w:color="auto" w:sz="12" w:space="0"/>
            </w:tcBorders>
            <w:noWrap/>
            <w:vAlign w:val="center"/>
          </w:tcPr>
          <w:p w14:paraId="755F3B2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1.05</w:t>
            </w:r>
          </w:p>
        </w:tc>
      </w:tr>
    </w:tbl>
    <w:p w14:paraId="1A733CA6">
      <w:pPr>
        <w:spacing w:line="360" w:lineRule="auto"/>
        <w:rPr>
          <w:rFonts w:ascii="Times New Roman" w:hAnsi="Times New Roman" w:cs="Times New Roman"/>
          <w:sz w:val="21"/>
          <w:szCs w:val="21"/>
        </w:rPr>
      </w:pPr>
      <w:r>
        <w:rPr>
          <w:rFonts w:ascii="Times New Roman" w:hAnsi="Times New Roman" w:eastAsia="黑体" w:cs="Times New Roman"/>
          <w:b/>
          <w:sz w:val="21"/>
          <w:szCs w:val="21"/>
        </w:rPr>
        <w:t>5.2.27</w:t>
      </w:r>
      <w:r>
        <w:rPr>
          <w:rFonts w:ascii="Times New Roman" w:hAnsi="Times New Roman" w:eastAsia="黑体" w:cs="Times New Roman"/>
          <w:sz w:val="21"/>
          <w:szCs w:val="21"/>
        </w:rPr>
        <w:t xml:space="preserve">  </w:t>
      </w:r>
      <w:r>
        <w:rPr>
          <w:rFonts w:ascii="Times New Roman" w:hAnsi="Times New Roman" w:cs="Times New Roman"/>
          <w:sz w:val="21"/>
          <w:szCs w:val="21"/>
        </w:rPr>
        <w:t>弃渣场稳定分析计算时，各种条件下地下水位应通过渗流分析确定。</w:t>
      </w:r>
    </w:p>
    <w:p w14:paraId="696F3137">
      <w:pPr>
        <w:spacing w:line="360" w:lineRule="auto"/>
        <w:rPr>
          <w:rFonts w:ascii="Times New Roman" w:hAnsi="Times New Roman" w:cs="Times New Roman"/>
          <w:sz w:val="21"/>
          <w:szCs w:val="24"/>
        </w:rPr>
      </w:pPr>
      <w:r>
        <w:rPr>
          <w:rFonts w:ascii="Times New Roman" w:hAnsi="Times New Roman" w:cs="Times New Roman"/>
          <w:b/>
          <w:sz w:val="21"/>
          <w:szCs w:val="24"/>
        </w:rPr>
        <w:t>5.2.28</w:t>
      </w:r>
      <w:r>
        <w:rPr>
          <w:rFonts w:ascii="Times New Roman" w:hAnsi="Times New Roman" w:cs="Times New Roman"/>
          <w:sz w:val="21"/>
          <w:szCs w:val="24"/>
        </w:rPr>
        <w:t xml:space="preserve">  渗流分析应对渣体及渣场范围内的汇流进行全面分析，确定入渗条件，按最不利水文情况进行计算。</w:t>
      </w:r>
    </w:p>
    <w:p w14:paraId="307E8DC1">
      <w:pPr>
        <w:spacing w:line="360" w:lineRule="auto"/>
        <w:rPr>
          <w:rFonts w:ascii="Times New Roman" w:hAnsi="Times New Roman" w:cs="Times New Roman"/>
          <w:sz w:val="21"/>
          <w:szCs w:val="24"/>
        </w:rPr>
      </w:pPr>
      <w:r>
        <w:rPr>
          <w:rFonts w:ascii="Times New Roman" w:hAnsi="Times New Roman" w:cs="Times New Roman"/>
          <w:b/>
          <w:sz w:val="21"/>
          <w:szCs w:val="24"/>
        </w:rPr>
        <w:t>5.2.29</w:t>
      </w:r>
      <w:r>
        <w:rPr>
          <w:rFonts w:ascii="Times New Roman" w:hAnsi="Times New Roman" w:cs="Times New Roman"/>
          <w:sz w:val="21"/>
          <w:szCs w:val="24"/>
        </w:rPr>
        <w:t xml:space="preserve">  弃渣用于填平坑、塘可不进行弃渣场稳定计算。</w:t>
      </w:r>
    </w:p>
    <w:p w14:paraId="78E250CF">
      <w:pPr>
        <w:keepNext/>
        <w:keepLines/>
        <w:spacing w:before="260" w:after="260" w:line="416" w:lineRule="auto"/>
        <w:jc w:val="center"/>
        <w:outlineLvl w:val="2"/>
        <w:rPr>
          <w:rFonts w:ascii="Times New Roman" w:hAnsi="Times New Roman" w:cs="Times New Roman"/>
          <w:bCs/>
          <w:sz w:val="30"/>
          <w:szCs w:val="32"/>
        </w:rPr>
      </w:pPr>
      <w:r>
        <w:rPr>
          <w:rFonts w:ascii="Times New Roman" w:hAnsi="Times New Roman" w:cs="Times New Roman"/>
          <w:bCs/>
          <w:sz w:val="30"/>
          <w:szCs w:val="32"/>
        </w:rPr>
        <w:t>Ⅴ 弃渣场防护措施体系及总体布置</w:t>
      </w:r>
    </w:p>
    <w:p w14:paraId="1CA0A587">
      <w:pPr>
        <w:spacing w:line="360" w:lineRule="auto"/>
        <w:jc w:val="left"/>
        <w:rPr>
          <w:rFonts w:ascii="Times New Roman" w:hAnsi="Times New Roman" w:cs="Times New Roman"/>
          <w:sz w:val="21"/>
          <w:szCs w:val="21"/>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2</w:t>
      </w:r>
      <w:r>
        <w:rPr>
          <w:rFonts w:ascii="Times New Roman" w:hAnsi="Times New Roman" w:cs="Times New Roman"/>
          <w:b/>
          <w:sz w:val="21"/>
          <w:szCs w:val="21"/>
        </w:rPr>
        <w:t xml:space="preserve">.30  </w:t>
      </w:r>
      <w:r>
        <w:rPr>
          <w:rFonts w:ascii="Times New Roman" w:hAnsi="Times New Roman" w:cs="Times New Roman"/>
          <w:sz w:val="21"/>
          <w:szCs w:val="21"/>
        </w:rPr>
        <w:t>不同类型弃渣场主要防护措施体系宜按表5.2.30确定。</w:t>
      </w:r>
    </w:p>
    <w:p w14:paraId="4458D2A9">
      <w:pPr>
        <w:spacing w:line="360" w:lineRule="auto"/>
        <w:jc w:val="left"/>
        <w:rPr>
          <w:rFonts w:ascii="Times New Roman" w:hAnsi="Times New Roman" w:cs="Times New Roman"/>
          <w:sz w:val="21"/>
          <w:szCs w:val="21"/>
        </w:rPr>
      </w:pPr>
    </w:p>
    <w:p w14:paraId="5D339672">
      <w:pPr>
        <w:spacing w:line="360" w:lineRule="auto"/>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.30</w:t>
      </w:r>
      <w:r>
        <w:rPr>
          <w:rFonts w:ascii="Times New Roman" w:hAnsi="Times New Roman" w:eastAsia="黑体" w:cs="Times New Roman"/>
          <w:sz w:val="18"/>
          <w:szCs w:val="18"/>
        </w:rPr>
        <w:t xml:space="preserve">  弃渣场主要防护措施体系</w:t>
      </w:r>
    </w:p>
    <w:tbl>
      <w:tblPr>
        <w:tblStyle w:val="10"/>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864"/>
        <w:gridCol w:w="890"/>
        <w:gridCol w:w="1419"/>
        <w:gridCol w:w="1564"/>
        <w:gridCol w:w="1248"/>
        <w:gridCol w:w="2288"/>
      </w:tblGrid>
      <w:tr w14:paraId="0E75B7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522" w:type="pct"/>
            <w:vMerge w:val="restart"/>
            <w:tcBorders>
              <w:tl2br w:val="nil"/>
              <w:tr2bl w:val="nil"/>
            </w:tcBorders>
            <w:vAlign w:val="center"/>
          </w:tcPr>
          <w:p w14:paraId="7959CD55">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弃渣场类型</w:t>
            </w:r>
          </w:p>
        </w:tc>
        <w:tc>
          <w:tcPr>
            <w:tcW w:w="3094" w:type="pct"/>
            <w:gridSpan w:val="4"/>
            <w:tcBorders>
              <w:tl2br w:val="nil"/>
              <w:tr2bl w:val="nil"/>
            </w:tcBorders>
            <w:vAlign w:val="center"/>
          </w:tcPr>
          <w:p w14:paraId="40882479">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主要防护措施体系</w:t>
            </w:r>
          </w:p>
        </w:tc>
        <w:tc>
          <w:tcPr>
            <w:tcW w:w="1382" w:type="pct"/>
            <w:vMerge w:val="restart"/>
            <w:tcBorders>
              <w:tl2br w:val="nil"/>
              <w:tr2bl w:val="nil"/>
            </w:tcBorders>
            <w:vAlign w:val="center"/>
          </w:tcPr>
          <w:p w14:paraId="137D4790">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备注</w:t>
            </w:r>
          </w:p>
        </w:tc>
      </w:tr>
      <w:tr w14:paraId="736FA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80" w:hRule="atLeast"/>
        </w:trPr>
        <w:tc>
          <w:tcPr>
            <w:tcW w:w="522" w:type="pct"/>
            <w:vMerge w:val="continue"/>
            <w:tcBorders>
              <w:tl2br w:val="nil"/>
              <w:tr2bl w:val="nil"/>
            </w:tcBorders>
            <w:vAlign w:val="center"/>
          </w:tcPr>
          <w:p w14:paraId="4989DB98">
            <w:pPr>
              <w:widowControl/>
              <w:jc w:val="left"/>
              <w:rPr>
                <w:rFonts w:ascii="Times New Roman" w:hAnsi="Times New Roman" w:cs="Times New Roman"/>
                <w:spacing w:val="4"/>
                <w:kern w:val="0"/>
                <w:sz w:val="15"/>
                <w:szCs w:val="15"/>
              </w:rPr>
            </w:pPr>
          </w:p>
        </w:tc>
        <w:tc>
          <w:tcPr>
            <w:tcW w:w="538" w:type="pct"/>
            <w:tcBorders>
              <w:tl2br w:val="nil"/>
              <w:tr2bl w:val="nil"/>
            </w:tcBorders>
            <w:vAlign w:val="center"/>
          </w:tcPr>
          <w:p w14:paraId="002C2FD7">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拦挡工程</w:t>
            </w:r>
          </w:p>
        </w:tc>
        <w:tc>
          <w:tcPr>
            <w:tcW w:w="857" w:type="pct"/>
            <w:tcBorders>
              <w:tl2br w:val="nil"/>
              <w:tr2bl w:val="nil"/>
            </w:tcBorders>
            <w:vAlign w:val="center"/>
          </w:tcPr>
          <w:p w14:paraId="73F89C28">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边坡防护工程</w:t>
            </w:r>
          </w:p>
        </w:tc>
        <w:tc>
          <w:tcPr>
            <w:tcW w:w="945" w:type="pct"/>
            <w:tcBorders>
              <w:tl2br w:val="nil"/>
              <w:tr2bl w:val="nil"/>
            </w:tcBorders>
            <w:vAlign w:val="center"/>
          </w:tcPr>
          <w:p w14:paraId="79D626E3">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防洪排导工程</w:t>
            </w:r>
          </w:p>
        </w:tc>
        <w:tc>
          <w:tcPr>
            <w:tcW w:w="753" w:type="pct"/>
            <w:tcBorders>
              <w:tl2br w:val="nil"/>
              <w:tr2bl w:val="nil"/>
            </w:tcBorders>
            <w:vAlign w:val="center"/>
          </w:tcPr>
          <w:p w14:paraId="65D024D5">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植被恢复与建设工程</w:t>
            </w:r>
          </w:p>
        </w:tc>
        <w:tc>
          <w:tcPr>
            <w:tcW w:w="1382" w:type="pct"/>
            <w:vMerge w:val="continue"/>
            <w:tcBorders>
              <w:tl2br w:val="nil"/>
              <w:tr2bl w:val="nil"/>
            </w:tcBorders>
            <w:vAlign w:val="center"/>
          </w:tcPr>
          <w:p w14:paraId="1D764557">
            <w:pPr>
              <w:widowControl/>
              <w:jc w:val="left"/>
              <w:rPr>
                <w:rFonts w:ascii="Times New Roman" w:hAnsi="Times New Roman" w:cs="Times New Roman"/>
                <w:spacing w:val="4"/>
                <w:kern w:val="0"/>
                <w:sz w:val="15"/>
                <w:szCs w:val="15"/>
              </w:rPr>
            </w:pPr>
          </w:p>
        </w:tc>
      </w:tr>
      <w:tr w14:paraId="276F72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9" w:hRule="atLeast"/>
        </w:trPr>
        <w:tc>
          <w:tcPr>
            <w:tcW w:w="522" w:type="pct"/>
            <w:tcBorders>
              <w:tl2br w:val="nil"/>
              <w:tr2bl w:val="nil"/>
            </w:tcBorders>
            <w:vAlign w:val="center"/>
          </w:tcPr>
          <w:p w14:paraId="51C7696F">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沟道型</w:t>
            </w:r>
          </w:p>
        </w:tc>
        <w:tc>
          <w:tcPr>
            <w:tcW w:w="538" w:type="pct"/>
            <w:tcBorders>
              <w:tl2br w:val="nil"/>
              <w:tr2bl w:val="nil"/>
            </w:tcBorders>
            <w:vAlign w:val="center"/>
          </w:tcPr>
          <w:p w14:paraId="17BE379E">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挡渣墙、拦渣堤、拦渣坝</w:t>
            </w:r>
          </w:p>
        </w:tc>
        <w:tc>
          <w:tcPr>
            <w:tcW w:w="857" w:type="pct"/>
            <w:tcBorders>
              <w:tl2br w:val="nil"/>
              <w:tr2bl w:val="nil"/>
            </w:tcBorders>
            <w:vAlign w:val="center"/>
          </w:tcPr>
          <w:p w14:paraId="056D9809">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框格护坡、砌石护坡、植物护坡、综合护坡等</w:t>
            </w:r>
          </w:p>
        </w:tc>
        <w:tc>
          <w:tcPr>
            <w:tcW w:w="945" w:type="pct"/>
            <w:tcBorders>
              <w:tl2br w:val="nil"/>
              <w:tr2bl w:val="nil"/>
            </w:tcBorders>
            <w:vAlign w:val="center"/>
          </w:tcPr>
          <w:p w14:paraId="5C29404E">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拦洪坝、排洪渠、排洪隧（涵）洞、截水沟、排水沟、盲沟</w:t>
            </w:r>
          </w:p>
        </w:tc>
        <w:tc>
          <w:tcPr>
            <w:tcW w:w="753" w:type="pct"/>
            <w:tcBorders>
              <w:tl2br w:val="nil"/>
              <w:tr2bl w:val="nil"/>
            </w:tcBorders>
            <w:vAlign w:val="center"/>
          </w:tcPr>
          <w:p w14:paraId="142955CB">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复耕或植被措施</w:t>
            </w:r>
          </w:p>
        </w:tc>
        <w:tc>
          <w:tcPr>
            <w:tcW w:w="1382" w:type="pct"/>
            <w:tcBorders>
              <w:tl2br w:val="nil"/>
              <w:tr2bl w:val="nil"/>
            </w:tcBorders>
            <w:vAlign w:val="center"/>
          </w:tcPr>
          <w:p w14:paraId="34EE64C6">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w:t>
            </w:r>
          </w:p>
        </w:tc>
      </w:tr>
      <w:tr w14:paraId="32C4AE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9" w:hRule="atLeast"/>
        </w:trPr>
        <w:tc>
          <w:tcPr>
            <w:tcW w:w="522" w:type="pct"/>
            <w:tcBorders>
              <w:tl2br w:val="nil"/>
              <w:tr2bl w:val="nil"/>
            </w:tcBorders>
            <w:vAlign w:val="center"/>
          </w:tcPr>
          <w:p w14:paraId="3026037C">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坡地型</w:t>
            </w:r>
          </w:p>
        </w:tc>
        <w:tc>
          <w:tcPr>
            <w:tcW w:w="538" w:type="pct"/>
            <w:tcBorders>
              <w:tl2br w:val="nil"/>
              <w:tr2bl w:val="nil"/>
            </w:tcBorders>
            <w:vAlign w:val="center"/>
          </w:tcPr>
          <w:p w14:paraId="197DC312">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挡渣墙、拦渣堤</w:t>
            </w:r>
          </w:p>
        </w:tc>
        <w:tc>
          <w:tcPr>
            <w:tcW w:w="857" w:type="pct"/>
            <w:tcBorders>
              <w:tl2br w:val="nil"/>
              <w:tr2bl w:val="nil"/>
            </w:tcBorders>
            <w:vAlign w:val="center"/>
          </w:tcPr>
          <w:p w14:paraId="1224B9F8">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框格护坡、砌石护坡、植物护坡、综合护坡等</w:t>
            </w:r>
          </w:p>
        </w:tc>
        <w:tc>
          <w:tcPr>
            <w:tcW w:w="945" w:type="pct"/>
            <w:tcBorders>
              <w:tl2br w:val="nil"/>
              <w:tr2bl w:val="nil"/>
            </w:tcBorders>
            <w:vAlign w:val="center"/>
          </w:tcPr>
          <w:p w14:paraId="42727386">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截、排水沟</w:t>
            </w:r>
          </w:p>
        </w:tc>
        <w:tc>
          <w:tcPr>
            <w:tcW w:w="753" w:type="pct"/>
            <w:tcBorders>
              <w:tl2br w:val="nil"/>
              <w:tr2bl w:val="nil"/>
            </w:tcBorders>
            <w:vAlign w:val="center"/>
          </w:tcPr>
          <w:p w14:paraId="4DE484DC">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复耕或植被措施</w:t>
            </w:r>
          </w:p>
        </w:tc>
        <w:tc>
          <w:tcPr>
            <w:tcW w:w="1382" w:type="pct"/>
            <w:tcBorders>
              <w:tl2br w:val="nil"/>
              <w:tr2bl w:val="nil"/>
            </w:tcBorders>
            <w:vAlign w:val="center"/>
          </w:tcPr>
          <w:p w14:paraId="51C6E793">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w:t>
            </w:r>
          </w:p>
        </w:tc>
      </w:tr>
      <w:tr w14:paraId="6F5535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89" w:hRule="atLeast"/>
        </w:trPr>
        <w:tc>
          <w:tcPr>
            <w:tcW w:w="522" w:type="pct"/>
            <w:tcBorders>
              <w:tl2br w:val="nil"/>
              <w:tr2bl w:val="nil"/>
            </w:tcBorders>
            <w:vAlign w:val="center"/>
          </w:tcPr>
          <w:p w14:paraId="142D22FD">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平地型</w:t>
            </w:r>
          </w:p>
        </w:tc>
        <w:tc>
          <w:tcPr>
            <w:tcW w:w="538" w:type="pct"/>
            <w:tcBorders>
              <w:tl2br w:val="nil"/>
              <w:tr2bl w:val="nil"/>
            </w:tcBorders>
            <w:vAlign w:val="center"/>
          </w:tcPr>
          <w:p w14:paraId="43C12E25">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挡渣墙、拦渣堤或围渣堰</w:t>
            </w:r>
          </w:p>
        </w:tc>
        <w:tc>
          <w:tcPr>
            <w:tcW w:w="857" w:type="pct"/>
            <w:tcBorders>
              <w:tl2br w:val="nil"/>
              <w:tr2bl w:val="nil"/>
            </w:tcBorders>
            <w:vAlign w:val="center"/>
          </w:tcPr>
          <w:p w14:paraId="606777C3">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植物护坡或综合护坡</w:t>
            </w:r>
          </w:p>
        </w:tc>
        <w:tc>
          <w:tcPr>
            <w:tcW w:w="945" w:type="pct"/>
            <w:tcBorders>
              <w:tl2br w:val="nil"/>
              <w:tr2bl w:val="nil"/>
            </w:tcBorders>
            <w:vAlign w:val="center"/>
          </w:tcPr>
          <w:p w14:paraId="65B81D3B">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排水沟</w:t>
            </w:r>
          </w:p>
        </w:tc>
        <w:tc>
          <w:tcPr>
            <w:tcW w:w="753" w:type="pct"/>
            <w:tcBorders>
              <w:tl2br w:val="nil"/>
              <w:tr2bl w:val="nil"/>
            </w:tcBorders>
            <w:vAlign w:val="center"/>
          </w:tcPr>
          <w:p w14:paraId="60BA2496">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复耕或植被措施</w:t>
            </w:r>
          </w:p>
        </w:tc>
        <w:tc>
          <w:tcPr>
            <w:tcW w:w="1382" w:type="pct"/>
            <w:tcBorders>
              <w:tl2br w:val="nil"/>
              <w:tr2bl w:val="nil"/>
            </w:tcBorders>
            <w:vAlign w:val="center"/>
          </w:tcPr>
          <w:p w14:paraId="717119F9">
            <w:pPr>
              <w:spacing w:line="360" w:lineRule="auto"/>
              <w:jc w:val="center"/>
              <w:rPr>
                <w:rFonts w:ascii="Times New Roman" w:hAnsi="Times New Roman" w:cs="Times New Roman"/>
                <w:spacing w:val="4"/>
                <w:kern w:val="0"/>
                <w:sz w:val="15"/>
                <w:szCs w:val="15"/>
              </w:rPr>
            </w:pPr>
            <w:r>
              <w:rPr>
                <w:rFonts w:ascii="Times New Roman" w:hAnsi="Times New Roman" w:cs="Times New Roman"/>
                <w:spacing w:val="4"/>
                <w:kern w:val="0"/>
                <w:sz w:val="15"/>
                <w:szCs w:val="15"/>
              </w:rPr>
              <w:t>填凹型弃渣场堆渣未超过周边地形高程时可不设拦渣工程，超出周边地形高程时应设拦挡工程。</w:t>
            </w:r>
          </w:p>
        </w:tc>
      </w:tr>
    </w:tbl>
    <w:p w14:paraId="447F2930">
      <w:pPr>
        <w:ind w:firstLine="360" w:firstLineChars="200"/>
        <w:jc w:val="left"/>
        <w:rPr>
          <w:rFonts w:ascii="Times New Roman" w:hAnsi="Times New Roman" w:cs="Times New Roman"/>
          <w:sz w:val="18"/>
          <w:szCs w:val="18"/>
        </w:rPr>
      </w:pPr>
      <w:r>
        <w:rPr>
          <w:rFonts w:ascii="Times New Roman" w:hAnsi="Times New Roman" w:cs="Times New Roman"/>
          <w:sz w:val="18"/>
          <w:szCs w:val="18"/>
        </w:rPr>
        <w:t>注</w:t>
      </w:r>
      <w:r>
        <w:rPr>
          <w:rFonts w:hint="eastAsia" w:ascii="Times New Roman" w:hAnsi="Times New Roman" w:cs="Times New Roman"/>
          <w:sz w:val="18"/>
          <w:szCs w:val="18"/>
        </w:rPr>
        <w:t>：</w:t>
      </w:r>
      <w:r>
        <w:rPr>
          <w:rFonts w:ascii="Times New Roman" w:hAnsi="Times New Roman" w:cs="Times New Roman"/>
          <w:sz w:val="18"/>
          <w:szCs w:val="18"/>
        </w:rPr>
        <w:t xml:space="preserve"> </w:t>
      </w:r>
      <w:r>
        <w:rPr>
          <w:rFonts w:hint="eastAsia" w:ascii="Times New Roman" w:hAnsi="Times New Roman" w:cs="Times New Roman"/>
          <w:sz w:val="18"/>
          <w:szCs w:val="18"/>
        </w:rPr>
        <w:t xml:space="preserve"> </w:t>
      </w:r>
      <w:r>
        <w:rPr>
          <w:rFonts w:ascii="Times New Roman" w:hAnsi="Times New Roman" w:cs="Times New Roman"/>
          <w:sz w:val="18"/>
          <w:szCs w:val="18"/>
        </w:rPr>
        <w:t>视弃渣场坡脚受洪水影响情况确定拦挡工程类型。</w:t>
      </w:r>
    </w:p>
    <w:p w14:paraId="0746C085">
      <w:pPr>
        <w:spacing w:line="360" w:lineRule="auto"/>
        <w:jc w:val="left"/>
        <w:rPr>
          <w:rFonts w:ascii="Times New Roman" w:hAnsi="Times New Roman" w:cs="Times New Roman"/>
          <w:sz w:val="21"/>
          <w:szCs w:val="21"/>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2</w:t>
      </w:r>
      <w:r>
        <w:rPr>
          <w:rFonts w:ascii="Times New Roman" w:hAnsi="Times New Roman" w:cs="Times New Roman"/>
          <w:b/>
          <w:sz w:val="21"/>
          <w:szCs w:val="21"/>
        </w:rPr>
        <w:t xml:space="preserve">.31  </w:t>
      </w:r>
      <w:r>
        <w:rPr>
          <w:rFonts w:ascii="Times New Roman" w:hAnsi="Times New Roman" w:cs="Times New Roman"/>
          <w:sz w:val="21"/>
          <w:szCs w:val="21"/>
        </w:rPr>
        <w:t>沟道型弃渣场防护措施总体布置应符合下列规定：</w:t>
      </w:r>
    </w:p>
    <w:p w14:paraId="4D3A2BFF">
      <w:pPr>
        <w:spacing w:line="360" w:lineRule="auto"/>
        <w:ind w:firstLine="422" w:firstLineChars="200"/>
        <w:jc w:val="left"/>
        <w:rPr>
          <w:rFonts w:ascii="Times New Roman" w:hAnsi="Times New Roman" w:cs="Times New Roman"/>
          <w:sz w:val="21"/>
          <w:szCs w:val="21"/>
        </w:rPr>
      </w:pPr>
      <w:r>
        <w:rPr>
          <w:rFonts w:ascii="Times New Roman" w:hAnsi="Times New Roman" w:cs="Times New Roman"/>
          <w:b/>
          <w:sz w:val="21"/>
          <w:szCs w:val="21"/>
        </w:rPr>
        <w:t xml:space="preserve">1  </w:t>
      </w:r>
      <w:r>
        <w:rPr>
          <w:rFonts w:ascii="Times New Roman" w:hAnsi="Times New Roman" w:cs="Times New Roman"/>
          <w:sz w:val="21"/>
          <w:szCs w:val="21"/>
        </w:rPr>
        <w:t>沟道型弃渣场应在弃渣场下游末端布置拦挡建筑物。</w:t>
      </w:r>
    </w:p>
    <w:p w14:paraId="3F652431">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 xml:space="preserve">2  </w:t>
      </w:r>
      <w:r>
        <w:rPr>
          <w:rFonts w:ascii="Times New Roman" w:hAnsi="Times New Roman" w:cs="Times New Roman"/>
          <w:sz w:val="21"/>
          <w:szCs w:val="21"/>
        </w:rPr>
        <w:t>根据洪水处置方式及堆渣方式，沟道型弃渣场分为截洪式、滞洪式、填沟式三种型式。截洪式弃渣场的上游洪水可通过排洪渠、隧（涵）洞排泄到邻近沟道或场地下游，主要特征是上游洪水被拦截不进入渣体，下游渣脚布设挡渣墙或拦渣堤。滞洪式弃渣场下游应布设拦渣坝，具有一定库容可调蓄上游来水，拦渣坝应配套溢洪、消能设施等，主要特征是允许上游洪水进入渣体，拦渣坝承担拦渣和拦洪的双重功能，库容主要由堆渣库容和洪水库容组成。填沟式弃渣场一般布置在沟头或临近沟头，上游无集中汇水或者汇水量很小，弃渣场下游末端应布置挡渣墙等构筑物，对于降雨量大于800mm的地区应布置截排水沟以排泄周边坡面径流，并应结合地形条件布置消能、沉沙设施，降雨量小于800mm的地区可适当布设排水措施。</w:t>
      </w:r>
    </w:p>
    <w:p w14:paraId="535BF150">
      <w:pPr>
        <w:spacing w:line="360" w:lineRule="auto"/>
        <w:ind w:firstLine="422" w:firstLineChars="200"/>
        <w:rPr>
          <w:rFonts w:ascii="Times New Roman" w:hAnsi="Times New Roman" w:cs="Times New Roman"/>
          <w:sz w:val="21"/>
          <w:szCs w:val="21"/>
        </w:rPr>
      </w:pPr>
      <w:r>
        <w:rPr>
          <w:rFonts w:ascii="Times New Roman" w:hAnsi="Times New Roman" w:cs="Times New Roman"/>
          <w:b/>
          <w:sz w:val="21"/>
          <w:szCs w:val="21"/>
        </w:rPr>
        <w:t xml:space="preserve">3  </w:t>
      </w:r>
      <w:r>
        <w:rPr>
          <w:rFonts w:ascii="Times New Roman" w:hAnsi="Times New Roman" w:cs="Times New Roman"/>
          <w:sz w:val="21"/>
          <w:szCs w:val="21"/>
        </w:rPr>
        <w:t>弃渣场顶部宜采取复耕或植被措施；坡面应首先采取植物措施，坡比大于1:1的宜采取综合护坡措施。</w:t>
      </w:r>
    </w:p>
    <w:p w14:paraId="0EF7988F">
      <w:pPr>
        <w:spacing w:line="360" w:lineRule="auto"/>
        <w:jc w:val="left"/>
        <w:rPr>
          <w:rFonts w:ascii="Times New Roman" w:hAnsi="Times New Roman" w:cs="Times New Roman"/>
          <w:sz w:val="21"/>
          <w:szCs w:val="21"/>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2</w:t>
      </w:r>
      <w:r>
        <w:rPr>
          <w:rFonts w:ascii="Times New Roman" w:hAnsi="Times New Roman" w:cs="Times New Roman"/>
          <w:b/>
          <w:sz w:val="21"/>
          <w:szCs w:val="21"/>
        </w:rPr>
        <w:t xml:space="preserve">.32 </w:t>
      </w:r>
      <w:r>
        <w:rPr>
          <w:rFonts w:ascii="Times New Roman" w:hAnsi="Times New Roman" w:cs="Times New Roman"/>
          <w:sz w:val="21"/>
          <w:szCs w:val="21"/>
        </w:rPr>
        <w:t xml:space="preserve"> 坡地型弃渣场防护措施总体布置应符合下列规定：</w:t>
      </w:r>
    </w:p>
    <w:p w14:paraId="28842694">
      <w:pPr>
        <w:spacing w:line="360" w:lineRule="auto"/>
        <w:ind w:firstLine="422" w:firstLineChars="200"/>
        <w:jc w:val="left"/>
        <w:rPr>
          <w:rFonts w:ascii="Times New Roman" w:hAnsi="Times New Roman" w:cs="Times New Roman"/>
          <w:sz w:val="21"/>
          <w:szCs w:val="21"/>
        </w:rPr>
      </w:pPr>
      <w:r>
        <w:rPr>
          <w:rFonts w:ascii="Times New Roman" w:hAnsi="Times New Roman" w:eastAsia="黑体" w:cs="Times New Roman"/>
          <w:b/>
          <w:sz w:val="21"/>
          <w:szCs w:val="21"/>
        </w:rPr>
        <w:t xml:space="preserve">1  </w:t>
      </w:r>
      <w:r>
        <w:rPr>
          <w:rFonts w:ascii="Times New Roman" w:hAnsi="Times New Roman" w:cs="Times New Roman"/>
          <w:sz w:val="21"/>
          <w:szCs w:val="21"/>
        </w:rPr>
        <w:t>渣体坡脚应设置挡渣墙，受设计洪水影响的</w:t>
      </w:r>
      <w:r>
        <w:rPr>
          <w:rFonts w:ascii="Times New Roman" w:hAnsi="Times New Roman" w:eastAsia="黑体" w:cs="Times New Roman"/>
          <w:sz w:val="21"/>
          <w:szCs w:val="21"/>
        </w:rPr>
        <w:t>，</w:t>
      </w:r>
      <w:r>
        <w:rPr>
          <w:rFonts w:ascii="Times New Roman" w:hAnsi="Times New Roman" w:cs="Times New Roman"/>
          <w:sz w:val="21"/>
          <w:szCs w:val="21"/>
        </w:rPr>
        <w:t>应设置拦渣堤及护脚措施。</w:t>
      </w:r>
    </w:p>
    <w:p w14:paraId="40126AAB">
      <w:pPr>
        <w:spacing w:line="360" w:lineRule="auto"/>
        <w:ind w:firstLine="422" w:firstLineChars="200"/>
        <w:jc w:val="left"/>
        <w:rPr>
          <w:rFonts w:ascii="Times New Roman" w:hAnsi="Times New Roman" w:cs="Times New Roman"/>
          <w:sz w:val="21"/>
          <w:szCs w:val="21"/>
        </w:rPr>
      </w:pPr>
      <w:r>
        <w:rPr>
          <w:rFonts w:ascii="Times New Roman" w:hAnsi="Times New Roman" w:eastAsia="黑体" w:cs="Times New Roman"/>
          <w:b/>
          <w:sz w:val="21"/>
          <w:szCs w:val="21"/>
        </w:rPr>
        <w:t xml:space="preserve">2  </w:t>
      </w:r>
      <w:r>
        <w:rPr>
          <w:rFonts w:ascii="Times New Roman" w:hAnsi="Times New Roman" w:cs="Times New Roman"/>
          <w:sz w:val="21"/>
          <w:szCs w:val="21"/>
        </w:rPr>
        <w:t>渣体周边有汇水的，宜布设截、排水沟。</w:t>
      </w:r>
    </w:p>
    <w:p w14:paraId="50C0BFBB">
      <w:pPr>
        <w:spacing w:line="360" w:lineRule="auto"/>
        <w:ind w:firstLine="422" w:firstLineChars="200"/>
        <w:jc w:val="left"/>
        <w:rPr>
          <w:rFonts w:ascii="Times New Roman" w:hAnsi="Times New Roman" w:cs="Times New Roman"/>
          <w:sz w:val="21"/>
          <w:szCs w:val="21"/>
        </w:rPr>
      </w:pPr>
      <w:r>
        <w:rPr>
          <w:rFonts w:ascii="Times New Roman" w:hAnsi="Times New Roman" w:eastAsia="黑体" w:cs="Times New Roman"/>
          <w:b/>
          <w:sz w:val="21"/>
          <w:szCs w:val="21"/>
        </w:rPr>
        <w:t xml:space="preserve">3  </w:t>
      </w:r>
      <w:r>
        <w:rPr>
          <w:rFonts w:ascii="Times New Roman" w:hAnsi="Times New Roman" w:cs="Times New Roman"/>
          <w:sz w:val="21"/>
          <w:szCs w:val="21"/>
        </w:rPr>
        <w:t>弃渣场顶部宜采取复耕或植物措施；坡面应首先采取植物措施，坡比大于1:1的宜采取综合护坡措施。</w:t>
      </w:r>
    </w:p>
    <w:p w14:paraId="634134B1">
      <w:pPr>
        <w:spacing w:line="360" w:lineRule="auto"/>
        <w:jc w:val="left"/>
        <w:rPr>
          <w:rFonts w:ascii="Times New Roman" w:hAnsi="Times New Roman" w:cs="Times New Roman"/>
          <w:sz w:val="21"/>
          <w:szCs w:val="21"/>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2</w:t>
      </w:r>
      <w:r>
        <w:rPr>
          <w:rFonts w:ascii="Times New Roman" w:hAnsi="Times New Roman" w:cs="Times New Roman"/>
          <w:b/>
          <w:sz w:val="21"/>
          <w:szCs w:val="21"/>
        </w:rPr>
        <w:t xml:space="preserve">.33 </w:t>
      </w:r>
      <w:r>
        <w:rPr>
          <w:rFonts w:ascii="Times New Roman" w:hAnsi="Times New Roman" w:cs="Times New Roman"/>
          <w:sz w:val="21"/>
          <w:szCs w:val="21"/>
        </w:rPr>
        <w:t xml:space="preserve"> 平地型弃渣场防护措施总体布置应符合下列规定：</w:t>
      </w:r>
    </w:p>
    <w:p w14:paraId="766AA272">
      <w:pPr>
        <w:spacing w:line="360" w:lineRule="auto"/>
        <w:ind w:firstLine="422" w:firstLineChars="200"/>
        <w:jc w:val="left"/>
        <w:rPr>
          <w:rFonts w:ascii="Times New Roman" w:hAnsi="Times New Roman" w:cs="Times New Roman"/>
          <w:sz w:val="21"/>
          <w:szCs w:val="21"/>
        </w:rPr>
      </w:pPr>
      <w:r>
        <w:rPr>
          <w:rFonts w:ascii="Times New Roman" w:hAnsi="Times New Roman" w:eastAsia="黑体" w:cs="Times New Roman"/>
          <w:b/>
          <w:sz w:val="21"/>
          <w:szCs w:val="21"/>
        </w:rPr>
        <w:t xml:space="preserve">1  </w:t>
      </w:r>
      <w:r>
        <w:rPr>
          <w:rFonts w:ascii="Times New Roman" w:hAnsi="Times New Roman" w:cs="Times New Roman"/>
          <w:sz w:val="21"/>
          <w:szCs w:val="21"/>
        </w:rPr>
        <w:t>堆渣坡脚应设置围渣堰，坡面宜布设截排水措施。</w:t>
      </w:r>
    </w:p>
    <w:p w14:paraId="04B4E62B">
      <w:pPr>
        <w:spacing w:line="360" w:lineRule="auto"/>
        <w:ind w:firstLine="422" w:firstLineChars="200"/>
        <w:jc w:val="left"/>
        <w:rPr>
          <w:rFonts w:ascii="Times New Roman" w:hAnsi="Times New Roman" w:cs="Times New Roman"/>
          <w:sz w:val="21"/>
          <w:szCs w:val="21"/>
        </w:rPr>
      </w:pPr>
      <w:r>
        <w:rPr>
          <w:rFonts w:ascii="Times New Roman" w:hAnsi="Times New Roman" w:eastAsia="黑体" w:cs="Times New Roman"/>
          <w:b/>
          <w:sz w:val="21"/>
          <w:szCs w:val="21"/>
        </w:rPr>
        <w:t xml:space="preserve">2  </w:t>
      </w:r>
      <w:r>
        <w:rPr>
          <w:rFonts w:ascii="Times New Roman" w:hAnsi="Times New Roman" w:cs="Times New Roman"/>
          <w:sz w:val="21"/>
          <w:szCs w:val="21"/>
        </w:rPr>
        <w:t>弃渣场顶部宜采取复耕或植物措施；坡面应首先采取植物措施，大于1:1坡面宜采取综合护坡措施。</w:t>
      </w:r>
    </w:p>
    <w:p w14:paraId="70DA287E">
      <w:pPr>
        <w:spacing w:line="360" w:lineRule="auto"/>
        <w:ind w:firstLine="422" w:firstLineChars="200"/>
        <w:jc w:val="left"/>
        <w:rPr>
          <w:rFonts w:ascii="Times New Roman" w:hAnsi="Times New Roman" w:cs="Times New Roman" w:eastAsiaTheme="minorEastAsia"/>
          <w:bCs/>
          <w:sz w:val="21"/>
          <w:szCs w:val="21"/>
        </w:rPr>
      </w:pPr>
      <w:r>
        <w:rPr>
          <w:rFonts w:ascii="Times New Roman" w:hAnsi="Times New Roman" w:eastAsia="黑体" w:cs="Times New Roman"/>
          <w:b/>
          <w:sz w:val="21"/>
          <w:szCs w:val="21"/>
        </w:rPr>
        <w:t xml:space="preserve">3  </w:t>
      </w:r>
      <w:r>
        <w:rPr>
          <w:rFonts w:ascii="Times New Roman" w:hAnsi="Times New Roman" w:cs="Times New Roman" w:eastAsiaTheme="minorEastAsia"/>
          <w:bCs/>
          <w:sz w:val="21"/>
          <w:szCs w:val="21"/>
        </w:rPr>
        <w:t>填凹型弃渣应首先填平绿化或复耕；当超出原地面线时，应符合本条前两款要求。</w:t>
      </w:r>
    </w:p>
    <w:p w14:paraId="50C6BA5C">
      <w:pPr>
        <w:keepNext/>
        <w:keepLines/>
        <w:spacing w:before="260" w:after="260" w:line="416" w:lineRule="auto"/>
        <w:jc w:val="center"/>
        <w:outlineLvl w:val="1"/>
        <w:rPr>
          <w:rFonts w:ascii="Times New Roman" w:hAnsi="Times New Roman" w:eastAsia="黑体" w:cs="Times New Roman"/>
          <w:bCs/>
          <w:sz w:val="30"/>
          <w:szCs w:val="32"/>
        </w:rPr>
      </w:pPr>
      <w:bookmarkStart w:id="502" w:name="_Toc7379"/>
      <w:bookmarkStart w:id="503" w:name="_Toc8896"/>
      <w:r>
        <w:rPr>
          <w:rFonts w:ascii="Times New Roman" w:hAnsi="Times New Roman" w:eastAsia="黑体" w:cs="Times New Roman"/>
          <w:bCs/>
          <w:sz w:val="30"/>
          <w:szCs w:val="32"/>
        </w:rPr>
        <w:t>5.3 表土保护工程</w:t>
      </w:r>
      <w:bookmarkEnd w:id="502"/>
      <w:bookmarkEnd w:id="503"/>
    </w:p>
    <w:p w14:paraId="7BD63ACD">
      <w:pPr>
        <w:keepNext/>
        <w:keepLines/>
        <w:spacing w:before="260" w:after="260" w:line="415" w:lineRule="auto"/>
        <w:jc w:val="center"/>
        <w:outlineLvl w:val="2"/>
        <w:rPr>
          <w:rFonts w:ascii="Times New Roman" w:hAnsi="Times New Roman" w:cs="Times New Roman"/>
          <w:bCs/>
          <w:sz w:val="24"/>
          <w:szCs w:val="24"/>
        </w:rPr>
      </w:pPr>
      <w:bookmarkStart w:id="504" w:name="OLE_LINK4"/>
      <w:r>
        <w:rPr>
          <w:rFonts w:ascii="Times New Roman" w:hAnsi="Times New Roman" w:cs="Times New Roman"/>
          <w:bCs/>
          <w:sz w:val="24"/>
          <w:szCs w:val="24"/>
        </w:rPr>
        <w:t>Ⅰ</w:t>
      </w:r>
      <w:bookmarkEnd w:id="504"/>
      <w:r>
        <w:rPr>
          <w:rFonts w:ascii="Times New Roman" w:hAnsi="Times New Roman" w:cs="Times New Roman"/>
          <w:bCs/>
          <w:sz w:val="24"/>
          <w:szCs w:val="24"/>
        </w:rPr>
        <w:t xml:space="preserve"> </w:t>
      </w:r>
      <w:r>
        <w:rPr>
          <w:rFonts w:ascii="Times New Roman" w:hAnsi="Times New Roman" w:eastAsia="黑体" w:cs="Times New Roman"/>
          <w:bCs/>
          <w:sz w:val="24"/>
          <w:szCs w:val="24"/>
        </w:rPr>
        <w:t>一般规定</w:t>
      </w:r>
    </w:p>
    <w:p w14:paraId="740A5831">
      <w:pPr>
        <w:spacing w:line="360" w:lineRule="auto"/>
        <w:jc w:val="left"/>
        <w:rPr>
          <w:rFonts w:ascii="Times New Roman" w:hAnsi="Times New Roman" w:cs="Times New Roman"/>
          <w:sz w:val="21"/>
        </w:rPr>
      </w:pPr>
      <w:r>
        <w:rPr>
          <w:rFonts w:ascii="Times New Roman" w:hAnsi="Times New Roman" w:eastAsia="黑体" w:cs="Times New Roman"/>
          <w:b/>
          <w:kern w:val="0"/>
          <w:sz w:val="21"/>
        </w:rPr>
        <w:t>5</w:t>
      </w:r>
      <w:r>
        <w:rPr>
          <w:rFonts w:ascii="Times New Roman" w:hAnsi="Times New Roman" w:cs="Times New Roman"/>
          <w:b/>
          <w:kern w:val="0"/>
          <w:sz w:val="21"/>
        </w:rPr>
        <w:t>.</w:t>
      </w:r>
      <w:r>
        <w:rPr>
          <w:rFonts w:ascii="Times New Roman" w:hAnsi="Times New Roman" w:eastAsia="黑体" w:cs="Times New Roman"/>
          <w:b/>
          <w:kern w:val="0"/>
          <w:sz w:val="21"/>
        </w:rPr>
        <w:t>3</w:t>
      </w:r>
      <w:r>
        <w:rPr>
          <w:rFonts w:ascii="Times New Roman" w:hAnsi="Times New Roman" w:cs="Times New Roman"/>
          <w:b/>
          <w:kern w:val="0"/>
          <w:sz w:val="21"/>
        </w:rPr>
        <w:t>.</w:t>
      </w:r>
      <w:r>
        <w:rPr>
          <w:rFonts w:ascii="Times New Roman" w:hAnsi="Times New Roman" w:eastAsia="黑体" w:cs="Times New Roman"/>
          <w:b/>
          <w:kern w:val="0"/>
          <w:sz w:val="21"/>
        </w:rPr>
        <w:t>1</w:t>
      </w:r>
      <w:r>
        <w:rPr>
          <w:rFonts w:ascii="Times New Roman" w:hAnsi="Times New Roman" w:eastAsia="黑体" w:cs="Times New Roman"/>
          <w:kern w:val="0"/>
          <w:sz w:val="21"/>
        </w:rPr>
        <w:t xml:space="preserve">  </w:t>
      </w:r>
      <w:r>
        <w:rPr>
          <w:rFonts w:ascii="Times New Roman" w:hAnsi="Times New Roman" w:cs="Times New Roman"/>
          <w:sz w:val="21"/>
        </w:rPr>
        <w:t>表土保护与利用应在表土资源调查与评价基础上，按就地保护，或剥离、堆存与防护、利用进行设计。</w:t>
      </w:r>
    </w:p>
    <w:p w14:paraId="6460EE99">
      <w:pPr>
        <w:spacing w:line="360" w:lineRule="auto"/>
        <w:jc w:val="left"/>
        <w:rPr>
          <w:rFonts w:ascii="Times New Roman" w:hAnsi="Times New Roman" w:cs="Times New Roman"/>
          <w:sz w:val="21"/>
        </w:rPr>
      </w:pPr>
      <w:r>
        <w:rPr>
          <w:rFonts w:ascii="Times New Roman" w:hAnsi="Times New Roman" w:eastAsia="黑体" w:cs="Times New Roman"/>
          <w:b/>
          <w:kern w:val="0"/>
          <w:sz w:val="21"/>
        </w:rPr>
        <w:t>5.3.2</w:t>
      </w:r>
      <w:r>
        <w:rPr>
          <w:rFonts w:ascii="Times New Roman" w:hAnsi="Times New Roman" w:cs="Times New Roman"/>
          <w:sz w:val="21"/>
        </w:rPr>
        <w:t xml:space="preserve">  </w:t>
      </w:r>
      <w:bookmarkStart w:id="505" w:name="OLE_LINK39"/>
      <w:bookmarkStart w:id="506" w:name="OLE_LINK38"/>
      <w:r>
        <w:rPr>
          <w:rFonts w:ascii="Times New Roman" w:hAnsi="Times New Roman" w:cs="Times New Roman"/>
          <w:sz w:val="21"/>
        </w:rPr>
        <w:t>表土资源调查</w:t>
      </w:r>
      <w:bookmarkEnd w:id="505"/>
      <w:bookmarkEnd w:id="506"/>
      <w:r>
        <w:rPr>
          <w:rFonts w:ascii="Times New Roman" w:hAnsi="Times New Roman" w:cs="Times New Roman"/>
          <w:sz w:val="21"/>
        </w:rPr>
        <w:t>应符合现行国家标准《水土保持工程调查与勘测标准》GB/T 51297的规定。表土资源质量评价应根据表土资源调查及取样检测结果判定表土资源质量。</w:t>
      </w:r>
    </w:p>
    <w:p w14:paraId="7F925E8A">
      <w:pPr>
        <w:spacing w:line="360" w:lineRule="auto"/>
        <w:jc w:val="left"/>
        <w:rPr>
          <w:rFonts w:ascii="Times New Roman" w:hAnsi="Times New Roman" w:eastAsia="黑体" w:cs="Times New Roman"/>
          <w:b/>
          <w:kern w:val="0"/>
          <w:sz w:val="21"/>
        </w:rPr>
      </w:pPr>
      <w:r>
        <w:rPr>
          <w:rFonts w:ascii="Times New Roman" w:hAnsi="Times New Roman" w:eastAsia="黑体" w:cs="Times New Roman"/>
          <w:b/>
          <w:kern w:val="0"/>
          <w:sz w:val="21"/>
        </w:rPr>
        <w:t>5</w:t>
      </w:r>
      <w:r>
        <w:rPr>
          <w:rFonts w:ascii="Times New Roman" w:hAnsi="Times New Roman" w:cs="Times New Roman"/>
          <w:b/>
          <w:kern w:val="0"/>
          <w:sz w:val="21"/>
        </w:rPr>
        <w:t>.</w:t>
      </w:r>
      <w:r>
        <w:rPr>
          <w:rFonts w:ascii="Times New Roman" w:hAnsi="Times New Roman" w:eastAsia="黑体" w:cs="Times New Roman"/>
          <w:b/>
          <w:kern w:val="0"/>
          <w:sz w:val="21"/>
        </w:rPr>
        <w:t>3</w:t>
      </w:r>
      <w:r>
        <w:rPr>
          <w:rFonts w:ascii="Times New Roman" w:hAnsi="Times New Roman" w:cs="Times New Roman"/>
          <w:b/>
          <w:kern w:val="0"/>
          <w:sz w:val="21"/>
        </w:rPr>
        <w:t xml:space="preserve">.3  </w:t>
      </w:r>
      <w:r>
        <w:rPr>
          <w:rFonts w:ascii="Times New Roman" w:hAnsi="Times New Roman" w:cs="Times New Roman"/>
          <w:kern w:val="0"/>
          <w:sz w:val="21"/>
        </w:rPr>
        <w:t>工程建设临时占压而未遭受破坏的表土，优先进行就地保护，可采取铺垫、隔离等措施。</w:t>
      </w:r>
    </w:p>
    <w:p w14:paraId="2CC9A383">
      <w:pPr>
        <w:spacing w:line="360" w:lineRule="auto"/>
        <w:jc w:val="left"/>
        <w:rPr>
          <w:rFonts w:ascii="Times New Roman" w:hAnsi="Times New Roman" w:cs="Times New Roman"/>
          <w:kern w:val="0"/>
          <w:sz w:val="21"/>
        </w:rPr>
      </w:pPr>
      <w:r>
        <w:rPr>
          <w:rFonts w:ascii="Times New Roman" w:hAnsi="Times New Roman" w:eastAsia="黑体" w:cs="Times New Roman"/>
          <w:b/>
          <w:kern w:val="0"/>
          <w:sz w:val="21"/>
        </w:rPr>
        <w:t>5</w:t>
      </w:r>
      <w:r>
        <w:rPr>
          <w:rFonts w:ascii="Times New Roman" w:hAnsi="Times New Roman" w:cs="Times New Roman"/>
          <w:b/>
          <w:kern w:val="0"/>
          <w:sz w:val="21"/>
        </w:rPr>
        <w:t>.</w:t>
      </w:r>
      <w:r>
        <w:rPr>
          <w:rFonts w:ascii="Times New Roman" w:hAnsi="Times New Roman" w:eastAsia="黑体" w:cs="Times New Roman"/>
          <w:b/>
          <w:kern w:val="0"/>
          <w:sz w:val="21"/>
        </w:rPr>
        <w:t>3</w:t>
      </w:r>
      <w:r>
        <w:rPr>
          <w:rFonts w:ascii="Times New Roman" w:hAnsi="Times New Roman" w:cs="Times New Roman"/>
          <w:b/>
          <w:kern w:val="0"/>
          <w:sz w:val="21"/>
        </w:rPr>
        <w:t>.4</w:t>
      </w:r>
      <w:r>
        <w:rPr>
          <w:rFonts w:ascii="Times New Roman" w:hAnsi="Times New Roman" w:cs="Times New Roman"/>
          <w:kern w:val="0"/>
          <w:sz w:val="21"/>
        </w:rPr>
        <w:t xml:space="preserve">  当表土资源不足时，宜同步调查工程建设区其他土壤分布情况，择优进行收集、堆存、改良与利用。</w:t>
      </w:r>
    </w:p>
    <w:p w14:paraId="19802E84">
      <w:pPr>
        <w:spacing w:line="360" w:lineRule="auto"/>
        <w:jc w:val="left"/>
        <w:rPr>
          <w:rFonts w:ascii="Times New Roman" w:hAnsi="Times New Roman" w:cs="Times New Roman"/>
          <w:sz w:val="21"/>
        </w:rPr>
      </w:pPr>
      <w:r>
        <w:rPr>
          <w:rFonts w:ascii="Times New Roman" w:hAnsi="Times New Roman" w:eastAsia="黑体" w:cs="Times New Roman"/>
          <w:b/>
          <w:kern w:val="0"/>
          <w:sz w:val="21"/>
        </w:rPr>
        <w:t>5.3.5</w:t>
      </w:r>
      <w:r>
        <w:rPr>
          <w:rFonts w:ascii="Times New Roman" w:hAnsi="Times New Roman" w:cs="Times New Roman"/>
          <w:kern w:val="0"/>
          <w:sz w:val="21"/>
        </w:rPr>
        <w:t xml:space="preserve">  </w:t>
      </w:r>
      <w:r>
        <w:rPr>
          <w:rFonts w:ascii="Times New Roman" w:hAnsi="Times New Roman" w:cs="Times New Roman"/>
          <w:sz w:val="21"/>
        </w:rPr>
        <w:t>表土宜分类剥离、分类（区）堆存和分类利用，分类剥离宜对耕园地与</w:t>
      </w:r>
      <w:bookmarkStart w:id="507" w:name="OLE_LINK42"/>
      <w:bookmarkStart w:id="508" w:name="OLE_LINK43"/>
      <w:r>
        <w:rPr>
          <w:rFonts w:ascii="Times New Roman" w:hAnsi="Times New Roman" w:cs="Times New Roman"/>
          <w:sz w:val="21"/>
        </w:rPr>
        <w:t>林草地</w:t>
      </w:r>
      <w:bookmarkEnd w:id="507"/>
      <w:bookmarkEnd w:id="508"/>
      <w:bookmarkStart w:id="509" w:name="OLE_LINK40"/>
      <w:bookmarkStart w:id="510" w:name="OLE_LINK41"/>
      <w:r>
        <w:rPr>
          <w:rFonts w:ascii="Times New Roman" w:hAnsi="Times New Roman" w:cs="Times New Roman"/>
          <w:sz w:val="21"/>
        </w:rPr>
        <w:t>、耕园地或林草地中经质量评价有明显差异的集中连片地块</w:t>
      </w:r>
      <w:bookmarkEnd w:id="509"/>
      <w:bookmarkEnd w:id="510"/>
      <w:r>
        <w:rPr>
          <w:rFonts w:ascii="Times New Roman" w:hAnsi="Times New Roman" w:cs="Times New Roman"/>
          <w:sz w:val="21"/>
        </w:rPr>
        <w:t>、耕地的耕作层与犁底层进行区分。</w:t>
      </w:r>
    </w:p>
    <w:p w14:paraId="29A4A594">
      <w:pPr>
        <w:spacing w:line="360" w:lineRule="auto"/>
        <w:rPr>
          <w:rFonts w:ascii="Times New Roman" w:hAnsi="Times New Roman" w:cs="Times New Roman"/>
          <w:sz w:val="21"/>
        </w:rPr>
      </w:pPr>
      <w:r>
        <w:rPr>
          <w:rFonts w:ascii="Times New Roman" w:hAnsi="Times New Roman" w:cs="Times New Roman"/>
          <w:b/>
          <w:sz w:val="21"/>
        </w:rPr>
        <w:t xml:space="preserve">5.3.6  </w:t>
      </w:r>
      <w:r>
        <w:rPr>
          <w:rFonts w:ascii="Times New Roman" w:hAnsi="Times New Roman" w:cs="Times New Roman"/>
          <w:sz w:val="21"/>
        </w:rPr>
        <w:t>表土利用前应评估剥离堆存的表土质量，按不同利用需求分别提出改良措施。</w:t>
      </w:r>
    </w:p>
    <w:p w14:paraId="561A48FF">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Ⅱ </w:t>
      </w:r>
      <w:r>
        <w:rPr>
          <w:rFonts w:ascii="Times New Roman" w:hAnsi="Times New Roman" w:eastAsia="黑体" w:cs="Times New Roman"/>
          <w:bCs/>
          <w:sz w:val="24"/>
          <w:szCs w:val="24"/>
        </w:rPr>
        <w:t>表土剥离</w:t>
      </w:r>
    </w:p>
    <w:p w14:paraId="2F7B8BCF">
      <w:pPr>
        <w:spacing w:line="360" w:lineRule="auto"/>
        <w:rPr>
          <w:rFonts w:ascii="Times New Roman" w:hAnsi="Times New Roman" w:cs="Times New Roman"/>
          <w:sz w:val="21"/>
        </w:rPr>
      </w:pPr>
      <w:r>
        <w:rPr>
          <w:rFonts w:ascii="Times New Roman" w:hAnsi="Times New Roman" w:cs="Times New Roman"/>
          <w:b/>
          <w:sz w:val="21"/>
        </w:rPr>
        <w:t xml:space="preserve">5.3.7  </w:t>
      </w:r>
      <w:r>
        <w:rPr>
          <w:rFonts w:ascii="Times New Roman" w:hAnsi="Times New Roman" w:cs="Times New Roman"/>
          <w:sz w:val="21"/>
        </w:rPr>
        <w:t>表土剥离前处置措施应包含</w:t>
      </w:r>
      <w:bookmarkStart w:id="511" w:name="OLE_LINK17"/>
      <w:bookmarkStart w:id="512" w:name="OLE_LINK21"/>
      <w:r>
        <w:rPr>
          <w:rFonts w:ascii="Times New Roman" w:hAnsi="Times New Roman" w:cs="Times New Roman"/>
          <w:sz w:val="21"/>
        </w:rPr>
        <w:t>清理</w:t>
      </w:r>
      <w:bookmarkEnd w:id="511"/>
      <w:bookmarkEnd w:id="512"/>
      <w:r>
        <w:rPr>
          <w:rFonts w:ascii="Times New Roman" w:hAnsi="Times New Roman" w:cs="Times New Roman"/>
          <w:sz w:val="21"/>
        </w:rPr>
        <w:t>地表林木、灌草等，剔除表土中的砾石、植物根系、其他杂物等。</w:t>
      </w:r>
    </w:p>
    <w:p w14:paraId="0584DB4B">
      <w:pPr>
        <w:spacing w:line="360" w:lineRule="auto"/>
        <w:rPr>
          <w:rFonts w:ascii="Times New Roman" w:hAnsi="Times New Roman" w:cs="Times New Roman"/>
          <w:sz w:val="21"/>
        </w:rPr>
      </w:pPr>
      <w:r>
        <w:rPr>
          <w:rFonts w:ascii="Times New Roman" w:hAnsi="Times New Roman" w:cs="Times New Roman"/>
          <w:b/>
          <w:sz w:val="21"/>
        </w:rPr>
        <w:t>5.3.8</w:t>
      </w:r>
      <w:r>
        <w:rPr>
          <w:rFonts w:ascii="Times New Roman" w:hAnsi="Times New Roman" w:cs="Times New Roman"/>
          <w:sz w:val="21"/>
        </w:rPr>
        <w:t xml:space="preserve">  表土剥离范围应根据表土资源调查及取样判定的质量，并结合表土厚度、地块坡度、交通可达性等因素综合确定。</w:t>
      </w:r>
    </w:p>
    <w:p w14:paraId="630BB5CF">
      <w:pPr>
        <w:spacing w:line="360" w:lineRule="auto"/>
        <w:rPr>
          <w:rFonts w:ascii="Times New Roman" w:hAnsi="Times New Roman" w:cs="Times New Roman"/>
          <w:sz w:val="21"/>
        </w:rPr>
      </w:pPr>
      <w:r>
        <w:rPr>
          <w:rFonts w:ascii="Times New Roman" w:hAnsi="Times New Roman" w:cs="Times New Roman"/>
          <w:b/>
          <w:sz w:val="21"/>
        </w:rPr>
        <w:t>5.3.9</w:t>
      </w:r>
      <w:r>
        <w:rPr>
          <w:rFonts w:ascii="Times New Roman" w:hAnsi="Times New Roman" w:cs="Times New Roman"/>
          <w:sz w:val="21"/>
        </w:rPr>
        <w:t xml:space="preserve">  表土</w:t>
      </w:r>
      <w:bookmarkStart w:id="513" w:name="OLE_LINK26"/>
      <w:bookmarkStart w:id="514" w:name="OLE_LINK27"/>
      <w:r>
        <w:rPr>
          <w:rFonts w:ascii="Times New Roman" w:hAnsi="Times New Roman" w:cs="Times New Roman"/>
          <w:sz w:val="21"/>
        </w:rPr>
        <w:t>剥离单元</w:t>
      </w:r>
      <w:bookmarkEnd w:id="513"/>
      <w:bookmarkEnd w:id="514"/>
      <w:bookmarkStart w:id="515" w:name="OLE_LINK23"/>
      <w:bookmarkStart w:id="516" w:name="OLE_LINK22"/>
      <w:r>
        <w:rPr>
          <w:rFonts w:ascii="Times New Roman" w:hAnsi="Times New Roman" w:cs="Times New Roman"/>
          <w:sz w:val="21"/>
        </w:rPr>
        <w:t>应在剥离范围内</w:t>
      </w:r>
      <w:bookmarkEnd w:id="515"/>
      <w:bookmarkEnd w:id="516"/>
      <w:bookmarkStart w:id="517" w:name="OLE_LINK25"/>
      <w:bookmarkStart w:id="518" w:name="OLE_LINK24"/>
      <w:r>
        <w:rPr>
          <w:rFonts w:ascii="Times New Roman" w:hAnsi="Times New Roman" w:cs="Times New Roman"/>
          <w:sz w:val="21"/>
        </w:rPr>
        <w:t>划分</w:t>
      </w:r>
      <w:bookmarkEnd w:id="517"/>
      <w:bookmarkEnd w:id="518"/>
      <w:r>
        <w:rPr>
          <w:rFonts w:ascii="Times New Roman" w:hAnsi="Times New Roman" w:cs="Times New Roman"/>
          <w:sz w:val="21"/>
        </w:rPr>
        <w:t>，按所分布地块，结合表土分类剥离情况划定，明确应剥离表土的各地块单元的范围、土壤类型、质量类别、剥离厚度、剥离量等属性。</w:t>
      </w:r>
    </w:p>
    <w:p w14:paraId="70EA7BB9">
      <w:pPr>
        <w:spacing w:line="360" w:lineRule="auto"/>
        <w:rPr>
          <w:rFonts w:ascii="Times New Roman" w:hAnsi="Times New Roman" w:cs="Times New Roman"/>
          <w:sz w:val="21"/>
        </w:rPr>
      </w:pPr>
      <w:r>
        <w:rPr>
          <w:rFonts w:ascii="Times New Roman" w:hAnsi="Times New Roman" w:cs="Times New Roman"/>
          <w:b/>
          <w:sz w:val="21"/>
        </w:rPr>
        <w:t xml:space="preserve">5.3.10  </w:t>
      </w:r>
      <w:r>
        <w:rPr>
          <w:rFonts w:ascii="Times New Roman" w:hAnsi="Times New Roman" w:cs="Times New Roman"/>
          <w:sz w:val="21"/>
        </w:rPr>
        <w:t>表土剥离厚度应按各剥离单元分别确定，耕地的耕作层、梨底层宜分别为30cm、20cm~30cm，林草地宜为</w:t>
      </w:r>
      <w:bookmarkStart w:id="519" w:name="OLE_LINK45"/>
      <w:bookmarkStart w:id="520" w:name="OLE_LINK44"/>
      <w:r>
        <w:rPr>
          <w:rFonts w:ascii="Times New Roman" w:hAnsi="Times New Roman" w:cs="Times New Roman"/>
          <w:sz w:val="21"/>
        </w:rPr>
        <w:t>10cm~30cm，</w:t>
      </w:r>
      <w:bookmarkEnd w:id="519"/>
      <w:bookmarkEnd w:id="520"/>
      <w:r>
        <w:rPr>
          <w:rFonts w:ascii="Times New Roman" w:hAnsi="Times New Roman" w:cs="Times New Roman"/>
          <w:sz w:val="21"/>
        </w:rPr>
        <w:t>土层深厚、土壤深耕程度高且质量符合设计要求的地区适当增加剥离厚度。黑土地分布地区应根据黑土资源保护要求和标准确定剥离厚度，岩溶地区、高寒草原草甸地区和土层较薄的地区按实际表土厚度确定剥离厚度。</w:t>
      </w:r>
    </w:p>
    <w:p w14:paraId="7F759BE9">
      <w:pPr>
        <w:spacing w:line="360" w:lineRule="auto"/>
        <w:rPr>
          <w:rFonts w:ascii="Times New Roman" w:hAnsi="Times New Roman" w:cs="Times New Roman"/>
          <w:sz w:val="21"/>
        </w:rPr>
      </w:pPr>
      <w:r>
        <w:rPr>
          <w:rFonts w:ascii="Times New Roman" w:hAnsi="Times New Roman" w:cs="Times New Roman"/>
          <w:b/>
          <w:sz w:val="21"/>
        </w:rPr>
        <w:t>5.3.11</w:t>
      </w:r>
      <w:r>
        <w:rPr>
          <w:rFonts w:ascii="Times New Roman" w:hAnsi="Times New Roman" w:cs="Times New Roman"/>
          <w:sz w:val="21"/>
        </w:rPr>
        <w:t xml:space="preserve">  表土剥离量应根据各表土剥离单元的剥离厚度和范围分类确定，且应扣除表土层中夹杂的砾石、植物根系、其他杂物等。</w:t>
      </w:r>
    </w:p>
    <w:p w14:paraId="5EA5FC9A">
      <w:pPr>
        <w:spacing w:line="360" w:lineRule="auto"/>
        <w:rPr>
          <w:rFonts w:ascii="Times New Roman" w:hAnsi="Times New Roman" w:cs="Times New Roman"/>
          <w:sz w:val="21"/>
        </w:rPr>
      </w:pPr>
      <w:r>
        <w:rPr>
          <w:rFonts w:ascii="Times New Roman" w:hAnsi="Times New Roman" w:cs="Times New Roman"/>
          <w:b/>
          <w:sz w:val="21"/>
        </w:rPr>
        <w:t xml:space="preserve">5.3.12  </w:t>
      </w:r>
      <w:r>
        <w:rPr>
          <w:rFonts w:ascii="Times New Roman" w:hAnsi="Times New Roman" w:cs="Times New Roman"/>
          <w:sz w:val="21"/>
        </w:rPr>
        <w:t>表土</w:t>
      </w:r>
      <w:bookmarkStart w:id="521" w:name="OLE_LINK60"/>
      <w:bookmarkStart w:id="522" w:name="OLE_LINK59"/>
      <w:bookmarkStart w:id="523" w:name="OLE_LINK57"/>
      <w:bookmarkStart w:id="524" w:name="OLE_LINK58"/>
      <w:r>
        <w:rPr>
          <w:rFonts w:ascii="Times New Roman" w:hAnsi="Times New Roman" w:cs="Times New Roman"/>
          <w:sz w:val="21"/>
        </w:rPr>
        <w:t>剥离时间选择应避开冰冻季节、降水天气，宜安排在土壤水分适宜、剥离活动造成土壤的侵蚀和结构破坏较轻微的时间。</w:t>
      </w:r>
      <w:bookmarkEnd w:id="521"/>
      <w:bookmarkEnd w:id="522"/>
    </w:p>
    <w:bookmarkEnd w:id="523"/>
    <w:bookmarkEnd w:id="524"/>
    <w:p w14:paraId="18AE94BD">
      <w:pPr>
        <w:spacing w:line="360" w:lineRule="auto"/>
        <w:rPr>
          <w:rFonts w:ascii="Times New Roman" w:hAnsi="Times New Roman" w:cs="Times New Roman"/>
          <w:sz w:val="21"/>
        </w:rPr>
      </w:pPr>
      <w:r>
        <w:rPr>
          <w:rFonts w:ascii="Times New Roman" w:hAnsi="Times New Roman" w:cs="Times New Roman"/>
          <w:b/>
          <w:sz w:val="21"/>
        </w:rPr>
        <w:t>5.3.13</w:t>
      </w:r>
      <w:r>
        <w:rPr>
          <w:rFonts w:ascii="Times New Roman" w:hAnsi="Times New Roman" w:cs="Times New Roman"/>
          <w:sz w:val="21"/>
        </w:rPr>
        <w:t xml:space="preserve">  表土剥离方法根据剥离区地面状况、地形条件、表土厚度等因素确定。地面较平整、坡度较缓、表土层较厚的宜采用机械剥离，地面起伏大、坡度较陡、表土层较薄，宜采用人工剥离。在剥离单元内宜按条带状进行剥离，山区、丘陵区剥离条带宜沿等高线设置。</w:t>
      </w:r>
    </w:p>
    <w:p w14:paraId="79E2BEDB">
      <w:pPr>
        <w:spacing w:line="360" w:lineRule="auto"/>
        <w:rPr>
          <w:rFonts w:ascii="Times New Roman" w:hAnsi="Times New Roman" w:cs="Times New Roman"/>
          <w:sz w:val="21"/>
        </w:rPr>
      </w:pPr>
      <w:bookmarkStart w:id="525" w:name="OLE_LINK47"/>
      <w:bookmarkStart w:id="526" w:name="OLE_LINK46"/>
      <w:bookmarkStart w:id="527" w:name="OLE_LINK48"/>
      <w:r>
        <w:rPr>
          <w:rFonts w:ascii="Times New Roman" w:hAnsi="Times New Roman" w:cs="Times New Roman"/>
          <w:b/>
          <w:sz w:val="21"/>
        </w:rPr>
        <w:t>5.3.14</w:t>
      </w:r>
      <w:r>
        <w:rPr>
          <w:rFonts w:ascii="Times New Roman" w:hAnsi="Times New Roman" w:cs="Times New Roman"/>
          <w:sz w:val="21"/>
        </w:rPr>
        <w:t xml:space="preserve">  剥离表土收集与运输</w:t>
      </w:r>
      <w:bookmarkEnd w:id="525"/>
      <w:bookmarkEnd w:id="526"/>
      <w:bookmarkEnd w:id="527"/>
      <w:r>
        <w:rPr>
          <w:rFonts w:ascii="Times New Roman" w:hAnsi="Times New Roman" w:cs="Times New Roman"/>
          <w:sz w:val="21"/>
        </w:rPr>
        <w:t>应合理确定机械、车辆行驶路线与作业人员活动范围，避免或减轻对表土的压实或破坏。</w:t>
      </w:r>
    </w:p>
    <w:p w14:paraId="7C66CCFE">
      <w:pPr>
        <w:keepNext/>
        <w:keepLines/>
        <w:spacing w:before="260" w:after="260" w:line="416" w:lineRule="auto"/>
        <w:jc w:val="center"/>
        <w:outlineLvl w:val="2"/>
        <w:rPr>
          <w:rFonts w:ascii="Times New Roman" w:hAnsi="Times New Roman" w:eastAsia="黑体" w:cs="Times New Roman"/>
          <w:bCs/>
          <w:sz w:val="24"/>
          <w:szCs w:val="24"/>
        </w:rPr>
      </w:pPr>
      <w:r>
        <w:rPr>
          <w:rFonts w:ascii="Times New Roman" w:hAnsi="Times New Roman" w:cs="Times New Roman"/>
          <w:bCs/>
          <w:sz w:val="24"/>
          <w:szCs w:val="24"/>
        </w:rPr>
        <w:t xml:space="preserve">Ⅲ </w:t>
      </w:r>
      <w:r>
        <w:rPr>
          <w:rFonts w:ascii="Times New Roman" w:hAnsi="Times New Roman" w:eastAsia="黑体" w:cs="Times New Roman"/>
          <w:bCs/>
          <w:sz w:val="24"/>
          <w:szCs w:val="24"/>
        </w:rPr>
        <w:t>表土堆存与防护</w:t>
      </w:r>
    </w:p>
    <w:p w14:paraId="0488F342">
      <w:pPr>
        <w:spacing w:line="360" w:lineRule="auto"/>
        <w:rPr>
          <w:rFonts w:ascii="Times New Roman" w:hAnsi="Times New Roman" w:cs="Times New Roman"/>
          <w:sz w:val="21"/>
        </w:rPr>
      </w:pPr>
      <w:r>
        <w:rPr>
          <w:rFonts w:ascii="Times New Roman" w:hAnsi="Times New Roman" w:cs="Times New Roman"/>
          <w:b/>
          <w:sz w:val="21"/>
        </w:rPr>
        <w:t>5.3.15</w:t>
      </w:r>
      <w:r>
        <w:rPr>
          <w:rFonts w:ascii="Times New Roman" w:hAnsi="Times New Roman" w:cs="Times New Roman"/>
          <w:sz w:val="21"/>
        </w:rPr>
        <w:t xml:space="preserve">  表土剥离后不满足即剥即用条件的，应设置专用表土堆存场集中堆存。</w:t>
      </w:r>
    </w:p>
    <w:p w14:paraId="0EBCC860">
      <w:pPr>
        <w:spacing w:line="360" w:lineRule="auto"/>
        <w:rPr>
          <w:rFonts w:ascii="Times New Roman" w:hAnsi="Times New Roman" w:cs="Times New Roman"/>
          <w:sz w:val="21"/>
        </w:rPr>
      </w:pPr>
      <w:r>
        <w:rPr>
          <w:rFonts w:ascii="Times New Roman" w:hAnsi="Times New Roman" w:cs="Times New Roman"/>
          <w:b/>
          <w:sz w:val="21"/>
        </w:rPr>
        <w:t>5.3.16</w:t>
      </w:r>
      <w:r>
        <w:rPr>
          <w:rFonts w:ascii="Times New Roman" w:hAnsi="Times New Roman" w:cs="Times New Roman"/>
          <w:sz w:val="21"/>
        </w:rPr>
        <w:t xml:space="preserve">  表土堆存场应综合考虑主体工程施工组织、表土剥离及利用时序、表土最大堆存量等因素合理设置。表土堆存场地选址应符合下列规定： </w:t>
      </w:r>
    </w:p>
    <w:p w14:paraId="21473C5C">
      <w:pPr>
        <w:spacing w:line="360" w:lineRule="auto"/>
        <w:ind w:firstLine="422" w:firstLineChars="200"/>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宜地形平缓，场地稳定。</w:t>
      </w:r>
    </w:p>
    <w:p w14:paraId="5C4B7861">
      <w:pPr>
        <w:spacing w:line="360" w:lineRule="auto"/>
        <w:ind w:firstLine="422" w:firstLineChars="200"/>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交通方便、便于表土资源后期利用。</w:t>
      </w:r>
    </w:p>
    <w:p w14:paraId="172A82F8">
      <w:pPr>
        <w:spacing w:line="360" w:lineRule="auto"/>
        <w:ind w:firstLine="422" w:firstLineChars="200"/>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w:t>
      </w:r>
      <w:r>
        <w:rPr>
          <w:rFonts w:hint="eastAsia" w:ascii="Times New Roman" w:hAnsi="Times New Roman" w:cs="Times New Roman"/>
          <w:sz w:val="21"/>
        </w:rPr>
        <w:t>附近</w:t>
      </w:r>
      <w:r>
        <w:rPr>
          <w:rFonts w:ascii="Times New Roman" w:hAnsi="Times New Roman" w:cs="Times New Roman"/>
          <w:sz w:val="21"/>
        </w:rPr>
        <w:t>表土资源相对集中，运距合理。</w:t>
      </w:r>
    </w:p>
    <w:p w14:paraId="74B9CFA0">
      <w:pPr>
        <w:spacing w:line="360" w:lineRule="auto"/>
        <w:ind w:firstLine="422" w:firstLineChars="200"/>
        <w:rPr>
          <w:rFonts w:ascii="Times New Roman" w:hAnsi="Times New Roman" w:cs="Times New Roman"/>
          <w:sz w:val="21"/>
        </w:rPr>
      </w:pPr>
      <w:r>
        <w:rPr>
          <w:rFonts w:ascii="Times New Roman" w:hAnsi="Times New Roman" w:cs="Times New Roman"/>
          <w:b/>
          <w:sz w:val="21"/>
        </w:rPr>
        <w:t>4</w:t>
      </w:r>
      <w:r>
        <w:rPr>
          <w:rFonts w:ascii="Times New Roman" w:hAnsi="Times New Roman" w:cs="Times New Roman"/>
          <w:sz w:val="21"/>
        </w:rPr>
        <w:t xml:space="preserve">  不易受水流冲刷，周边环境满足安全要求。</w:t>
      </w:r>
    </w:p>
    <w:p w14:paraId="3BA7E67F">
      <w:pPr>
        <w:spacing w:line="360" w:lineRule="auto"/>
        <w:rPr>
          <w:rFonts w:ascii="Times New Roman" w:hAnsi="Times New Roman" w:cs="Times New Roman"/>
          <w:sz w:val="21"/>
        </w:rPr>
      </w:pPr>
      <w:r>
        <w:rPr>
          <w:rFonts w:ascii="Times New Roman" w:hAnsi="Times New Roman" w:cs="Times New Roman"/>
          <w:b/>
          <w:sz w:val="21"/>
        </w:rPr>
        <w:t>5.3.17</w:t>
      </w:r>
      <w:r>
        <w:rPr>
          <w:rFonts w:ascii="Times New Roman" w:hAnsi="Times New Roman" w:cs="Times New Roman"/>
          <w:sz w:val="21"/>
        </w:rPr>
        <w:t xml:space="preserve">  表土堆存场堆置应稳定安全，且有利于表土质量维持。当分类剥离的表土堆存于同一表土堆存场时应进行分区设计。表土堆存厚度不宜超过4m，草甸土、砾幕层堆存厚度不宜超过2m，堆存边坡坡比应满足安全稳定要求且不宜陡于1</w:t>
      </w:r>
      <w:r>
        <w:rPr>
          <w:rFonts w:hint="eastAsia" w:ascii="Times New Roman" w:hAnsi="Times New Roman" w:cs="Times New Roman"/>
          <w:sz w:val="21"/>
        </w:rPr>
        <w:t>:</w:t>
      </w:r>
      <w:r>
        <w:rPr>
          <w:rFonts w:ascii="Times New Roman" w:hAnsi="Times New Roman" w:cs="Times New Roman"/>
          <w:sz w:val="21"/>
        </w:rPr>
        <w:t>2。</w:t>
      </w:r>
    </w:p>
    <w:p w14:paraId="297C22B2">
      <w:pPr>
        <w:spacing w:line="360" w:lineRule="auto"/>
        <w:rPr>
          <w:rFonts w:ascii="Times New Roman" w:hAnsi="Times New Roman" w:cs="Times New Roman"/>
          <w:sz w:val="21"/>
        </w:rPr>
      </w:pPr>
      <w:r>
        <w:rPr>
          <w:rFonts w:ascii="Times New Roman" w:hAnsi="Times New Roman" w:cs="Times New Roman"/>
          <w:b/>
          <w:sz w:val="21"/>
        </w:rPr>
        <w:t>5.3.18</w:t>
      </w:r>
      <w:r>
        <w:rPr>
          <w:rFonts w:ascii="Times New Roman" w:hAnsi="Times New Roman" w:cs="Times New Roman"/>
          <w:sz w:val="21"/>
        </w:rPr>
        <w:t xml:space="preserve">  表土堆存场应采取拦挡和截排洪（水）措施，措施设计标准和要求应按照本标准临时堆渣场的相关要求执行。</w:t>
      </w:r>
    </w:p>
    <w:p w14:paraId="17D1E6B5">
      <w:pPr>
        <w:spacing w:line="360" w:lineRule="auto"/>
        <w:jc w:val="left"/>
        <w:rPr>
          <w:rFonts w:ascii="Times New Roman" w:hAnsi="Times New Roman" w:cs="Times New Roman" w:eastAsiaTheme="minorEastAsia"/>
          <w:bCs/>
          <w:sz w:val="21"/>
          <w:szCs w:val="21"/>
        </w:rPr>
      </w:pPr>
      <w:r>
        <w:rPr>
          <w:rFonts w:ascii="Times New Roman" w:hAnsi="Times New Roman" w:cs="Times New Roman"/>
          <w:b/>
          <w:sz w:val="21"/>
        </w:rPr>
        <w:t>5.3.19</w:t>
      </w:r>
      <w:r>
        <w:rPr>
          <w:rFonts w:ascii="Times New Roman" w:hAnsi="Times New Roman" w:cs="Times New Roman"/>
          <w:sz w:val="21"/>
        </w:rPr>
        <w:t xml:space="preserve">  表土动态堆存期间，应采取临时苫盖措施，堆存时间超过1年的，应采取临时植物防护措施。</w:t>
      </w:r>
    </w:p>
    <w:p w14:paraId="721107F1">
      <w:pPr>
        <w:keepNext/>
        <w:keepLines/>
        <w:spacing w:before="260" w:after="260" w:line="416" w:lineRule="auto"/>
        <w:jc w:val="center"/>
        <w:outlineLvl w:val="1"/>
        <w:rPr>
          <w:rFonts w:ascii="Times New Roman" w:hAnsi="Times New Roman" w:eastAsia="黑体" w:cs="Times New Roman"/>
          <w:bCs/>
          <w:sz w:val="30"/>
          <w:szCs w:val="32"/>
        </w:rPr>
      </w:pPr>
      <w:bookmarkStart w:id="528" w:name="_Toc221"/>
      <w:bookmarkStart w:id="529" w:name="_Toc22909"/>
      <w:r>
        <w:rPr>
          <w:rFonts w:ascii="Times New Roman" w:hAnsi="Times New Roman" w:eastAsia="黑体" w:cs="Times New Roman"/>
          <w:bCs/>
          <w:sz w:val="30"/>
          <w:szCs w:val="32"/>
        </w:rPr>
        <w:t>5</w:t>
      </w:r>
      <w:r>
        <w:rPr>
          <w:rFonts w:ascii="Times New Roman" w:hAnsi="Times New Roman" w:cs="Times New Roman"/>
          <w:bCs/>
          <w:sz w:val="30"/>
          <w:szCs w:val="32"/>
        </w:rPr>
        <w:t>.</w:t>
      </w:r>
      <w:r>
        <w:rPr>
          <w:rFonts w:ascii="Times New Roman" w:hAnsi="Times New Roman" w:eastAsia="黑体" w:cs="Times New Roman"/>
          <w:bCs/>
          <w:sz w:val="30"/>
          <w:szCs w:val="32"/>
        </w:rPr>
        <w:t>4 拦渣工程</w:t>
      </w:r>
      <w:bookmarkEnd w:id="528"/>
      <w:bookmarkEnd w:id="529"/>
    </w:p>
    <w:p w14:paraId="40494F81">
      <w:pPr>
        <w:keepNext/>
        <w:keepLines/>
        <w:spacing w:before="260" w:after="260"/>
        <w:jc w:val="center"/>
        <w:outlineLvl w:val="2"/>
        <w:rPr>
          <w:rFonts w:ascii="Times New Roman" w:hAnsi="Times New Roman" w:cs="Times New Roman"/>
          <w:bCs/>
          <w:sz w:val="24"/>
          <w:szCs w:val="24"/>
        </w:rPr>
      </w:pPr>
      <w:bookmarkStart w:id="530" w:name="_Toc319591667"/>
      <w:bookmarkStart w:id="531" w:name="_Toc310842211"/>
      <w:bookmarkStart w:id="532" w:name="_Toc360528862"/>
      <w:bookmarkStart w:id="533" w:name="_Toc360519988"/>
      <w:bookmarkStart w:id="534" w:name="_Toc323828665"/>
      <w:bookmarkStart w:id="535" w:name="_Toc310525421"/>
      <w:bookmarkStart w:id="536" w:name="_Toc324282287"/>
      <w:bookmarkStart w:id="537" w:name="_Toc319512926"/>
      <w:bookmarkStart w:id="538" w:name="_Toc324287579"/>
      <w:bookmarkStart w:id="539" w:name="_Toc323805629"/>
      <w:bookmarkStart w:id="540" w:name="_Toc360526268"/>
      <w:bookmarkStart w:id="541" w:name="_Toc324280252"/>
      <w:r>
        <w:rPr>
          <w:rFonts w:ascii="Times New Roman" w:hAnsi="Times New Roman" w:cs="Times New Roman"/>
          <w:bCs/>
          <w:sz w:val="24"/>
          <w:szCs w:val="24"/>
        </w:rPr>
        <w:t xml:space="preserve">Ⅰ </w:t>
      </w:r>
      <w:r>
        <w:rPr>
          <w:rFonts w:ascii="Times New Roman" w:hAnsi="Times New Roman" w:eastAsia="黑体" w:cs="Times New Roman"/>
          <w:bCs/>
          <w:sz w:val="24"/>
          <w:szCs w:val="24"/>
        </w:rPr>
        <w:t>一般规定</w:t>
      </w:r>
      <w:bookmarkEnd w:id="530"/>
      <w:bookmarkEnd w:id="531"/>
      <w:bookmarkEnd w:id="532"/>
      <w:bookmarkEnd w:id="533"/>
      <w:bookmarkEnd w:id="534"/>
      <w:bookmarkEnd w:id="535"/>
      <w:bookmarkEnd w:id="536"/>
      <w:bookmarkEnd w:id="537"/>
      <w:bookmarkEnd w:id="538"/>
      <w:bookmarkEnd w:id="539"/>
      <w:bookmarkEnd w:id="540"/>
      <w:bookmarkEnd w:id="541"/>
    </w:p>
    <w:p w14:paraId="5E5B3E14">
      <w:pPr>
        <w:spacing w:line="360" w:lineRule="auto"/>
        <w:rPr>
          <w:rFonts w:ascii="Times New Roman" w:hAnsi="Times New Roman" w:cs="Times New Roman"/>
          <w:sz w:val="21"/>
          <w:szCs w:val="24"/>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w:t>
      </w:r>
      <w:r>
        <w:rPr>
          <w:rFonts w:ascii="Times New Roman" w:hAnsi="Times New Roman" w:eastAsia="黑体" w:cs="Times New Roman"/>
          <w:sz w:val="21"/>
          <w:szCs w:val="21"/>
        </w:rPr>
        <w:t xml:space="preserve">  </w:t>
      </w:r>
      <w:r>
        <w:rPr>
          <w:rFonts w:ascii="Times New Roman" w:hAnsi="Times New Roman" w:cs="Times New Roman"/>
          <w:sz w:val="21"/>
          <w:szCs w:val="24"/>
        </w:rPr>
        <w:t>拦</w:t>
      </w:r>
      <w:r>
        <w:rPr>
          <w:rFonts w:ascii="Times New Roman" w:hAnsi="Times New Roman" w:cs="Times New Roman"/>
          <w:sz w:val="21"/>
          <w:szCs w:val="24"/>
          <w:u w:val="single"/>
        </w:rPr>
        <w:t>渣</w:t>
      </w:r>
      <w:r>
        <w:rPr>
          <w:rFonts w:ascii="Times New Roman" w:hAnsi="Times New Roman" w:cs="Times New Roman"/>
          <w:sz w:val="21"/>
          <w:szCs w:val="24"/>
        </w:rPr>
        <w:t>工程应包括挡渣墙、拦渣坝、拦渣堤、围渣堰等。</w:t>
      </w:r>
    </w:p>
    <w:p w14:paraId="6CB584C5">
      <w:pPr>
        <w:spacing w:line="360" w:lineRule="auto"/>
        <w:rPr>
          <w:rFonts w:ascii="Times New Roman" w:hAnsi="Times New Roman" w:cs="Times New Roman"/>
          <w:sz w:val="21"/>
          <w:szCs w:val="24"/>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 xml:space="preserve">2  </w:t>
      </w:r>
      <w:r>
        <w:rPr>
          <w:rFonts w:ascii="Times New Roman" w:hAnsi="Times New Roman" w:cs="Times New Roman"/>
          <w:sz w:val="21"/>
          <w:szCs w:val="24"/>
        </w:rPr>
        <w:t>拦渣工程类型应根据弃渣场类型、弃渣堆置方案、拦渣工程涉水情况等确定。</w:t>
      </w:r>
    </w:p>
    <w:p w14:paraId="5715C2FF">
      <w:pPr>
        <w:spacing w:line="360" w:lineRule="auto"/>
        <w:rPr>
          <w:rFonts w:ascii="Times New Roman" w:hAnsi="Times New Roman" w:cs="Times New Roman"/>
          <w:sz w:val="21"/>
          <w:szCs w:val="24"/>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3</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拦渣工程设计所需基本资料应包括下列内容：</w:t>
      </w:r>
    </w:p>
    <w:p w14:paraId="24B656B7">
      <w:pPr>
        <w:spacing w:line="360" w:lineRule="auto"/>
        <w:ind w:firstLine="426" w:firstLineChars="202"/>
        <w:rPr>
          <w:rFonts w:ascii="Times New Roman" w:hAnsi="Times New Roman" w:cs="Times New Roman"/>
          <w:sz w:val="21"/>
          <w:szCs w:val="24"/>
        </w:rPr>
      </w:pPr>
      <w:r>
        <w:rPr>
          <w:rFonts w:ascii="Times New Roman" w:hAnsi="Times New Roman" w:eastAsia="黑体" w:cs="Times New Roman"/>
          <w:b/>
          <w:sz w:val="21"/>
          <w:szCs w:val="21"/>
        </w:rPr>
        <w:t>1</w:t>
      </w:r>
      <w:r>
        <w:rPr>
          <w:rFonts w:ascii="Times New Roman" w:hAnsi="Times New Roman" w:eastAsia="黑体" w:cs="Times New Roman"/>
          <w:sz w:val="21"/>
          <w:szCs w:val="21"/>
        </w:rPr>
        <w:t xml:space="preserve">  </w:t>
      </w:r>
      <w:r>
        <w:rPr>
          <w:rFonts w:ascii="Times New Roman" w:hAnsi="Times New Roman" w:cs="Times New Roman"/>
          <w:sz w:val="21"/>
          <w:szCs w:val="24"/>
        </w:rPr>
        <w:t>场址地形图，地基地层岩性、覆盖层组成及厚度、渣体及地基物理力学参数等资料。</w:t>
      </w:r>
    </w:p>
    <w:p w14:paraId="1FBDD5AD">
      <w:pPr>
        <w:spacing w:line="360" w:lineRule="auto"/>
        <w:ind w:firstLine="426" w:firstLineChars="202"/>
        <w:rPr>
          <w:rFonts w:ascii="Times New Roman" w:hAnsi="Times New Roman" w:cs="Times New Roman"/>
          <w:b/>
          <w:sz w:val="24"/>
          <w:szCs w:val="24"/>
        </w:rPr>
      </w:pPr>
      <w:r>
        <w:rPr>
          <w:rFonts w:ascii="Times New Roman" w:hAnsi="Times New Roman" w:eastAsia="黑体" w:cs="Times New Roman"/>
          <w:b/>
          <w:sz w:val="21"/>
          <w:szCs w:val="21"/>
        </w:rPr>
        <w:t>2</w:t>
      </w:r>
      <w:r>
        <w:rPr>
          <w:rFonts w:ascii="Times New Roman" w:hAnsi="Times New Roman" w:cs="Times New Roman"/>
          <w:sz w:val="21"/>
          <w:szCs w:val="24"/>
        </w:rPr>
        <w:t xml:space="preserve">  与拦渣工程设防标准相应的河（沟）道的洪水流量、流速及洪水位，冻土深度等水文气象资料。</w:t>
      </w:r>
    </w:p>
    <w:p w14:paraId="084F4B99">
      <w:pPr>
        <w:spacing w:line="360" w:lineRule="auto"/>
        <w:rPr>
          <w:rFonts w:ascii="Times New Roman" w:hAnsi="Times New Roman" w:cs="Times New Roman"/>
          <w:sz w:val="21"/>
          <w:szCs w:val="24"/>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拦渣工程</w:t>
      </w:r>
      <w:r>
        <w:rPr>
          <w:rFonts w:ascii="Times New Roman" w:hAnsi="Times New Roman" w:cs="Times New Roman"/>
          <w:bCs/>
          <w:sz w:val="21"/>
          <w:szCs w:val="24"/>
        </w:rPr>
        <w:t>应布置在弃渣场坡脚，轴线</w:t>
      </w:r>
      <w:r>
        <w:rPr>
          <w:rFonts w:ascii="Times New Roman" w:hAnsi="Times New Roman" w:cs="Times New Roman"/>
          <w:sz w:val="21"/>
          <w:szCs w:val="24"/>
        </w:rPr>
        <w:t>布置</w:t>
      </w:r>
      <w:r>
        <w:rPr>
          <w:rFonts w:ascii="Times New Roman" w:hAnsi="Times New Roman" w:cs="Times New Roman"/>
          <w:bCs/>
          <w:sz w:val="21"/>
          <w:szCs w:val="24"/>
        </w:rPr>
        <w:t>宜顺直，拦渣墙、</w:t>
      </w:r>
      <w:r>
        <w:rPr>
          <w:rFonts w:ascii="Times New Roman" w:hAnsi="Times New Roman" w:cs="Times New Roman"/>
          <w:sz w:val="21"/>
          <w:szCs w:val="24"/>
        </w:rPr>
        <w:t>拦渣堤、围渣堰</w:t>
      </w:r>
      <w:r>
        <w:rPr>
          <w:rFonts w:ascii="Times New Roman" w:hAnsi="Times New Roman" w:cs="Times New Roman"/>
          <w:bCs/>
          <w:sz w:val="21"/>
          <w:szCs w:val="24"/>
        </w:rPr>
        <w:t>转折处宜采用平滑曲线连接。</w:t>
      </w:r>
      <w:r>
        <w:rPr>
          <w:rFonts w:ascii="Times New Roman" w:hAnsi="Times New Roman" w:cs="Times New Roman"/>
          <w:sz w:val="21"/>
          <w:szCs w:val="24"/>
        </w:rPr>
        <w:t>拦渣坝轴线应垂直于沟道布置。</w:t>
      </w:r>
    </w:p>
    <w:p w14:paraId="55591C10">
      <w:pPr>
        <w:spacing w:line="360" w:lineRule="auto"/>
        <w:rPr>
          <w:rFonts w:ascii="Times New Roman" w:hAnsi="Times New Roman" w:cs="Times New Roman"/>
          <w:sz w:val="21"/>
          <w:szCs w:val="24"/>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 xml:space="preserve"> </w:t>
      </w:r>
      <w:r>
        <w:rPr>
          <w:rFonts w:ascii="Times New Roman" w:hAnsi="Times New Roman" w:cs="Times New Roman"/>
          <w:sz w:val="21"/>
          <w:szCs w:val="24"/>
        </w:rPr>
        <w:t xml:space="preserve"> 弃渣场拦渣工程稳定安全应符合下列要求：</w:t>
      </w:r>
    </w:p>
    <w:p w14:paraId="3362EC77">
      <w:pPr>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挡渣墙（浆砌石、混凝土、钢筋混凝土等）基底抗滑稳定安全系数不应小于表5.4.5-1规定的允许值。</w:t>
      </w:r>
    </w:p>
    <w:p w14:paraId="1C030407">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4</w:t>
      </w:r>
      <w:r>
        <w:rPr>
          <w:rFonts w:ascii="Times New Roman" w:hAnsi="Times New Roman" w:cs="Times New Roman"/>
          <w:sz w:val="18"/>
          <w:szCs w:val="18"/>
        </w:rPr>
        <w:t>.</w:t>
      </w:r>
      <w:r>
        <w:rPr>
          <w:rFonts w:ascii="Times New Roman" w:hAnsi="Times New Roman" w:eastAsia="黑体" w:cs="Times New Roman"/>
          <w:sz w:val="18"/>
          <w:szCs w:val="18"/>
        </w:rPr>
        <w:t>5-1  挡渣墙基底抗滑稳定安全系数</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8"/>
        <w:gridCol w:w="503"/>
        <w:gridCol w:w="827"/>
        <w:gridCol w:w="689"/>
        <w:gridCol w:w="691"/>
        <w:gridCol w:w="689"/>
        <w:gridCol w:w="687"/>
        <w:gridCol w:w="687"/>
        <w:gridCol w:w="551"/>
        <w:gridCol w:w="551"/>
        <w:gridCol w:w="414"/>
        <w:gridCol w:w="1011"/>
      </w:tblGrid>
      <w:tr w14:paraId="48AD53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591" w:type="pct"/>
            <w:vMerge w:val="restart"/>
            <w:tcBorders>
              <w:top w:val="single" w:color="auto" w:sz="12" w:space="0"/>
              <w:left w:val="single" w:color="auto" w:sz="12" w:space="0"/>
              <w:bottom w:val="single" w:color="auto" w:sz="4" w:space="0"/>
              <w:right w:val="single" w:color="auto" w:sz="4" w:space="0"/>
            </w:tcBorders>
            <w:noWrap/>
            <w:vAlign w:val="center"/>
          </w:tcPr>
          <w:p w14:paraId="5F79DDA7">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计算工况</w:t>
            </w:r>
          </w:p>
        </w:tc>
        <w:tc>
          <w:tcPr>
            <w:tcW w:w="2052" w:type="pct"/>
            <w:gridSpan w:val="5"/>
            <w:tcBorders>
              <w:top w:val="single" w:color="auto" w:sz="12" w:space="0"/>
              <w:left w:val="single" w:color="auto" w:sz="4" w:space="0"/>
              <w:bottom w:val="single" w:color="auto" w:sz="4" w:space="0"/>
              <w:right w:val="single" w:color="auto" w:sz="4" w:space="0"/>
            </w:tcBorders>
            <w:noWrap/>
            <w:vAlign w:val="center"/>
          </w:tcPr>
          <w:p w14:paraId="529CBBE0">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土质地基</w:t>
            </w:r>
          </w:p>
        </w:tc>
        <w:tc>
          <w:tcPr>
            <w:tcW w:w="2357" w:type="pct"/>
            <w:gridSpan w:val="6"/>
            <w:tcBorders>
              <w:top w:val="single" w:color="auto" w:sz="12" w:space="0"/>
              <w:left w:val="single" w:color="auto" w:sz="4" w:space="0"/>
              <w:bottom w:val="single" w:color="auto" w:sz="4" w:space="0"/>
              <w:right w:val="single" w:color="auto" w:sz="12" w:space="0"/>
            </w:tcBorders>
            <w:noWrap/>
            <w:vAlign w:val="center"/>
          </w:tcPr>
          <w:p w14:paraId="7B71A0BC">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岩石地基</w:t>
            </w:r>
          </w:p>
        </w:tc>
      </w:tr>
      <w:tr w14:paraId="5CA53F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591" w:type="pct"/>
            <w:vMerge w:val="continue"/>
            <w:tcBorders>
              <w:top w:val="single" w:color="auto" w:sz="4" w:space="0"/>
              <w:left w:val="single" w:color="auto" w:sz="12" w:space="0"/>
              <w:bottom w:val="single" w:color="auto" w:sz="4" w:space="0"/>
              <w:right w:val="single" w:color="auto" w:sz="4" w:space="0"/>
            </w:tcBorders>
            <w:vAlign w:val="center"/>
          </w:tcPr>
          <w:p w14:paraId="14BF1437">
            <w:pPr>
              <w:widowControl/>
              <w:jc w:val="center"/>
              <w:rPr>
                <w:rFonts w:ascii="Times New Roman" w:hAnsi="Times New Roman" w:cs="Times New Roman"/>
                <w:bCs/>
                <w:kern w:val="0"/>
                <w:sz w:val="15"/>
                <w:szCs w:val="15"/>
              </w:rPr>
            </w:pPr>
          </w:p>
        </w:tc>
        <w:tc>
          <w:tcPr>
            <w:tcW w:w="2052" w:type="pct"/>
            <w:gridSpan w:val="5"/>
            <w:tcBorders>
              <w:top w:val="single" w:color="auto" w:sz="4" w:space="0"/>
              <w:left w:val="single" w:color="auto" w:sz="4" w:space="0"/>
              <w:bottom w:val="single" w:color="auto" w:sz="4" w:space="0"/>
              <w:right w:val="single" w:color="auto" w:sz="4" w:space="0"/>
            </w:tcBorders>
            <w:noWrap/>
            <w:vAlign w:val="center"/>
          </w:tcPr>
          <w:p w14:paraId="7DD93A76">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挡渣墙级别</w:t>
            </w:r>
          </w:p>
        </w:tc>
        <w:tc>
          <w:tcPr>
            <w:tcW w:w="1746" w:type="pct"/>
            <w:gridSpan w:val="5"/>
            <w:tcBorders>
              <w:top w:val="single" w:color="auto" w:sz="4" w:space="0"/>
              <w:left w:val="single" w:color="auto" w:sz="4" w:space="0"/>
              <w:bottom w:val="single" w:color="auto" w:sz="4" w:space="0"/>
              <w:right w:val="single" w:color="auto" w:sz="4" w:space="0"/>
            </w:tcBorders>
            <w:vAlign w:val="center"/>
          </w:tcPr>
          <w:p w14:paraId="6A003BDB">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挡渣墙级别</w:t>
            </w:r>
          </w:p>
        </w:tc>
        <w:tc>
          <w:tcPr>
            <w:tcW w:w="611" w:type="pct"/>
            <w:vMerge w:val="restart"/>
            <w:tcBorders>
              <w:top w:val="single" w:color="auto" w:sz="4" w:space="0"/>
              <w:left w:val="single" w:color="auto" w:sz="4" w:space="0"/>
              <w:bottom w:val="single" w:color="auto" w:sz="4" w:space="0"/>
              <w:right w:val="single" w:color="auto" w:sz="12" w:space="0"/>
            </w:tcBorders>
            <w:vAlign w:val="center"/>
          </w:tcPr>
          <w:p w14:paraId="34DD37D8">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按抗剪断公式计算时</w:t>
            </w:r>
          </w:p>
        </w:tc>
      </w:tr>
      <w:tr w14:paraId="42DC81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91" w:type="pct"/>
            <w:vMerge w:val="continue"/>
            <w:tcBorders>
              <w:top w:val="single" w:color="auto" w:sz="4" w:space="0"/>
              <w:left w:val="single" w:color="auto" w:sz="12" w:space="0"/>
              <w:bottom w:val="single" w:color="auto" w:sz="4" w:space="0"/>
              <w:right w:val="single" w:color="auto" w:sz="4" w:space="0"/>
            </w:tcBorders>
            <w:vAlign w:val="center"/>
          </w:tcPr>
          <w:p w14:paraId="4E4CE5A4">
            <w:pPr>
              <w:widowControl/>
              <w:jc w:val="center"/>
              <w:rPr>
                <w:rFonts w:ascii="Times New Roman" w:hAnsi="Times New Roman" w:cs="Times New Roman"/>
                <w:bCs/>
                <w:kern w:val="0"/>
                <w:sz w:val="15"/>
                <w:szCs w:val="15"/>
              </w:rPr>
            </w:pPr>
          </w:p>
        </w:tc>
        <w:tc>
          <w:tcPr>
            <w:tcW w:w="304" w:type="pct"/>
            <w:tcBorders>
              <w:top w:val="single" w:color="auto" w:sz="4" w:space="0"/>
              <w:left w:val="single" w:color="auto" w:sz="4" w:space="0"/>
              <w:bottom w:val="single" w:color="auto" w:sz="4" w:space="0"/>
              <w:right w:val="single" w:color="auto" w:sz="4" w:space="0"/>
            </w:tcBorders>
            <w:noWrap/>
            <w:vAlign w:val="center"/>
          </w:tcPr>
          <w:p w14:paraId="76885C95">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w:t>
            </w:r>
          </w:p>
        </w:tc>
        <w:tc>
          <w:tcPr>
            <w:tcW w:w="499" w:type="pct"/>
            <w:tcBorders>
              <w:top w:val="single" w:color="auto" w:sz="4" w:space="0"/>
              <w:left w:val="single" w:color="auto" w:sz="4" w:space="0"/>
              <w:bottom w:val="single" w:color="auto" w:sz="4" w:space="0"/>
              <w:right w:val="single" w:color="auto" w:sz="4" w:space="0"/>
            </w:tcBorders>
            <w:noWrap/>
            <w:vAlign w:val="center"/>
          </w:tcPr>
          <w:p w14:paraId="113B8A50">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2</w:t>
            </w:r>
          </w:p>
        </w:tc>
        <w:tc>
          <w:tcPr>
            <w:tcW w:w="416" w:type="pct"/>
            <w:tcBorders>
              <w:top w:val="single" w:color="auto" w:sz="4" w:space="0"/>
              <w:left w:val="single" w:color="auto" w:sz="4" w:space="0"/>
              <w:bottom w:val="single" w:color="auto" w:sz="4" w:space="0"/>
              <w:right w:val="single" w:color="auto" w:sz="4" w:space="0"/>
            </w:tcBorders>
            <w:vAlign w:val="center"/>
          </w:tcPr>
          <w:p w14:paraId="3A69FF2A">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3</w:t>
            </w:r>
          </w:p>
        </w:tc>
        <w:tc>
          <w:tcPr>
            <w:tcW w:w="417" w:type="pct"/>
            <w:tcBorders>
              <w:top w:val="single" w:color="auto" w:sz="4" w:space="0"/>
              <w:left w:val="single" w:color="auto" w:sz="4" w:space="0"/>
              <w:bottom w:val="single" w:color="auto" w:sz="4" w:space="0"/>
              <w:right w:val="single" w:color="auto" w:sz="4" w:space="0"/>
            </w:tcBorders>
            <w:vAlign w:val="center"/>
          </w:tcPr>
          <w:p w14:paraId="7CF2AD45">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4</w:t>
            </w:r>
          </w:p>
        </w:tc>
        <w:tc>
          <w:tcPr>
            <w:tcW w:w="416" w:type="pct"/>
            <w:tcBorders>
              <w:top w:val="single" w:color="auto" w:sz="4" w:space="0"/>
              <w:left w:val="single" w:color="auto" w:sz="4" w:space="0"/>
              <w:bottom w:val="single" w:color="auto" w:sz="4" w:space="0"/>
              <w:right w:val="single" w:color="auto" w:sz="4" w:space="0"/>
            </w:tcBorders>
            <w:vAlign w:val="center"/>
          </w:tcPr>
          <w:p w14:paraId="69A48DC8">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5</w:t>
            </w:r>
          </w:p>
        </w:tc>
        <w:tc>
          <w:tcPr>
            <w:tcW w:w="415" w:type="pct"/>
            <w:tcBorders>
              <w:top w:val="single" w:color="auto" w:sz="4" w:space="0"/>
              <w:left w:val="single" w:color="auto" w:sz="4" w:space="0"/>
              <w:bottom w:val="single" w:color="auto" w:sz="4" w:space="0"/>
              <w:right w:val="single" w:color="auto" w:sz="4" w:space="0"/>
            </w:tcBorders>
            <w:vAlign w:val="center"/>
          </w:tcPr>
          <w:p w14:paraId="317A2AEA">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w:t>
            </w:r>
          </w:p>
        </w:tc>
        <w:tc>
          <w:tcPr>
            <w:tcW w:w="415" w:type="pct"/>
            <w:tcBorders>
              <w:top w:val="single" w:color="auto" w:sz="4" w:space="0"/>
              <w:left w:val="single" w:color="auto" w:sz="4" w:space="0"/>
              <w:bottom w:val="single" w:color="auto" w:sz="4" w:space="0"/>
              <w:right w:val="single" w:color="auto" w:sz="4" w:space="0"/>
            </w:tcBorders>
            <w:noWrap/>
            <w:vAlign w:val="center"/>
          </w:tcPr>
          <w:p w14:paraId="76BD98B0">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2</w:t>
            </w:r>
          </w:p>
        </w:tc>
        <w:tc>
          <w:tcPr>
            <w:tcW w:w="333" w:type="pct"/>
            <w:tcBorders>
              <w:top w:val="single" w:color="auto" w:sz="4" w:space="0"/>
              <w:left w:val="single" w:color="auto" w:sz="4" w:space="0"/>
              <w:bottom w:val="single" w:color="auto" w:sz="4" w:space="0"/>
              <w:right w:val="single" w:color="auto" w:sz="4" w:space="0"/>
            </w:tcBorders>
            <w:noWrap/>
            <w:vAlign w:val="center"/>
          </w:tcPr>
          <w:p w14:paraId="0D59D0E2">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3</w:t>
            </w:r>
          </w:p>
        </w:tc>
        <w:tc>
          <w:tcPr>
            <w:tcW w:w="333" w:type="pct"/>
            <w:tcBorders>
              <w:top w:val="single" w:color="auto" w:sz="4" w:space="0"/>
              <w:left w:val="single" w:color="auto" w:sz="4" w:space="0"/>
              <w:bottom w:val="single" w:color="auto" w:sz="4" w:space="0"/>
              <w:right w:val="single" w:color="auto" w:sz="4" w:space="0"/>
            </w:tcBorders>
            <w:noWrap/>
            <w:vAlign w:val="center"/>
          </w:tcPr>
          <w:p w14:paraId="6AF84407">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4</w:t>
            </w:r>
          </w:p>
        </w:tc>
        <w:tc>
          <w:tcPr>
            <w:tcW w:w="250" w:type="pct"/>
            <w:tcBorders>
              <w:top w:val="single" w:color="auto" w:sz="4" w:space="0"/>
              <w:left w:val="single" w:color="auto" w:sz="4" w:space="0"/>
              <w:bottom w:val="single" w:color="auto" w:sz="4" w:space="0"/>
              <w:right w:val="single" w:color="auto" w:sz="4" w:space="0"/>
            </w:tcBorders>
            <w:noWrap/>
            <w:vAlign w:val="center"/>
          </w:tcPr>
          <w:p w14:paraId="45817B2B">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5</w:t>
            </w:r>
          </w:p>
        </w:tc>
        <w:tc>
          <w:tcPr>
            <w:tcW w:w="611" w:type="pct"/>
            <w:vMerge w:val="continue"/>
            <w:tcBorders>
              <w:top w:val="single" w:color="auto" w:sz="4" w:space="0"/>
              <w:left w:val="single" w:color="auto" w:sz="4" w:space="0"/>
              <w:bottom w:val="single" w:color="auto" w:sz="4" w:space="0"/>
              <w:right w:val="single" w:color="auto" w:sz="12" w:space="0"/>
            </w:tcBorders>
            <w:vAlign w:val="center"/>
          </w:tcPr>
          <w:p w14:paraId="69281E30">
            <w:pPr>
              <w:widowControl/>
              <w:jc w:val="center"/>
              <w:rPr>
                <w:rFonts w:ascii="Times New Roman" w:hAnsi="Times New Roman" w:cs="Times New Roman"/>
                <w:bCs/>
                <w:kern w:val="0"/>
                <w:sz w:val="15"/>
                <w:szCs w:val="15"/>
              </w:rPr>
            </w:pPr>
          </w:p>
        </w:tc>
      </w:tr>
      <w:tr w14:paraId="37C8F5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591" w:type="pct"/>
            <w:tcBorders>
              <w:top w:val="single" w:color="auto" w:sz="4" w:space="0"/>
              <w:left w:val="single" w:color="auto" w:sz="12" w:space="0"/>
              <w:bottom w:val="single" w:color="auto" w:sz="4" w:space="0"/>
              <w:right w:val="single" w:color="auto" w:sz="4" w:space="0"/>
            </w:tcBorders>
            <w:noWrap/>
            <w:vAlign w:val="center"/>
          </w:tcPr>
          <w:p w14:paraId="205C1460">
            <w:pPr>
              <w:jc w:val="center"/>
              <w:rPr>
                <w:rFonts w:ascii="Times New Roman" w:hAnsi="Times New Roman" w:cs="Times New Roman"/>
                <w:sz w:val="15"/>
                <w:szCs w:val="15"/>
              </w:rPr>
            </w:pPr>
            <w:r>
              <w:rPr>
                <w:rFonts w:ascii="Times New Roman" w:hAnsi="Times New Roman" w:cs="Times New Roman"/>
                <w:sz w:val="15"/>
                <w:szCs w:val="15"/>
              </w:rPr>
              <w:t>正常运用</w:t>
            </w:r>
          </w:p>
        </w:tc>
        <w:tc>
          <w:tcPr>
            <w:tcW w:w="304" w:type="pct"/>
            <w:tcBorders>
              <w:top w:val="single" w:color="auto" w:sz="4" w:space="0"/>
              <w:left w:val="single" w:color="auto" w:sz="4" w:space="0"/>
              <w:bottom w:val="single" w:color="auto" w:sz="4" w:space="0"/>
              <w:right w:val="single" w:color="auto" w:sz="4" w:space="0"/>
            </w:tcBorders>
            <w:noWrap/>
            <w:vAlign w:val="center"/>
          </w:tcPr>
          <w:p w14:paraId="44B690DA">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1.35</w:t>
            </w:r>
          </w:p>
        </w:tc>
        <w:tc>
          <w:tcPr>
            <w:tcW w:w="499" w:type="pct"/>
            <w:tcBorders>
              <w:top w:val="single" w:color="auto" w:sz="4" w:space="0"/>
              <w:left w:val="single" w:color="auto" w:sz="4" w:space="0"/>
              <w:bottom w:val="single" w:color="auto" w:sz="4" w:space="0"/>
              <w:right w:val="single" w:color="auto" w:sz="4" w:space="0"/>
            </w:tcBorders>
            <w:noWrap/>
            <w:vAlign w:val="center"/>
          </w:tcPr>
          <w:p w14:paraId="25DD7B44">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1.30</w:t>
            </w:r>
          </w:p>
        </w:tc>
        <w:tc>
          <w:tcPr>
            <w:tcW w:w="416" w:type="pct"/>
            <w:tcBorders>
              <w:top w:val="single" w:color="auto" w:sz="4" w:space="0"/>
              <w:left w:val="single" w:color="auto" w:sz="4" w:space="0"/>
              <w:bottom w:val="single" w:color="auto" w:sz="4" w:space="0"/>
              <w:right w:val="single" w:color="auto" w:sz="4" w:space="0"/>
            </w:tcBorders>
            <w:vAlign w:val="center"/>
          </w:tcPr>
          <w:p w14:paraId="686096CE">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1.25</w:t>
            </w:r>
          </w:p>
        </w:tc>
        <w:tc>
          <w:tcPr>
            <w:tcW w:w="417" w:type="pct"/>
            <w:tcBorders>
              <w:top w:val="single" w:color="auto" w:sz="4" w:space="0"/>
              <w:left w:val="single" w:color="auto" w:sz="4" w:space="0"/>
              <w:bottom w:val="single" w:color="auto" w:sz="4" w:space="0"/>
              <w:right w:val="single" w:color="auto" w:sz="4" w:space="0"/>
            </w:tcBorders>
            <w:vAlign w:val="center"/>
          </w:tcPr>
          <w:p w14:paraId="5C60E42E">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1.20</w:t>
            </w:r>
          </w:p>
        </w:tc>
        <w:tc>
          <w:tcPr>
            <w:tcW w:w="416" w:type="pct"/>
            <w:tcBorders>
              <w:top w:val="single" w:color="auto" w:sz="4" w:space="0"/>
              <w:left w:val="single" w:color="auto" w:sz="4" w:space="0"/>
              <w:bottom w:val="single" w:color="auto" w:sz="4" w:space="0"/>
              <w:right w:val="single" w:color="auto" w:sz="4" w:space="0"/>
            </w:tcBorders>
            <w:vAlign w:val="center"/>
          </w:tcPr>
          <w:p w14:paraId="363A925E">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1.20</w:t>
            </w:r>
          </w:p>
        </w:tc>
        <w:tc>
          <w:tcPr>
            <w:tcW w:w="415" w:type="pct"/>
            <w:tcBorders>
              <w:top w:val="single" w:color="auto" w:sz="4" w:space="0"/>
              <w:left w:val="single" w:color="auto" w:sz="4" w:space="0"/>
              <w:bottom w:val="single" w:color="auto" w:sz="4" w:space="0"/>
              <w:right w:val="single" w:color="auto" w:sz="4" w:space="0"/>
            </w:tcBorders>
            <w:vAlign w:val="center"/>
          </w:tcPr>
          <w:p w14:paraId="78CF11C4">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1.10</w:t>
            </w:r>
          </w:p>
        </w:tc>
        <w:tc>
          <w:tcPr>
            <w:tcW w:w="748" w:type="pct"/>
            <w:gridSpan w:val="2"/>
            <w:tcBorders>
              <w:top w:val="single" w:color="auto" w:sz="4" w:space="0"/>
              <w:left w:val="single" w:color="auto" w:sz="4" w:space="0"/>
              <w:bottom w:val="single" w:color="auto" w:sz="4" w:space="0"/>
              <w:right w:val="single" w:color="auto" w:sz="4" w:space="0"/>
            </w:tcBorders>
            <w:noWrap/>
            <w:vAlign w:val="center"/>
          </w:tcPr>
          <w:p w14:paraId="629F6150">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1.08</w:t>
            </w:r>
          </w:p>
        </w:tc>
        <w:tc>
          <w:tcPr>
            <w:tcW w:w="583" w:type="pct"/>
            <w:gridSpan w:val="2"/>
            <w:tcBorders>
              <w:top w:val="single" w:color="auto" w:sz="4" w:space="0"/>
              <w:left w:val="single" w:color="auto" w:sz="4" w:space="0"/>
              <w:bottom w:val="single" w:color="auto" w:sz="4" w:space="0"/>
              <w:right w:val="single" w:color="auto" w:sz="4" w:space="0"/>
            </w:tcBorders>
            <w:noWrap/>
            <w:vAlign w:val="center"/>
          </w:tcPr>
          <w:p w14:paraId="1616577E">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1.05</w:t>
            </w:r>
          </w:p>
        </w:tc>
        <w:tc>
          <w:tcPr>
            <w:tcW w:w="611" w:type="pct"/>
            <w:tcBorders>
              <w:top w:val="single" w:color="auto" w:sz="4" w:space="0"/>
              <w:left w:val="single" w:color="auto" w:sz="4" w:space="0"/>
              <w:bottom w:val="single" w:color="auto" w:sz="4" w:space="0"/>
              <w:right w:val="single" w:color="auto" w:sz="12" w:space="0"/>
            </w:tcBorders>
            <w:noWrap/>
            <w:vAlign w:val="center"/>
          </w:tcPr>
          <w:p w14:paraId="11D164AC">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3.00</w:t>
            </w:r>
          </w:p>
        </w:tc>
      </w:tr>
      <w:tr w14:paraId="0B7EF5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591" w:type="pct"/>
            <w:tcBorders>
              <w:top w:val="single" w:color="auto" w:sz="4" w:space="0"/>
              <w:left w:val="single" w:color="auto" w:sz="12" w:space="0"/>
              <w:bottom w:val="single" w:color="auto" w:sz="12" w:space="0"/>
              <w:right w:val="single" w:color="auto" w:sz="4" w:space="0"/>
            </w:tcBorders>
            <w:vAlign w:val="center"/>
          </w:tcPr>
          <w:p w14:paraId="62AE16FB">
            <w:pPr>
              <w:jc w:val="center"/>
              <w:rPr>
                <w:rFonts w:ascii="Times New Roman" w:hAnsi="Times New Roman" w:cs="Times New Roman"/>
                <w:sz w:val="15"/>
                <w:szCs w:val="15"/>
              </w:rPr>
            </w:pPr>
            <w:r>
              <w:rPr>
                <w:rFonts w:ascii="Times New Roman" w:hAnsi="Times New Roman" w:cs="Times New Roman"/>
                <w:sz w:val="15"/>
                <w:szCs w:val="15"/>
              </w:rPr>
              <w:t>非常运用</w:t>
            </w:r>
          </w:p>
        </w:tc>
        <w:tc>
          <w:tcPr>
            <w:tcW w:w="1219" w:type="pct"/>
            <w:gridSpan w:val="3"/>
            <w:tcBorders>
              <w:top w:val="single" w:color="auto" w:sz="4" w:space="0"/>
              <w:left w:val="single" w:color="auto" w:sz="4" w:space="0"/>
              <w:bottom w:val="single" w:color="auto" w:sz="12" w:space="0"/>
              <w:right w:val="single" w:color="auto" w:sz="4" w:space="0"/>
            </w:tcBorders>
            <w:noWrap/>
            <w:vAlign w:val="center"/>
          </w:tcPr>
          <w:p w14:paraId="7E725161">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1.10</w:t>
            </w:r>
          </w:p>
        </w:tc>
        <w:tc>
          <w:tcPr>
            <w:tcW w:w="833" w:type="pct"/>
            <w:gridSpan w:val="2"/>
            <w:tcBorders>
              <w:top w:val="single" w:color="auto" w:sz="4" w:space="0"/>
              <w:left w:val="single" w:color="auto" w:sz="4" w:space="0"/>
              <w:bottom w:val="single" w:color="auto" w:sz="12" w:space="0"/>
              <w:right w:val="single" w:color="auto" w:sz="4" w:space="0"/>
            </w:tcBorders>
            <w:vAlign w:val="center"/>
          </w:tcPr>
          <w:p w14:paraId="33341096">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1.05</w:t>
            </w:r>
          </w:p>
        </w:tc>
        <w:tc>
          <w:tcPr>
            <w:tcW w:w="1746" w:type="pct"/>
            <w:gridSpan w:val="5"/>
            <w:tcBorders>
              <w:top w:val="single" w:color="auto" w:sz="4" w:space="0"/>
              <w:left w:val="single" w:color="auto" w:sz="4" w:space="0"/>
              <w:bottom w:val="single" w:color="auto" w:sz="12" w:space="0"/>
              <w:right w:val="single" w:color="auto" w:sz="4" w:space="0"/>
            </w:tcBorders>
            <w:vAlign w:val="center"/>
          </w:tcPr>
          <w:p w14:paraId="2FCAEE52">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1.00</w:t>
            </w:r>
          </w:p>
        </w:tc>
        <w:tc>
          <w:tcPr>
            <w:tcW w:w="611" w:type="pct"/>
            <w:tcBorders>
              <w:top w:val="single" w:color="auto" w:sz="4" w:space="0"/>
              <w:left w:val="single" w:color="auto" w:sz="4" w:space="0"/>
              <w:bottom w:val="single" w:color="auto" w:sz="12" w:space="0"/>
              <w:right w:val="single" w:color="auto" w:sz="12" w:space="0"/>
            </w:tcBorders>
            <w:noWrap/>
            <w:vAlign w:val="center"/>
          </w:tcPr>
          <w:p w14:paraId="123ACBF7">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2.30</w:t>
            </w:r>
          </w:p>
        </w:tc>
      </w:tr>
    </w:tbl>
    <w:p w14:paraId="074658E3">
      <w:pPr>
        <w:spacing w:line="360" w:lineRule="auto"/>
        <w:ind w:firstLine="413" w:firstLineChars="196"/>
        <w:rPr>
          <w:rFonts w:ascii="Times New Roman" w:hAnsi="Times New Roman" w:eastAsia="黑体" w:cs="Times New Roman"/>
          <w:sz w:val="18"/>
          <w:szCs w:val="18"/>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当土质地基上的挡渣墙沿软弱土体整体滑动时，按瑞典圆弧法或折线滑动法计算的抗滑稳定安全系数不应小于5.4.5-2规定的允许值。</w:t>
      </w:r>
    </w:p>
    <w:p w14:paraId="1A6F411E">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4</w:t>
      </w:r>
      <w:r>
        <w:rPr>
          <w:rFonts w:ascii="Times New Roman" w:hAnsi="Times New Roman" w:cs="Times New Roman"/>
          <w:sz w:val="18"/>
          <w:szCs w:val="18"/>
        </w:rPr>
        <w:t>.</w:t>
      </w:r>
      <w:r>
        <w:rPr>
          <w:rFonts w:ascii="Times New Roman" w:hAnsi="Times New Roman" w:eastAsia="黑体" w:cs="Times New Roman"/>
          <w:sz w:val="18"/>
          <w:szCs w:val="18"/>
        </w:rPr>
        <w:t>5-2  土质地基挡渣墙沿软弱土体整体滑动时抗滑稳定安全系数</w:t>
      </w:r>
    </w:p>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000"/>
        <w:gridCol w:w="1569"/>
        <w:gridCol w:w="2047"/>
        <w:gridCol w:w="2003"/>
        <w:gridCol w:w="1657"/>
      </w:tblGrid>
      <w:tr w14:paraId="2BE0F98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1" w:hRule="atLeast"/>
          <w:jc w:val="center"/>
        </w:trPr>
        <w:tc>
          <w:tcPr>
            <w:tcW w:w="604" w:type="pct"/>
            <w:vMerge w:val="restart"/>
            <w:tcBorders>
              <w:top w:val="single" w:color="auto" w:sz="12" w:space="0"/>
              <w:left w:val="single" w:color="auto" w:sz="12" w:space="0"/>
              <w:bottom w:val="single" w:color="auto" w:sz="2" w:space="0"/>
              <w:right w:val="single" w:color="auto" w:sz="2" w:space="0"/>
            </w:tcBorders>
            <w:noWrap/>
            <w:vAlign w:val="center"/>
          </w:tcPr>
          <w:p w14:paraId="1428F0FE">
            <w:pPr>
              <w:jc w:val="center"/>
              <w:rPr>
                <w:rFonts w:ascii="Times New Roman" w:hAnsi="Times New Roman" w:cs="Times New Roman"/>
                <w:kern w:val="0"/>
                <w:sz w:val="15"/>
                <w:szCs w:val="15"/>
              </w:rPr>
            </w:pPr>
            <w:r>
              <w:rPr>
                <w:rFonts w:ascii="Times New Roman" w:hAnsi="Times New Roman" w:cs="Times New Roman"/>
                <w:kern w:val="0"/>
                <w:sz w:val="15"/>
                <w:szCs w:val="15"/>
              </w:rPr>
              <w:t>应用情况</w:t>
            </w:r>
          </w:p>
        </w:tc>
        <w:tc>
          <w:tcPr>
            <w:tcW w:w="4396" w:type="pct"/>
            <w:gridSpan w:val="4"/>
            <w:tcBorders>
              <w:top w:val="single" w:color="auto" w:sz="12" w:space="0"/>
              <w:left w:val="single" w:color="auto" w:sz="2" w:space="0"/>
              <w:bottom w:val="single" w:color="auto" w:sz="2" w:space="0"/>
              <w:right w:val="single" w:color="auto" w:sz="12" w:space="0"/>
            </w:tcBorders>
            <w:noWrap/>
            <w:vAlign w:val="center"/>
          </w:tcPr>
          <w:p w14:paraId="4C88D41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挡渣墙级别</w:t>
            </w:r>
          </w:p>
        </w:tc>
      </w:tr>
      <w:tr w14:paraId="4E8D873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23" w:hRule="atLeast"/>
          <w:jc w:val="center"/>
        </w:trPr>
        <w:tc>
          <w:tcPr>
            <w:tcW w:w="0" w:type="auto"/>
            <w:vMerge w:val="continue"/>
            <w:tcBorders>
              <w:top w:val="single" w:color="auto" w:sz="12" w:space="0"/>
              <w:left w:val="single" w:color="auto" w:sz="12" w:space="0"/>
              <w:bottom w:val="single" w:color="auto" w:sz="2" w:space="0"/>
              <w:right w:val="single" w:color="auto" w:sz="2" w:space="0"/>
            </w:tcBorders>
            <w:vAlign w:val="center"/>
          </w:tcPr>
          <w:p w14:paraId="416CD322">
            <w:pPr>
              <w:widowControl/>
              <w:jc w:val="left"/>
              <w:rPr>
                <w:rFonts w:ascii="Times New Roman" w:hAnsi="Times New Roman" w:cs="Times New Roman"/>
                <w:kern w:val="0"/>
                <w:sz w:val="15"/>
                <w:szCs w:val="15"/>
              </w:rPr>
            </w:pPr>
          </w:p>
        </w:tc>
        <w:tc>
          <w:tcPr>
            <w:tcW w:w="948" w:type="pct"/>
            <w:tcBorders>
              <w:top w:val="single" w:color="auto" w:sz="2" w:space="0"/>
              <w:left w:val="single" w:color="auto" w:sz="2" w:space="0"/>
              <w:bottom w:val="single" w:color="auto" w:sz="2" w:space="0"/>
              <w:right w:val="single" w:color="auto" w:sz="4" w:space="0"/>
            </w:tcBorders>
            <w:noWrap/>
            <w:vAlign w:val="center"/>
          </w:tcPr>
          <w:p w14:paraId="39668A8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w:t>
            </w:r>
          </w:p>
        </w:tc>
        <w:tc>
          <w:tcPr>
            <w:tcW w:w="1237" w:type="pct"/>
            <w:tcBorders>
              <w:top w:val="single" w:color="auto" w:sz="2" w:space="0"/>
              <w:left w:val="single" w:color="auto" w:sz="2" w:space="0"/>
              <w:bottom w:val="single" w:color="auto" w:sz="2" w:space="0"/>
              <w:right w:val="single" w:color="auto" w:sz="2" w:space="0"/>
            </w:tcBorders>
            <w:vAlign w:val="center"/>
          </w:tcPr>
          <w:p w14:paraId="7609E39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2</w:t>
            </w:r>
          </w:p>
        </w:tc>
        <w:tc>
          <w:tcPr>
            <w:tcW w:w="1210" w:type="pct"/>
            <w:tcBorders>
              <w:top w:val="single" w:color="auto" w:sz="2" w:space="0"/>
              <w:left w:val="single" w:color="auto" w:sz="2" w:space="0"/>
              <w:bottom w:val="single" w:color="auto" w:sz="2" w:space="0"/>
              <w:right w:val="single" w:color="auto" w:sz="4" w:space="0"/>
            </w:tcBorders>
            <w:vAlign w:val="center"/>
          </w:tcPr>
          <w:p w14:paraId="7BABEDD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3</w:t>
            </w:r>
          </w:p>
        </w:tc>
        <w:tc>
          <w:tcPr>
            <w:tcW w:w="1002" w:type="pct"/>
            <w:tcBorders>
              <w:top w:val="single" w:color="auto" w:sz="2" w:space="0"/>
              <w:left w:val="single" w:color="auto" w:sz="2" w:space="0"/>
              <w:bottom w:val="single" w:color="auto" w:sz="2" w:space="0"/>
              <w:right w:val="single" w:color="auto" w:sz="12" w:space="0"/>
            </w:tcBorders>
            <w:noWrap/>
            <w:vAlign w:val="center"/>
          </w:tcPr>
          <w:p w14:paraId="600ECCF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4、5</w:t>
            </w:r>
          </w:p>
        </w:tc>
      </w:tr>
      <w:tr w14:paraId="67E68E4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13" w:hRule="atLeast"/>
          <w:jc w:val="center"/>
        </w:trPr>
        <w:tc>
          <w:tcPr>
            <w:tcW w:w="604" w:type="pct"/>
            <w:tcBorders>
              <w:top w:val="single" w:color="auto" w:sz="2" w:space="0"/>
              <w:left w:val="single" w:color="auto" w:sz="12" w:space="0"/>
              <w:bottom w:val="single" w:color="auto" w:sz="2" w:space="0"/>
              <w:right w:val="single" w:color="auto" w:sz="2" w:space="0"/>
            </w:tcBorders>
            <w:noWrap/>
            <w:vAlign w:val="center"/>
          </w:tcPr>
          <w:p w14:paraId="5D3E6BE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正常运用</w:t>
            </w:r>
          </w:p>
        </w:tc>
        <w:tc>
          <w:tcPr>
            <w:tcW w:w="948" w:type="pct"/>
            <w:tcBorders>
              <w:top w:val="single" w:color="auto" w:sz="2" w:space="0"/>
              <w:left w:val="single" w:color="auto" w:sz="2" w:space="0"/>
              <w:bottom w:val="single" w:color="auto" w:sz="2" w:space="0"/>
              <w:right w:val="single" w:color="auto" w:sz="4" w:space="0"/>
            </w:tcBorders>
            <w:noWrap/>
            <w:vAlign w:val="center"/>
          </w:tcPr>
          <w:p w14:paraId="18511E2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1.35</w:t>
            </w:r>
          </w:p>
        </w:tc>
        <w:tc>
          <w:tcPr>
            <w:tcW w:w="1237" w:type="pct"/>
            <w:tcBorders>
              <w:top w:val="single" w:color="auto" w:sz="2" w:space="0"/>
              <w:left w:val="single" w:color="auto" w:sz="2" w:space="0"/>
              <w:bottom w:val="single" w:color="auto" w:sz="2" w:space="0"/>
              <w:right w:val="single" w:color="auto" w:sz="2" w:space="0"/>
            </w:tcBorders>
            <w:vAlign w:val="center"/>
          </w:tcPr>
          <w:p w14:paraId="4C22FFF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1.30</w:t>
            </w:r>
          </w:p>
        </w:tc>
        <w:tc>
          <w:tcPr>
            <w:tcW w:w="1210" w:type="pct"/>
            <w:tcBorders>
              <w:top w:val="single" w:color="auto" w:sz="2" w:space="0"/>
              <w:left w:val="single" w:color="auto" w:sz="2" w:space="0"/>
              <w:bottom w:val="single" w:color="auto" w:sz="2" w:space="0"/>
              <w:right w:val="single" w:color="auto" w:sz="4" w:space="0"/>
            </w:tcBorders>
            <w:vAlign w:val="center"/>
          </w:tcPr>
          <w:p w14:paraId="0E45EAF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1.25</w:t>
            </w:r>
          </w:p>
        </w:tc>
        <w:tc>
          <w:tcPr>
            <w:tcW w:w="1002" w:type="pct"/>
            <w:tcBorders>
              <w:top w:val="single" w:color="auto" w:sz="2" w:space="0"/>
              <w:left w:val="single" w:color="auto" w:sz="2" w:space="0"/>
              <w:bottom w:val="single" w:color="auto" w:sz="2" w:space="0"/>
              <w:right w:val="single" w:color="auto" w:sz="12" w:space="0"/>
            </w:tcBorders>
            <w:noWrap/>
            <w:vAlign w:val="center"/>
          </w:tcPr>
          <w:p w14:paraId="6296CF3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1.20</w:t>
            </w:r>
          </w:p>
        </w:tc>
      </w:tr>
      <w:tr w14:paraId="6342CAB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24" w:hRule="atLeast"/>
          <w:jc w:val="center"/>
        </w:trPr>
        <w:tc>
          <w:tcPr>
            <w:tcW w:w="604" w:type="pct"/>
            <w:tcBorders>
              <w:top w:val="single" w:color="auto" w:sz="2" w:space="0"/>
              <w:left w:val="single" w:color="auto" w:sz="12" w:space="0"/>
              <w:bottom w:val="single" w:color="auto" w:sz="12" w:space="0"/>
              <w:right w:val="single" w:color="auto" w:sz="2" w:space="0"/>
            </w:tcBorders>
            <w:vAlign w:val="center"/>
          </w:tcPr>
          <w:p w14:paraId="44B1B7FA">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非常运用</w:t>
            </w:r>
          </w:p>
        </w:tc>
        <w:tc>
          <w:tcPr>
            <w:tcW w:w="948" w:type="pct"/>
            <w:tcBorders>
              <w:top w:val="single" w:color="auto" w:sz="2" w:space="0"/>
              <w:left w:val="single" w:color="auto" w:sz="2" w:space="0"/>
              <w:bottom w:val="single" w:color="auto" w:sz="12" w:space="0"/>
              <w:right w:val="single" w:color="auto" w:sz="4" w:space="0"/>
            </w:tcBorders>
            <w:noWrap/>
            <w:vAlign w:val="center"/>
          </w:tcPr>
          <w:p w14:paraId="6971A3E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1.20</w:t>
            </w:r>
          </w:p>
        </w:tc>
        <w:tc>
          <w:tcPr>
            <w:tcW w:w="1237" w:type="pct"/>
            <w:tcBorders>
              <w:top w:val="single" w:color="auto" w:sz="2" w:space="0"/>
              <w:left w:val="single" w:color="auto" w:sz="2" w:space="0"/>
              <w:bottom w:val="single" w:color="auto" w:sz="12" w:space="0"/>
              <w:right w:val="single" w:color="auto" w:sz="2" w:space="0"/>
            </w:tcBorders>
            <w:vAlign w:val="center"/>
          </w:tcPr>
          <w:p w14:paraId="524A911F">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1.15</w:t>
            </w:r>
          </w:p>
        </w:tc>
        <w:tc>
          <w:tcPr>
            <w:tcW w:w="1210" w:type="pct"/>
            <w:tcBorders>
              <w:top w:val="single" w:color="auto" w:sz="2" w:space="0"/>
              <w:left w:val="single" w:color="auto" w:sz="2" w:space="0"/>
              <w:bottom w:val="single" w:color="auto" w:sz="12" w:space="0"/>
              <w:right w:val="single" w:color="auto" w:sz="4" w:space="0"/>
            </w:tcBorders>
            <w:vAlign w:val="center"/>
          </w:tcPr>
          <w:p w14:paraId="6039B5F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1.10</w:t>
            </w:r>
          </w:p>
        </w:tc>
        <w:tc>
          <w:tcPr>
            <w:tcW w:w="1002" w:type="pct"/>
            <w:tcBorders>
              <w:top w:val="single" w:color="auto" w:sz="2" w:space="0"/>
              <w:left w:val="single" w:color="auto" w:sz="2" w:space="0"/>
              <w:bottom w:val="single" w:color="auto" w:sz="12" w:space="0"/>
              <w:right w:val="single" w:color="auto" w:sz="12" w:space="0"/>
            </w:tcBorders>
            <w:noWrap/>
            <w:vAlign w:val="center"/>
          </w:tcPr>
          <w:p w14:paraId="4941883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1.05</w:t>
            </w:r>
          </w:p>
        </w:tc>
      </w:tr>
    </w:tbl>
    <w:p w14:paraId="6F2F0B9B">
      <w:pPr>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4"/>
        </w:rPr>
        <w:t>3</w:t>
      </w:r>
      <w:r>
        <w:rPr>
          <w:rFonts w:ascii="Times New Roman" w:hAnsi="Times New Roman" w:eastAsia="黑体" w:cs="Times New Roman"/>
          <w:sz w:val="21"/>
          <w:szCs w:val="24"/>
        </w:rPr>
        <w:t xml:space="preserve">  </w:t>
      </w:r>
      <w:r>
        <w:rPr>
          <w:rFonts w:ascii="Times New Roman" w:hAnsi="Times New Roman" w:cs="Times New Roman"/>
          <w:sz w:val="21"/>
          <w:szCs w:val="24"/>
        </w:rPr>
        <w:t>岩石地基上挡渣墙抗滑稳定安全系数应采用抗剪断强度公式或抗剪强度公式计算。基底为软岩或存在软弱结构面时，宜采用抗剪强度公式计算。</w:t>
      </w:r>
    </w:p>
    <w:p w14:paraId="1BD6F586">
      <w:pPr>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4"/>
        </w:rPr>
        <w:t>4</w:t>
      </w:r>
      <w:r>
        <w:rPr>
          <w:rFonts w:ascii="Times New Roman" w:hAnsi="Times New Roman" w:cs="Times New Roman"/>
          <w:sz w:val="21"/>
          <w:szCs w:val="24"/>
        </w:rPr>
        <w:t xml:space="preserve">  土质地基上挡渣墙的抗倾覆安全系数不应小于表5.4.5-3规定的允许值。</w:t>
      </w:r>
    </w:p>
    <w:p w14:paraId="3C4E8742">
      <w:pPr>
        <w:spacing w:line="360" w:lineRule="auto"/>
        <w:ind w:firstLine="411" w:firstLineChars="196"/>
        <w:rPr>
          <w:rFonts w:ascii="Times New Roman" w:hAnsi="Times New Roman" w:cs="Times New Roman"/>
          <w:sz w:val="21"/>
          <w:szCs w:val="24"/>
        </w:rPr>
      </w:pPr>
    </w:p>
    <w:p w14:paraId="05C78740">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4</w:t>
      </w:r>
      <w:r>
        <w:rPr>
          <w:rFonts w:ascii="Times New Roman" w:hAnsi="Times New Roman" w:cs="Times New Roman"/>
          <w:sz w:val="18"/>
          <w:szCs w:val="18"/>
        </w:rPr>
        <w:t>.</w:t>
      </w:r>
      <w:r>
        <w:rPr>
          <w:rFonts w:ascii="Times New Roman" w:hAnsi="Times New Roman" w:eastAsia="黑体" w:cs="Times New Roman"/>
          <w:sz w:val="18"/>
          <w:szCs w:val="18"/>
        </w:rPr>
        <w:t>5-3  土质地基挡渣墙抗倾覆安全系数</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834"/>
        <w:gridCol w:w="1834"/>
        <w:gridCol w:w="1834"/>
        <w:gridCol w:w="1844"/>
      </w:tblGrid>
      <w:tr w14:paraId="524C1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1" w:hRule="atLeast"/>
        </w:trPr>
        <w:tc>
          <w:tcPr>
            <w:tcW w:w="562" w:type="pct"/>
            <w:vMerge w:val="restart"/>
            <w:noWrap/>
            <w:vAlign w:val="center"/>
          </w:tcPr>
          <w:p w14:paraId="73C4F242">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计算工况</w:t>
            </w:r>
          </w:p>
        </w:tc>
        <w:tc>
          <w:tcPr>
            <w:tcW w:w="4437" w:type="pct"/>
            <w:gridSpan w:val="4"/>
            <w:noWrap/>
            <w:vAlign w:val="center"/>
          </w:tcPr>
          <w:p w14:paraId="6B52E199">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挡渣墙级别</w:t>
            </w:r>
          </w:p>
        </w:tc>
      </w:tr>
      <w:tr w14:paraId="1F35DD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562" w:type="pct"/>
            <w:vMerge w:val="continue"/>
            <w:vAlign w:val="center"/>
          </w:tcPr>
          <w:p w14:paraId="605EEC2F">
            <w:pPr>
              <w:widowControl/>
              <w:jc w:val="center"/>
              <w:rPr>
                <w:rFonts w:ascii="Times New Roman" w:hAnsi="Times New Roman" w:cs="Times New Roman"/>
                <w:bCs/>
                <w:kern w:val="0"/>
                <w:sz w:val="15"/>
                <w:szCs w:val="15"/>
              </w:rPr>
            </w:pPr>
          </w:p>
        </w:tc>
        <w:tc>
          <w:tcPr>
            <w:tcW w:w="1108" w:type="pct"/>
            <w:noWrap/>
            <w:vAlign w:val="center"/>
          </w:tcPr>
          <w:p w14:paraId="11D90F6E">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w:t>
            </w:r>
          </w:p>
        </w:tc>
        <w:tc>
          <w:tcPr>
            <w:tcW w:w="1108" w:type="pct"/>
            <w:noWrap/>
            <w:vAlign w:val="center"/>
          </w:tcPr>
          <w:p w14:paraId="31D15ACA">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2</w:t>
            </w:r>
          </w:p>
        </w:tc>
        <w:tc>
          <w:tcPr>
            <w:tcW w:w="1108" w:type="pct"/>
            <w:noWrap/>
            <w:vAlign w:val="center"/>
          </w:tcPr>
          <w:p w14:paraId="6AF4D6D9">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3</w:t>
            </w:r>
          </w:p>
        </w:tc>
        <w:tc>
          <w:tcPr>
            <w:tcW w:w="1111" w:type="pct"/>
            <w:noWrap/>
            <w:vAlign w:val="center"/>
          </w:tcPr>
          <w:p w14:paraId="0EA44E9B">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4、5</w:t>
            </w:r>
          </w:p>
        </w:tc>
      </w:tr>
      <w:tr w14:paraId="0E833E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8" w:hRule="atLeast"/>
        </w:trPr>
        <w:tc>
          <w:tcPr>
            <w:tcW w:w="562" w:type="pct"/>
            <w:noWrap/>
            <w:vAlign w:val="center"/>
          </w:tcPr>
          <w:p w14:paraId="24017F71">
            <w:pPr>
              <w:jc w:val="center"/>
              <w:rPr>
                <w:rFonts w:ascii="Times New Roman" w:hAnsi="Times New Roman" w:cs="Times New Roman"/>
                <w:sz w:val="15"/>
                <w:szCs w:val="15"/>
              </w:rPr>
            </w:pPr>
            <w:r>
              <w:rPr>
                <w:rFonts w:ascii="Times New Roman" w:hAnsi="Times New Roman" w:cs="Times New Roman"/>
                <w:sz w:val="15"/>
                <w:szCs w:val="15"/>
              </w:rPr>
              <w:t>正常运用</w:t>
            </w:r>
          </w:p>
        </w:tc>
        <w:tc>
          <w:tcPr>
            <w:tcW w:w="1108" w:type="pct"/>
            <w:noWrap/>
            <w:vAlign w:val="center"/>
          </w:tcPr>
          <w:p w14:paraId="04741482">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1.60</w:t>
            </w:r>
          </w:p>
        </w:tc>
        <w:tc>
          <w:tcPr>
            <w:tcW w:w="1108" w:type="pct"/>
            <w:noWrap/>
            <w:vAlign w:val="center"/>
          </w:tcPr>
          <w:p w14:paraId="04D24230">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1.50</w:t>
            </w:r>
          </w:p>
        </w:tc>
        <w:tc>
          <w:tcPr>
            <w:tcW w:w="1108" w:type="pct"/>
            <w:noWrap/>
            <w:vAlign w:val="center"/>
          </w:tcPr>
          <w:p w14:paraId="03A98455">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1.45</w:t>
            </w:r>
          </w:p>
        </w:tc>
        <w:tc>
          <w:tcPr>
            <w:tcW w:w="1111" w:type="pct"/>
            <w:noWrap/>
            <w:vAlign w:val="center"/>
          </w:tcPr>
          <w:p w14:paraId="0D05BE6D">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1.40</w:t>
            </w:r>
          </w:p>
        </w:tc>
      </w:tr>
      <w:tr w14:paraId="53EFD1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562" w:type="pct"/>
            <w:tcBorders>
              <w:bottom w:val="single" w:color="auto" w:sz="12" w:space="0"/>
            </w:tcBorders>
            <w:noWrap/>
            <w:vAlign w:val="center"/>
          </w:tcPr>
          <w:p w14:paraId="0EC3999E">
            <w:pPr>
              <w:jc w:val="center"/>
              <w:rPr>
                <w:rFonts w:ascii="Times New Roman" w:hAnsi="Times New Roman" w:cs="Times New Roman"/>
                <w:sz w:val="15"/>
                <w:szCs w:val="15"/>
              </w:rPr>
            </w:pPr>
            <w:r>
              <w:rPr>
                <w:rFonts w:ascii="Times New Roman" w:hAnsi="Times New Roman" w:cs="Times New Roman"/>
                <w:sz w:val="15"/>
                <w:szCs w:val="15"/>
              </w:rPr>
              <w:t>非常运用</w:t>
            </w:r>
          </w:p>
        </w:tc>
        <w:tc>
          <w:tcPr>
            <w:tcW w:w="1108" w:type="pct"/>
            <w:tcBorders>
              <w:bottom w:val="single" w:color="auto" w:sz="12" w:space="0"/>
            </w:tcBorders>
            <w:noWrap/>
            <w:vAlign w:val="center"/>
          </w:tcPr>
          <w:p w14:paraId="7007B5EA">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1.50</w:t>
            </w:r>
          </w:p>
        </w:tc>
        <w:tc>
          <w:tcPr>
            <w:tcW w:w="1108" w:type="pct"/>
            <w:tcBorders>
              <w:bottom w:val="single" w:color="auto" w:sz="12" w:space="0"/>
            </w:tcBorders>
            <w:noWrap/>
            <w:vAlign w:val="center"/>
          </w:tcPr>
          <w:p w14:paraId="573C916D">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1.40</w:t>
            </w:r>
          </w:p>
        </w:tc>
        <w:tc>
          <w:tcPr>
            <w:tcW w:w="1108" w:type="pct"/>
            <w:tcBorders>
              <w:bottom w:val="single" w:color="auto" w:sz="12" w:space="0"/>
            </w:tcBorders>
            <w:noWrap/>
            <w:vAlign w:val="center"/>
          </w:tcPr>
          <w:p w14:paraId="026C93E3">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1.35</w:t>
            </w:r>
          </w:p>
        </w:tc>
        <w:tc>
          <w:tcPr>
            <w:tcW w:w="1111" w:type="pct"/>
            <w:tcBorders>
              <w:bottom w:val="single" w:color="auto" w:sz="12" w:space="0"/>
            </w:tcBorders>
            <w:noWrap/>
            <w:vAlign w:val="center"/>
          </w:tcPr>
          <w:p w14:paraId="320E38AB">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1.30</w:t>
            </w:r>
          </w:p>
        </w:tc>
      </w:tr>
    </w:tbl>
    <w:p w14:paraId="7BD5A907">
      <w:pPr>
        <w:spacing w:before="156" w:beforeLines="50" w:line="360" w:lineRule="auto"/>
        <w:ind w:firstLine="413" w:firstLineChars="196"/>
        <w:rPr>
          <w:rFonts w:ascii="Times New Roman" w:hAnsi="Times New Roman" w:cs="Times New Roman"/>
          <w:sz w:val="21"/>
          <w:szCs w:val="24"/>
        </w:rPr>
      </w:pPr>
      <w:r>
        <w:rPr>
          <w:rFonts w:ascii="Times New Roman" w:hAnsi="Times New Roman" w:cs="Times New Roman"/>
          <w:b/>
          <w:sz w:val="21"/>
          <w:szCs w:val="24"/>
        </w:rPr>
        <w:t>5</w:t>
      </w:r>
      <w:r>
        <w:rPr>
          <w:rFonts w:ascii="Times New Roman" w:hAnsi="Times New Roman" w:cs="Times New Roman"/>
          <w:sz w:val="21"/>
          <w:szCs w:val="24"/>
        </w:rPr>
        <w:t xml:space="preserve">  岩石地基上挡渣墙的抗倾覆安全系数不应小于表5.4.5-4规定的允许值。</w:t>
      </w:r>
    </w:p>
    <w:p w14:paraId="248C4B0C">
      <w:pPr>
        <w:widowControl/>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hint="eastAsia" w:ascii="Times New Roman" w:hAnsi="Times New Roman" w:eastAsia="黑体" w:cs="Times New Roman"/>
          <w:sz w:val="18"/>
          <w:szCs w:val="18"/>
        </w:rPr>
        <w:t>4</w:t>
      </w:r>
      <w:r>
        <w:rPr>
          <w:rFonts w:ascii="Times New Roman" w:hAnsi="Times New Roman" w:cs="Times New Roman"/>
          <w:sz w:val="18"/>
          <w:szCs w:val="18"/>
        </w:rPr>
        <w:t>.</w:t>
      </w:r>
      <w:r>
        <w:rPr>
          <w:rFonts w:ascii="Times New Roman" w:hAnsi="Times New Roman" w:eastAsia="黑体" w:cs="Times New Roman"/>
          <w:sz w:val="18"/>
          <w:szCs w:val="18"/>
        </w:rPr>
        <w:t>5-4  岩石地基挡渣墙抗倾覆安全系数</w:t>
      </w:r>
    </w:p>
    <w:tbl>
      <w:tblPr>
        <w:tblStyle w:val="10"/>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2251"/>
        <w:gridCol w:w="2991"/>
        <w:gridCol w:w="3032"/>
      </w:tblGrid>
      <w:tr w14:paraId="539314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5" w:hRule="exact"/>
          <w:jc w:val="center"/>
        </w:trPr>
        <w:tc>
          <w:tcPr>
            <w:tcW w:w="1360" w:type="pct"/>
            <w:vMerge w:val="restart"/>
            <w:tcBorders>
              <w:tl2br w:val="nil"/>
              <w:tr2bl w:val="nil"/>
            </w:tcBorders>
            <w:vAlign w:val="center"/>
          </w:tcPr>
          <w:p w14:paraId="550748E9">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运用条件</w:t>
            </w:r>
          </w:p>
        </w:tc>
        <w:tc>
          <w:tcPr>
            <w:tcW w:w="3639" w:type="pct"/>
            <w:gridSpan w:val="2"/>
            <w:tcBorders>
              <w:tl2br w:val="nil"/>
              <w:tr2bl w:val="nil"/>
            </w:tcBorders>
            <w:vAlign w:val="center"/>
          </w:tcPr>
          <w:p w14:paraId="5A452357">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挡渣墙级别</w:t>
            </w:r>
          </w:p>
        </w:tc>
      </w:tr>
      <w:tr w14:paraId="387321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exact"/>
          <w:jc w:val="center"/>
        </w:trPr>
        <w:tc>
          <w:tcPr>
            <w:tcW w:w="1360" w:type="pct"/>
            <w:vMerge w:val="continue"/>
            <w:tcBorders>
              <w:tl2br w:val="nil"/>
              <w:tr2bl w:val="nil"/>
            </w:tcBorders>
            <w:vAlign w:val="center"/>
          </w:tcPr>
          <w:p w14:paraId="187F4556">
            <w:pPr>
              <w:widowControl/>
              <w:jc w:val="center"/>
              <w:rPr>
                <w:rFonts w:ascii="Times New Roman" w:hAnsi="Times New Roman" w:cs="Times New Roman"/>
                <w:bCs/>
                <w:kern w:val="0"/>
                <w:sz w:val="15"/>
                <w:szCs w:val="15"/>
              </w:rPr>
            </w:pPr>
          </w:p>
        </w:tc>
        <w:tc>
          <w:tcPr>
            <w:tcW w:w="1807" w:type="pct"/>
            <w:tcBorders>
              <w:tl2br w:val="nil"/>
              <w:tr2bl w:val="nil"/>
            </w:tcBorders>
            <w:vAlign w:val="center"/>
          </w:tcPr>
          <w:p w14:paraId="11FC81FC">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1、2、3</w:t>
            </w:r>
          </w:p>
        </w:tc>
        <w:tc>
          <w:tcPr>
            <w:tcW w:w="1832" w:type="pct"/>
            <w:tcBorders>
              <w:tl2br w:val="nil"/>
              <w:tr2bl w:val="nil"/>
            </w:tcBorders>
            <w:vAlign w:val="center"/>
          </w:tcPr>
          <w:p w14:paraId="2862E43E">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4、5</w:t>
            </w:r>
          </w:p>
        </w:tc>
      </w:tr>
      <w:tr w14:paraId="19F5A9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exact"/>
          <w:jc w:val="center"/>
        </w:trPr>
        <w:tc>
          <w:tcPr>
            <w:tcW w:w="1360" w:type="pct"/>
            <w:tcBorders>
              <w:tl2br w:val="nil"/>
              <w:tr2bl w:val="nil"/>
            </w:tcBorders>
            <w:vAlign w:val="center"/>
          </w:tcPr>
          <w:p w14:paraId="4C764A5A">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正常运用条件</w:t>
            </w:r>
          </w:p>
        </w:tc>
        <w:tc>
          <w:tcPr>
            <w:tcW w:w="1807" w:type="pct"/>
            <w:tcBorders>
              <w:tl2br w:val="nil"/>
              <w:tr2bl w:val="nil"/>
            </w:tcBorders>
            <w:vAlign w:val="center"/>
          </w:tcPr>
          <w:p w14:paraId="6407A4CC">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1.50</w:t>
            </w:r>
          </w:p>
        </w:tc>
        <w:tc>
          <w:tcPr>
            <w:tcW w:w="1832" w:type="pct"/>
            <w:tcBorders>
              <w:tl2br w:val="nil"/>
              <w:tr2bl w:val="nil"/>
            </w:tcBorders>
            <w:vAlign w:val="center"/>
          </w:tcPr>
          <w:p w14:paraId="0898B0FE">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1.40</w:t>
            </w:r>
          </w:p>
        </w:tc>
      </w:tr>
      <w:tr w14:paraId="5614D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5" w:hRule="exact"/>
          <w:jc w:val="center"/>
        </w:trPr>
        <w:tc>
          <w:tcPr>
            <w:tcW w:w="1360" w:type="pct"/>
            <w:tcBorders>
              <w:tl2br w:val="nil"/>
              <w:tr2bl w:val="nil"/>
            </w:tcBorders>
            <w:vAlign w:val="center"/>
          </w:tcPr>
          <w:p w14:paraId="3ED106DD">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非常运用条件</w:t>
            </w:r>
          </w:p>
        </w:tc>
        <w:tc>
          <w:tcPr>
            <w:tcW w:w="1807" w:type="pct"/>
            <w:tcBorders>
              <w:tl2br w:val="nil"/>
              <w:tr2bl w:val="nil"/>
            </w:tcBorders>
            <w:vAlign w:val="center"/>
          </w:tcPr>
          <w:p w14:paraId="0627F507">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1.30</w:t>
            </w:r>
          </w:p>
        </w:tc>
        <w:tc>
          <w:tcPr>
            <w:tcW w:w="1832" w:type="pct"/>
            <w:tcBorders>
              <w:tl2br w:val="nil"/>
              <w:tr2bl w:val="nil"/>
            </w:tcBorders>
            <w:vAlign w:val="center"/>
          </w:tcPr>
          <w:p w14:paraId="0FFF67C2">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1.30</w:t>
            </w:r>
          </w:p>
        </w:tc>
      </w:tr>
    </w:tbl>
    <w:p w14:paraId="05D1455C">
      <w:pPr>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4"/>
        </w:rPr>
        <w:t>6</w:t>
      </w:r>
      <w:r>
        <w:rPr>
          <w:rFonts w:ascii="Times New Roman" w:hAnsi="Times New Roman" w:cs="Times New Roman"/>
          <w:sz w:val="21"/>
          <w:szCs w:val="24"/>
        </w:rPr>
        <w:t xml:space="preserve">  采用计条块间作用力的计算方法时，拦渣堤（土堤或土石堤）边坡抗滑稳定安全系数不应小于表5.4.5-5的规定。</w:t>
      </w:r>
    </w:p>
    <w:p w14:paraId="28B2BA60">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4</w:t>
      </w:r>
      <w:r>
        <w:rPr>
          <w:rFonts w:ascii="Times New Roman" w:hAnsi="Times New Roman" w:cs="Times New Roman"/>
          <w:sz w:val="18"/>
          <w:szCs w:val="18"/>
        </w:rPr>
        <w:t>.</w:t>
      </w:r>
      <w:r>
        <w:rPr>
          <w:rFonts w:ascii="Times New Roman" w:hAnsi="Times New Roman" w:eastAsia="黑体" w:cs="Times New Roman"/>
          <w:sz w:val="18"/>
          <w:szCs w:val="18"/>
        </w:rPr>
        <w:t>5-5  拦渣堤抗滑稳定安全系数</w:t>
      </w:r>
    </w:p>
    <w:tbl>
      <w:tblPr>
        <w:tblStyle w:val="10"/>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80"/>
        <w:gridCol w:w="1379"/>
        <w:gridCol w:w="1379"/>
        <w:gridCol w:w="1379"/>
        <w:gridCol w:w="1379"/>
        <w:gridCol w:w="1377"/>
      </w:tblGrid>
      <w:tr w14:paraId="635211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 w:hRule="atLeast"/>
          <w:jc w:val="center"/>
        </w:trPr>
        <w:tc>
          <w:tcPr>
            <w:tcW w:w="834" w:type="pct"/>
            <w:tcBorders>
              <w:top w:val="single" w:color="auto" w:sz="12" w:space="0"/>
              <w:left w:val="single" w:color="auto" w:sz="12" w:space="0"/>
              <w:bottom w:val="single" w:color="auto" w:sz="6" w:space="0"/>
              <w:right w:val="single" w:color="auto" w:sz="6" w:space="0"/>
            </w:tcBorders>
            <w:noWrap/>
            <w:vAlign w:val="center"/>
          </w:tcPr>
          <w:p w14:paraId="565B552C">
            <w:pPr>
              <w:jc w:val="center"/>
              <w:rPr>
                <w:rFonts w:ascii="Times New Roman" w:hAnsi="Times New Roman" w:cs="Times New Roman"/>
                <w:sz w:val="15"/>
                <w:szCs w:val="15"/>
              </w:rPr>
            </w:pPr>
            <w:r>
              <w:rPr>
                <w:rFonts w:ascii="Times New Roman" w:hAnsi="Times New Roman" w:cs="Times New Roman"/>
                <w:sz w:val="15"/>
                <w:szCs w:val="15"/>
              </w:rPr>
              <w:t>拦渣堤工程级别</w:t>
            </w:r>
          </w:p>
        </w:tc>
        <w:tc>
          <w:tcPr>
            <w:tcW w:w="833" w:type="pct"/>
            <w:tcBorders>
              <w:top w:val="single" w:color="auto" w:sz="12" w:space="0"/>
              <w:left w:val="single" w:color="auto" w:sz="6" w:space="0"/>
              <w:bottom w:val="single" w:color="auto" w:sz="6" w:space="0"/>
              <w:right w:val="single" w:color="auto" w:sz="6" w:space="0"/>
            </w:tcBorders>
            <w:noWrap/>
            <w:vAlign w:val="center"/>
          </w:tcPr>
          <w:p w14:paraId="54DCB83E">
            <w:pPr>
              <w:jc w:val="center"/>
              <w:rPr>
                <w:rFonts w:ascii="Times New Roman" w:hAnsi="Times New Roman" w:cs="Times New Roman"/>
                <w:sz w:val="15"/>
                <w:szCs w:val="15"/>
              </w:rPr>
            </w:pPr>
            <w:r>
              <w:rPr>
                <w:rFonts w:ascii="Times New Roman" w:hAnsi="Times New Roman" w:cs="Times New Roman"/>
                <w:sz w:val="15"/>
                <w:szCs w:val="15"/>
              </w:rPr>
              <w:t>1</w:t>
            </w:r>
          </w:p>
        </w:tc>
        <w:tc>
          <w:tcPr>
            <w:tcW w:w="833" w:type="pct"/>
            <w:tcBorders>
              <w:top w:val="single" w:color="auto" w:sz="12" w:space="0"/>
              <w:left w:val="single" w:color="auto" w:sz="6" w:space="0"/>
              <w:bottom w:val="single" w:color="auto" w:sz="6" w:space="0"/>
              <w:right w:val="single" w:color="auto" w:sz="6" w:space="0"/>
            </w:tcBorders>
            <w:noWrap/>
            <w:vAlign w:val="center"/>
          </w:tcPr>
          <w:p w14:paraId="7C6B6CD4">
            <w:pPr>
              <w:jc w:val="center"/>
              <w:rPr>
                <w:rFonts w:ascii="Times New Roman" w:hAnsi="Times New Roman" w:cs="Times New Roman"/>
                <w:sz w:val="15"/>
                <w:szCs w:val="15"/>
              </w:rPr>
            </w:pPr>
            <w:r>
              <w:rPr>
                <w:rFonts w:ascii="Times New Roman" w:hAnsi="Times New Roman" w:cs="Times New Roman"/>
                <w:sz w:val="15"/>
                <w:szCs w:val="15"/>
              </w:rPr>
              <w:t>2</w:t>
            </w:r>
          </w:p>
        </w:tc>
        <w:tc>
          <w:tcPr>
            <w:tcW w:w="833" w:type="pct"/>
            <w:tcBorders>
              <w:top w:val="single" w:color="auto" w:sz="12" w:space="0"/>
              <w:left w:val="single" w:color="auto" w:sz="6" w:space="0"/>
              <w:bottom w:val="single" w:color="auto" w:sz="6" w:space="0"/>
              <w:right w:val="single" w:color="auto" w:sz="6" w:space="0"/>
            </w:tcBorders>
            <w:noWrap/>
            <w:vAlign w:val="center"/>
          </w:tcPr>
          <w:p w14:paraId="742797F8">
            <w:pPr>
              <w:jc w:val="center"/>
              <w:rPr>
                <w:rFonts w:ascii="Times New Roman" w:hAnsi="Times New Roman" w:cs="Times New Roman"/>
                <w:sz w:val="15"/>
                <w:szCs w:val="15"/>
              </w:rPr>
            </w:pPr>
            <w:r>
              <w:rPr>
                <w:rFonts w:ascii="Times New Roman" w:hAnsi="Times New Roman" w:cs="Times New Roman"/>
                <w:sz w:val="15"/>
                <w:szCs w:val="15"/>
              </w:rPr>
              <w:t>3</w:t>
            </w:r>
          </w:p>
        </w:tc>
        <w:tc>
          <w:tcPr>
            <w:tcW w:w="833" w:type="pct"/>
            <w:tcBorders>
              <w:top w:val="single" w:color="auto" w:sz="12" w:space="0"/>
              <w:left w:val="single" w:color="auto" w:sz="6" w:space="0"/>
              <w:bottom w:val="single" w:color="auto" w:sz="6" w:space="0"/>
              <w:right w:val="single" w:color="auto" w:sz="6" w:space="0"/>
            </w:tcBorders>
            <w:vAlign w:val="center"/>
          </w:tcPr>
          <w:p w14:paraId="4AC0D083">
            <w:pPr>
              <w:jc w:val="center"/>
              <w:rPr>
                <w:rFonts w:ascii="Times New Roman" w:hAnsi="Times New Roman" w:cs="Times New Roman"/>
                <w:sz w:val="15"/>
                <w:szCs w:val="15"/>
              </w:rPr>
            </w:pPr>
            <w:r>
              <w:rPr>
                <w:rFonts w:ascii="Times New Roman" w:hAnsi="Times New Roman" w:cs="Times New Roman"/>
                <w:sz w:val="15"/>
                <w:szCs w:val="15"/>
              </w:rPr>
              <w:t>4</w:t>
            </w:r>
          </w:p>
        </w:tc>
        <w:tc>
          <w:tcPr>
            <w:tcW w:w="832" w:type="pct"/>
            <w:tcBorders>
              <w:top w:val="single" w:color="auto" w:sz="12" w:space="0"/>
              <w:left w:val="single" w:color="auto" w:sz="6" w:space="0"/>
              <w:bottom w:val="single" w:color="auto" w:sz="6" w:space="0"/>
              <w:right w:val="single" w:color="auto" w:sz="12" w:space="0"/>
            </w:tcBorders>
            <w:noWrap/>
            <w:vAlign w:val="center"/>
          </w:tcPr>
          <w:p w14:paraId="7215B3B8">
            <w:pPr>
              <w:jc w:val="center"/>
              <w:rPr>
                <w:rFonts w:ascii="Times New Roman" w:hAnsi="Times New Roman" w:cs="Times New Roman"/>
                <w:sz w:val="15"/>
                <w:szCs w:val="15"/>
              </w:rPr>
            </w:pPr>
            <w:r>
              <w:rPr>
                <w:rFonts w:ascii="Times New Roman" w:hAnsi="Times New Roman" w:cs="Times New Roman"/>
                <w:sz w:val="15"/>
                <w:szCs w:val="15"/>
              </w:rPr>
              <w:t>5</w:t>
            </w:r>
          </w:p>
        </w:tc>
      </w:tr>
      <w:tr w14:paraId="7B7D89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 w:hRule="atLeast"/>
          <w:jc w:val="center"/>
        </w:trPr>
        <w:tc>
          <w:tcPr>
            <w:tcW w:w="834" w:type="pct"/>
            <w:tcBorders>
              <w:top w:val="single" w:color="auto" w:sz="6" w:space="0"/>
              <w:left w:val="single" w:color="auto" w:sz="12" w:space="0"/>
              <w:bottom w:val="single" w:color="auto" w:sz="6" w:space="0"/>
              <w:right w:val="single" w:color="auto" w:sz="6" w:space="0"/>
            </w:tcBorders>
            <w:noWrap/>
            <w:vAlign w:val="center"/>
          </w:tcPr>
          <w:p w14:paraId="0E455B5F">
            <w:pPr>
              <w:jc w:val="center"/>
              <w:rPr>
                <w:rFonts w:ascii="Times New Roman" w:hAnsi="Times New Roman" w:cs="Times New Roman"/>
                <w:sz w:val="15"/>
                <w:szCs w:val="15"/>
              </w:rPr>
            </w:pPr>
            <w:r>
              <w:rPr>
                <w:rFonts w:ascii="Times New Roman" w:hAnsi="Times New Roman" w:cs="Times New Roman"/>
                <w:sz w:val="15"/>
                <w:szCs w:val="15"/>
              </w:rPr>
              <w:t>正常运用</w:t>
            </w:r>
          </w:p>
        </w:tc>
        <w:tc>
          <w:tcPr>
            <w:tcW w:w="833" w:type="pct"/>
            <w:tcBorders>
              <w:top w:val="single" w:color="auto" w:sz="6" w:space="0"/>
              <w:left w:val="single" w:color="auto" w:sz="6" w:space="0"/>
              <w:bottom w:val="single" w:color="auto" w:sz="6" w:space="0"/>
              <w:right w:val="single" w:color="auto" w:sz="6" w:space="0"/>
            </w:tcBorders>
            <w:noWrap/>
            <w:vAlign w:val="center"/>
          </w:tcPr>
          <w:p w14:paraId="13845307">
            <w:pPr>
              <w:jc w:val="center"/>
              <w:rPr>
                <w:rFonts w:ascii="Times New Roman" w:hAnsi="Times New Roman" w:cs="Times New Roman"/>
                <w:sz w:val="15"/>
                <w:szCs w:val="15"/>
              </w:rPr>
            </w:pPr>
            <w:r>
              <w:rPr>
                <w:rFonts w:ascii="Times New Roman" w:hAnsi="Times New Roman" w:cs="Times New Roman"/>
                <w:sz w:val="15"/>
                <w:szCs w:val="15"/>
              </w:rPr>
              <w:t>1.35</w:t>
            </w:r>
          </w:p>
        </w:tc>
        <w:tc>
          <w:tcPr>
            <w:tcW w:w="833" w:type="pct"/>
            <w:tcBorders>
              <w:top w:val="single" w:color="auto" w:sz="6" w:space="0"/>
              <w:left w:val="single" w:color="auto" w:sz="6" w:space="0"/>
              <w:bottom w:val="single" w:color="auto" w:sz="6" w:space="0"/>
              <w:right w:val="single" w:color="auto" w:sz="6" w:space="0"/>
            </w:tcBorders>
            <w:noWrap/>
            <w:vAlign w:val="center"/>
          </w:tcPr>
          <w:p w14:paraId="080CA03C">
            <w:pPr>
              <w:jc w:val="center"/>
              <w:rPr>
                <w:rFonts w:ascii="Times New Roman" w:hAnsi="Times New Roman" w:cs="Times New Roman"/>
                <w:sz w:val="15"/>
                <w:szCs w:val="15"/>
              </w:rPr>
            </w:pPr>
            <w:r>
              <w:rPr>
                <w:rFonts w:ascii="Times New Roman" w:hAnsi="Times New Roman" w:cs="Times New Roman"/>
                <w:sz w:val="15"/>
                <w:szCs w:val="15"/>
              </w:rPr>
              <w:t>1.30</w:t>
            </w:r>
          </w:p>
        </w:tc>
        <w:tc>
          <w:tcPr>
            <w:tcW w:w="833" w:type="pct"/>
            <w:tcBorders>
              <w:top w:val="single" w:color="auto" w:sz="6" w:space="0"/>
              <w:left w:val="single" w:color="auto" w:sz="6" w:space="0"/>
              <w:bottom w:val="single" w:color="auto" w:sz="6" w:space="0"/>
              <w:right w:val="single" w:color="auto" w:sz="6" w:space="0"/>
            </w:tcBorders>
            <w:noWrap/>
            <w:vAlign w:val="center"/>
          </w:tcPr>
          <w:p w14:paraId="70B20566">
            <w:pPr>
              <w:jc w:val="center"/>
              <w:rPr>
                <w:rFonts w:ascii="Times New Roman" w:hAnsi="Times New Roman" w:cs="Times New Roman"/>
                <w:sz w:val="15"/>
                <w:szCs w:val="15"/>
              </w:rPr>
            </w:pPr>
            <w:r>
              <w:rPr>
                <w:rFonts w:ascii="Times New Roman" w:hAnsi="Times New Roman" w:cs="Times New Roman"/>
                <w:sz w:val="15"/>
                <w:szCs w:val="15"/>
              </w:rPr>
              <w:t>1.25</w:t>
            </w:r>
          </w:p>
        </w:tc>
        <w:tc>
          <w:tcPr>
            <w:tcW w:w="833" w:type="pct"/>
            <w:tcBorders>
              <w:top w:val="single" w:color="auto" w:sz="6" w:space="0"/>
              <w:left w:val="single" w:color="auto" w:sz="6" w:space="0"/>
              <w:bottom w:val="single" w:color="auto" w:sz="6" w:space="0"/>
              <w:right w:val="single" w:color="auto" w:sz="6" w:space="0"/>
            </w:tcBorders>
            <w:vAlign w:val="center"/>
          </w:tcPr>
          <w:p w14:paraId="4BE06BBB">
            <w:pPr>
              <w:jc w:val="center"/>
              <w:rPr>
                <w:rFonts w:ascii="Times New Roman" w:hAnsi="Times New Roman" w:cs="Times New Roman"/>
                <w:sz w:val="15"/>
                <w:szCs w:val="15"/>
              </w:rPr>
            </w:pPr>
            <w:r>
              <w:rPr>
                <w:rFonts w:ascii="Times New Roman" w:hAnsi="Times New Roman" w:cs="Times New Roman"/>
                <w:sz w:val="15"/>
                <w:szCs w:val="15"/>
              </w:rPr>
              <w:t>1.20</w:t>
            </w:r>
          </w:p>
        </w:tc>
        <w:tc>
          <w:tcPr>
            <w:tcW w:w="832" w:type="pct"/>
            <w:tcBorders>
              <w:top w:val="single" w:color="auto" w:sz="6" w:space="0"/>
              <w:left w:val="single" w:color="auto" w:sz="6" w:space="0"/>
              <w:bottom w:val="single" w:color="auto" w:sz="6" w:space="0"/>
              <w:right w:val="single" w:color="auto" w:sz="12" w:space="0"/>
            </w:tcBorders>
            <w:noWrap/>
            <w:vAlign w:val="center"/>
          </w:tcPr>
          <w:p w14:paraId="1D91AF13">
            <w:pPr>
              <w:jc w:val="center"/>
              <w:rPr>
                <w:rFonts w:ascii="Times New Roman" w:hAnsi="Times New Roman" w:cs="Times New Roman"/>
                <w:sz w:val="15"/>
                <w:szCs w:val="15"/>
              </w:rPr>
            </w:pPr>
            <w:r>
              <w:rPr>
                <w:rFonts w:ascii="Times New Roman" w:hAnsi="Times New Roman" w:cs="Times New Roman"/>
                <w:sz w:val="15"/>
                <w:szCs w:val="15"/>
              </w:rPr>
              <w:t>1.20</w:t>
            </w:r>
          </w:p>
        </w:tc>
      </w:tr>
      <w:tr w14:paraId="1A7EBF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 w:hRule="atLeast"/>
          <w:jc w:val="center"/>
        </w:trPr>
        <w:tc>
          <w:tcPr>
            <w:tcW w:w="834" w:type="pct"/>
            <w:tcBorders>
              <w:top w:val="single" w:color="auto" w:sz="6" w:space="0"/>
              <w:left w:val="single" w:color="auto" w:sz="12" w:space="0"/>
              <w:bottom w:val="single" w:color="auto" w:sz="12" w:space="0"/>
              <w:right w:val="single" w:color="auto" w:sz="6" w:space="0"/>
            </w:tcBorders>
            <w:noWrap/>
            <w:vAlign w:val="center"/>
          </w:tcPr>
          <w:p w14:paraId="01CEA44E">
            <w:pPr>
              <w:jc w:val="center"/>
              <w:rPr>
                <w:rFonts w:ascii="Times New Roman" w:hAnsi="Times New Roman" w:cs="Times New Roman"/>
                <w:sz w:val="15"/>
                <w:szCs w:val="15"/>
              </w:rPr>
            </w:pPr>
            <w:r>
              <w:rPr>
                <w:rFonts w:ascii="Times New Roman" w:hAnsi="Times New Roman" w:cs="Times New Roman"/>
                <w:sz w:val="15"/>
                <w:szCs w:val="15"/>
              </w:rPr>
              <w:t>非常运用</w:t>
            </w:r>
          </w:p>
        </w:tc>
        <w:tc>
          <w:tcPr>
            <w:tcW w:w="833" w:type="pct"/>
            <w:tcBorders>
              <w:top w:val="single" w:color="auto" w:sz="6" w:space="0"/>
              <w:left w:val="single" w:color="auto" w:sz="6" w:space="0"/>
              <w:bottom w:val="single" w:color="auto" w:sz="12" w:space="0"/>
              <w:right w:val="single" w:color="auto" w:sz="6" w:space="0"/>
            </w:tcBorders>
            <w:noWrap/>
            <w:vAlign w:val="center"/>
          </w:tcPr>
          <w:p w14:paraId="41FDC991">
            <w:pPr>
              <w:jc w:val="center"/>
              <w:rPr>
                <w:rFonts w:ascii="Times New Roman" w:hAnsi="Times New Roman" w:cs="Times New Roman"/>
                <w:sz w:val="15"/>
                <w:szCs w:val="15"/>
              </w:rPr>
            </w:pPr>
            <w:r>
              <w:rPr>
                <w:rFonts w:ascii="Times New Roman" w:hAnsi="Times New Roman" w:cs="Times New Roman"/>
                <w:sz w:val="15"/>
                <w:szCs w:val="15"/>
              </w:rPr>
              <w:t>1.15</w:t>
            </w:r>
          </w:p>
        </w:tc>
        <w:tc>
          <w:tcPr>
            <w:tcW w:w="833" w:type="pct"/>
            <w:tcBorders>
              <w:top w:val="single" w:color="auto" w:sz="6" w:space="0"/>
              <w:left w:val="single" w:color="auto" w:sz="6" w:space="0"/>
              <w:bottom w:val="single" w:color="auto" w:sz="12" w:space="0"/>
              <w:right w:val="single" w:color="auto" w:sz="6" w:space="0"/>
            </w:tcBorders>
            <w:noWrap/>
            <w:vAlign w:val="center"/>
          </w:tcPr>
          <w:p w14:paraId="3AEBB42B">
            <w:pPr>
              <w:jc w:val="center"/>
              <w:rPr>
                <w:rFonts w:ascii="Times New Roman" w:hAnsi="Times New Roman" w:cs="Times New Roman"/>
                <w:sz w:val="15"/>
                <w:szCs w:val="15"/>
              </w:rPr>
            </w:pPr>
            <w:r>
              <w:rPr>
                <w:rFonts w:ascii="Times New Roman" w:hAnsi="Times New Roman" w:cs="Times New Roman"/>
                <w:sz w:val="15"/>
                <w:szCs w:val="15"/>
              </w:rPr>
              <w:t>1.15</w:t>
            </w:r>
          </w:p>
        </w:tc>
        <w:tc>
          <w:tcPr>
            <w:tcW w:w="833" w:type="pct"/>
            <w:tcBorders>
              <w:top w:val="single" w:color="auto" w:sz="6" w:space="0"/>
              <w:left w:val="single" w:color="auto" w:sz="6" w:space="0"/>
              <w:bottom w:val="single" w:color="auto" w:sz="12" w:space="0"/>
              <w:right w:val="single" w:color="auto" w:sz="6" w:space="0"/>
            </w:tcBorders>
            <w:noWrap/>
            <w:vAlign w:val="center"/>
          </w:tcPr>
          <w:p w14:paraId="2A44C3E7">
            <w:pPr>
              <w:jc w:val="center"/>
              <w:rPr>
                <w:rFonts w:ascii="Times New Roman" w:hAnsi="Times New Roman" w:cs="Times New Roman"/>
                <w:sz w:val="15"/>
                <w:szCs w:val="15"/>
              </w:rPr>
            </w:pPr>
            <w:r>
              <w:rPr>
                <w:rFonts w:ascii="Times New Roman" w:hAnsi="Times New Roman" w:cs="Times New Roman"/>
                <w:sz w:val="15"/>
                <w:szCs w:val="15"/>
              </w:rPr>
              <w:t>1.10</w:t>
            </w:r>
          </w:p>
        </w:tc>
        <w:tc>
          <w:tcPr>
            <w:tcW w:w="833" w:type="pct"/>
            <w:tcBorders>
              <w:top w:val="single" w:color="auto" w:sz="6" w:space="0"/>
              <w:left w:val="single" w:color="auto" w:sz="6" w:space="0"/>
              <w:bottom w:val="single" w:color="auto" w:sz="12" w:space="0"/>
              <w:right w:val="single" w:color="auto" w:sz="6" w:space="0"/>
            </w:tcBorders>
            <w:vAlign w:val="center"/>
          </w:tcPr>
          <w:p w14:paraId="642D863D">
            <w:pPr>
              <w:jc w:val="center"/>
              <w:rPr>
                <w:rFonts w:ascii="Times New Roman" w:hAnsi="Times New Roman" w:cs="Times New Roman"/>
                <w:sz w:val="15"/>
                <w:szCs w:val="15"/>
              </w:rPr>
            </w:pPr>
            <w:r>
              <w:rPr>
                <w:rFonts w:ascii="Times New Roman" w:hAnsi="Times New Roman" w:cs="Times New Roman"/>
                <w:sz w:val="15"/>
                <w:szCs w:val="15"/>
              </w:rPr>
              <w:t>1.05</w:t>
            </w:r>
          </w:p>
        </w:tc>
        <w:tc>
          <w:tcPr>
            <w:tcW w:w="832" w:type="pct"/>
            <w:tcBorders>
              <w:top w:val="single" w:color="auto" w:sz="6" w:space="0"/>
              <w:left w:val="single" w:color="auto" w:sz="6" w:space="0"/>
              <w:bottom w:val="single" w:color="auto" w:sz="12" w:space="0"/>
              <w:right w:val="single" w:color="auto" w:sz="12" w:space="0"/>
            </w:tcBorders>
            <w:noWrap/>
            <w:vAlign w:val="center"/>
          </w:tcPr>
          <w:p w14:paraId="65ED6737">
            <w:pPr>
              <w:jc w:val="center"/>
              <w:rPr>
                <w:rFonts w:ascii="Times New Roman" w:hAnsi="Times New Roman" w:cs="Times New Roman"/>
                <w:sz w:val="15"/>
                <w:szCs w:val="15"/>
              </w:rPr>
            </w:pPr>
            <w:r>
              <w:rPr>
                <w:rFonts w:ascii="Times New Roman" w:hAnsi="Times New Roman" w:cs="Times New Roman"/>
                <w:sz w:val="15"/>
                <w:szCs w:val="15"/>
              </w:rPr>
              <w:t>1.05</w:t>
            </w:r>
          </w:p>
        </w:tc>
      </w:tr>
    </w:tbl>
    <w:p w14:paraId="15B7FFAA">
      <w:pPr>
        <w:spacing w:before="156" w:beforeLines="50"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7</w:t>
      </w:r>
      <w:r>
        <w:rPr>
          <w:rFonts w:ascii="Times New Roman" w:hAnsi="Times New Roman" w:cs="Times New Roman"/>
          <w:sz w:val="21"/>
          <w:szCs w:val="24"/>
        </w:rPr>
        <w:t xml:space="preserve">  采用不计条块间作用力的瑞典圆弧法计算边坡抗滑稳定安全系数时，正常运用条件最小安全系数应比表5.4.5-5的规定的数值减小8%。</w:t>
      </w:r>
    </w:p>
    <w:p w14:paraId="2C163B33">
      <w:pPr>
        <w:spacing w:line="360" w:lineRule="auto"/>
        <w:rPr>
          <w:rFonts w:ascii="Times New Roman" w:hAnsi="Times New Roman" w:cs="Times New Roman"/>
          <w:sz w:val="21"/>
          <w:szCs w:val="24"/>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cs="Times New Roman"/>
          <w:b/>
          <w:sz w:val="21"/>
          <w:szCs w:val="24"/>
        </w:rPr>
        <w:t xml:space="preserve"> </w:t>
      </w:r>
      <w:r>
        <w:rPr>
          <w:rFonts w:ascii="Times New Roman" w:hAnsi="Times New Roman" w:cs="Times New Roman"/>
          <w:sz w:val="21"/>
          <w:szCs w:val="24"/>
        </w:rPr>
        <w:t xml:space="preserve"> 挡渣墙（浆砌石、混凝土、钢筋混凝土等）基底应力计算应满足下列要求：</w:t>
      </w:r>
    </w:p>
    <w:p w14:paraId="1A979F59">
      <w:pPr>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4"/>
        </w:rPr>
        <w:t>1</w:t>
      </w:r>
      <w:r>
        <w:rPr>
          <w:rFonts w:ascii="Times New Roman" w:hAnsi="Times New Roman" w:cs="Times New Roman"/>
          <w:sz w:val="21"/>
          <w:szCs w:val="24"/>
        </w:rPr>
        <w:t xml:space="preserve">  在各种计算工况下，土质地基和软质岩石地基上的挡渣墙平均基底应力不应大于地基允许承载力允许值，最大基底应力不应大于地基允许承载力的1.2倍。</w:t>
      </w:r>
    </w:p>
    <w:p w14:paraId="5A49B836">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2</w:t>
      </w:r>
      <w:r>
        <w:rPr>
          <w:rFonts w:ascii="Times New Roman" w:hAnsi="Times New Roman" w:cs="Times New Roman"/>
          <w:b/>
          <w:sz w:val="21"/>
          <w:szCs w:val="24"/>
        </w:rPr>
        <w:t xml:space="preserve"> </w:t>
      </w:r>
      <w:r>
        <w:rPr>
          <w:rFonts w:ascii="Times New Roman" w:hAnsi="Times New Roman" w:cs="Times New Roman"/>
          <w:sz w:val="21"/>
          <w:szCs w:val="24"/>
        </w:rPr>
        <w:t xml:space="preserve"> 土质地基和软质岩石地基上挡渣墙基底应力的最大值与最小值之比不应大于2.0，砂土宜取2.0～3.0。</w:t>
      </w:r>
    </w:p>
    <w:p w14:paraId="01BB0F04">
      <w:pPr>
        <w:spacing w:line="360" w:lineRule="auto"/>
        <w:rPr>
          <w:rFonts w:ascii="Times New Roman" w:hAnsi="Times New Roman" w:cs="Times New Roman"/>
          <w:sz w:val="21"/>
          <w:szCs w:val="21"/>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4</w:t>
      </w:r>
      <w:r>
        <w:rPr>
          <w:rFonts w:ascii="Times New Roman" w:hAnsi="Times New Roman" w:cs="Times New Roman"/>
          <w:b/>
          <w:sz w:val="21"/>
          <w:szCs w:val="24"/>
        </w:rPr>
        <w:t>.</w:t>
      </w:r>
      <w:r>
        <w:rPr>
          <w:rFonts w:ascii="Times New Roman" w:hAnsi="Times New Roman" w:eastAsia="黑体" w:cs="Times New Roman"/>
          <w:b/>
          <w:sz w:val="21"/>
          <w:szCs w:val="24"/>
        </w:rPr>
        <w:t>7</w:t>
      </w:r>
      <w:r>
        <w:rPr>
          <w:rFonts w:ascii="Times New Roman" w:hAnsi="Times New Roman" w:cs="Times New Roman"/>
          <w:sz w:val="21"/>
          <w:szCs w:val="24"/>
        </w:rPr>
        <w:t xml:space="preserve">  </w:t>
      </w:r>
      <w:r>
        <w:rPr>
          <w:rFonts w:ascii="Times New Roman" w:hAnsi="Times New Roman" w:cs="Times New Roman"/>
          <w:bCs/>
          <w:sz w:val="21"/>
          <w:szCs w:val="21"/>
        </w:rPr>
        <w:t>土质地基上的挡渣墙应进行抗渗稳定验算，与弃渣场整体进行侧向渗流分析，按《堤防工程设计规范》GB 50286的有关规定进行计算，且本身不应影响弃渣场边坡的渗流稳定。</w:t>
      </w:r>
      <w:r>
        <w:rPr>
          <w:rFonts w:ascii="Times New Roman" w:hAnsi="Times New Roman" w:cs="Times New Roman"/>
          <w:sz w:val="21"/>
          <w:szCs w:val="21"/>
        </w:rPr>
        <w:t>当挡渣墙墙后地下水位高于墙前水位时，应验算挡渣墙基底的抗渗稳定性。必要时可采取防渗排水措施，按《水利水电工程地质勘察规范》GB 50487的规定进行判别。</w:t>
      </w:r>
    </w:p>
    <w:p w14:paraId="73A4D261">
      <w:pPr>
        <w:keepNext/>
        <w:keepLines/>
        <w:spacing w:before="260" w:after="260"/>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Ⅱ </w:t>
      </w:r>
      <w:r>
        <w:rPr>
          <w:rFonts w:ascii="Times New Roman" w:hAnsi="Times New Roman" w:eastAsia="黑体" w:cs="Times New Roman"/>
          <w:bCs/>
          <w:sz w:val="24"/>
          <w:szCs w:val="24"/>
        </w:rPr>
        <w:t>挡渣墙</w:t>
      </w:r>
    </w:p>
    <w:p w14:paraId="0D071508">
      <w:pPr>
        <w:spacing w:line="360" w:lineRule="auto"/>
        <w:rPr>
          <w:rFonts w:ascii="Times New Roman" w:hAnsi="Times New Roman" w:cs="Times New Roman"/>
          <w:sz w:val="21"/>
          <w:szCs w:val="24"/>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8</w:t>
      </w:r>
      <w:r>
        <w:rPr>
          <w:rFonts w:ascii="Times New Roman" w:hAnsi="Times New Roman" w:cs="Times New Roman"/>
          <w:b/>
          <w:sz w:val="21"/>
          <w:szCs w:val="24"/>
        </w:rPr>
        <w:t xml:space="preserve"> </w:t>
      </w:r>
      <w:r>
        <w:rPr>
          <w:rFonts w:ascii="Times New Roman" w:hAnsi="Times New Roman" w:cs="Times New Roman"/>
          <w:sz w:val="21"/>
          <w:szCs w:val="24"/>
        </w:rPr>
        <w:t xml:space="preserve"> 挡渣墙级别应按本标准第5.1.2节确定。</w:t>
      </w:r>
    </w:p>
    <w:p w14:paraId="4F8172C2">
      <w:pPr>
        <w:spacing w:line="360" w:lineRule="auto"/>
        <w:rPr>
          <w:rFonts w:ascii="Times New Roman" w:hAnsi="Times New Roman" w:cs="Times New Roman"/>
          <w:sz w:val="21"/>
          <w:szCs w:val="24"/>
        </w:rPr>
      </w:pPr>
      <w:r>
        <w:rPr>
          <w:rFonts w:ascii="Times New Roman" w:hAnsi="Times New Roman" w:cs="Times New Roman"/>
          <w:b/>
          <w:sz w:val="21"/>
          <w:szCs w:val="24"/>
        </w:rPr>
        <w:t xml:space="preserve">5.4.9 </w:t>
      </w:r>
      <w:r>
        <w:rPr>
          <w:rFonts w:ascii="Times New Roman" w:hAnsi="Times New Roman" w:cs="Times New Roman"/>
          <w:sz w:val="21"/>
          <w:szCs w:val="24"/>
        </w:rPr>
        <w:t xml:space="preserve"> 挡渣墙型式应根据弃渣堆置型式、地形、地质、降水与汇水条件、建筑材料来源等选择。挡渣墙应分为重力式、半重力式、衡重式、悬臂式、扶臂式。</w:t>
      </w:r>
    </w:p>
    <w:p w14:paraId="7BAE2D4D">
      <w:pPr>
        <w:spacing w:line="360" w:lineRule="auto"/>
        <w:rPr>
          <w:rFonts w:ascii="Times New Roman" w:hAnsi="Times New Roman" w:cs="Times New Roman"/>
          <w:sz w:val="21"/>
        </w:rPr>
      </w:pPr>
      <w:r>
        <w:rPr>
          <w:rFonts w:ascii="Times New Roman" w:hAnsi="Times New Roman" w:cs="Times New Roman"/>
          <w:b/>
          <w:sz w:val="21"/>
          <w:szCs w:val="24"/>
        </w:rPr>
        <w:t>5.4.10</w:t>
      </w:r>
      <w:r>
        <w:rPr>
          <w:rFonts w:ascii="Times New Roman" w:hAnsi="Times New Roman" w:cs="Times New Roman"/>
          <w:sz w:val="21"/>
          <w:szCs w:val="24"/>
        </w:rPr>
        <w:t xml:space="preserve">  </w:t>
      </w:r>
      <w:r>
        <w:rPr>
          <w:rFonts w:ascii="Times New Roman" w:hAnsi="Times New Roman" w:cs="Times New Roman"/>
          <w:sz w:val="21"/>
        </w:rPr>
        <w:t>挡渣墙基底埋置深度应根据地形、地质、结构稳定、地基整体稳定、最大冻结深度等确定，并应符合下列规定：</w:t>
      </w:r>
    </w:p>
    <w:p w14:paraId="6B5903BF">
      <w:pPr>
        <w:spacing w:line="360" w:lineRule="auto"/>
        <w:ind w:firstLine="422" w:firstLineChars="200"/>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挡渣墙基底埋置深度应考虑与斜坡地面水平距离，最小埋置深度见表5.4.10。</w:t>
      </w:r>
    </w:p>
    <w:p w14:paraId="78932183">
      <w:pPr>
        <w:ind w:firstLine="352" w:firstLineChars="196"/>
        <w:jc w:val="center"/>
        <w:rPr>
          <w:rFonts w:ascii="Times New Roman" w:hAnsi="Times New Roman" w:cs="Times New Roman"/>
          <w:sz w:val="21"/>
          <w:szCs w:val="24"/>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4</w:t>
      </w:r>
      <w:r>
        <w:rPr>
          <w:rFonts w:ascii="Times New Roman" w:hAnsi="Times New Roman" w:cs="Times New Roman"/>
          <w:sz w:val="18"/>
          <w:szCs w:val="18"/>
        </w:rPr>
        <w:t>.</w:t>
      </w:r>
      <w:r>
        <w:rPr>
          <w:rFonts w:ascii="Times New Roman" w:hAnsi="Times New Roman" w:eastAsia="黑体" w:cs="Times New Roman"/>
          <w:sz w:val="18"/>
          <w:szCs w:val="18"/>
        </w:rPr>
        <w:t>10  挡渣墙基底最小埋置深度</w:t>
      </w:r>
    </w:p>
    <w:tbl>
      <w:tblPr>
        <w:tblStyle w:val="11"/>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758"/>
        <w:gridCol w:w="2759"/>
        <w:gridCol w:w="2759"/>
      </w:tblGrid>
      <w:tr w14:paraId="6BCB69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vAlign w:val="center"/>
          </w:tcPr>
          <w:p w14:paraId="2E29E409">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地层类别</w:t>
            </w:r>
          </w:p>
        </w:tc>
        <w:tc>
          <w:tcPr>
            <w:tcW w:w="1667" w:type="pct"/>
            <w:tcBorders>
              <w:tl2br w:val="nil"/>
              <w:tr2bl w:val="nil"/>
            </w:tcBorders>
            <w:vAlign w:val="center"/>
          </w:tcPr>
          <w:p w14:paraId="4A2E9D63">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最小埋置深度/m</w:t>
            </w:r>
          </w:p>
        </w:tc>
        <w:tc>
          <w:tcPr>
            <w:tcW w:w="1667" w:type="pct"/>
            <w:tcBorders>
              <w:tl2br w:val="nil"/>
              <w:tr2bl w:val="nil"/>
            </w:tcBorders>
            <w:vAlign w:val="center"/>
          </w:tcPr>
          <w:p w14:paraId="66DE2FB2">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距斜坡地面水平距离/m</w:t>
            </w:r>
          </w:p>
        </w:tc>
      </w:tr>
      <w:tr w14:paraId="017B2B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vAlign w:val="center"/>
          </w:tcPr>
          <w:p w14:paraId="704E3DB2">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较完整的硬质岩层</w:t>
            </w:r>
          </w:p>
        </w:tc>
        <w:tc>
          <w:tcPr>
            <w:tcW w:w="1667" w:type="pct"/>
            <w:tcBorders>
              <w:tl2br w:val="nil"/>
              <w:tr2bl w:val="nil"/>
            </w:tcBorders>
            <w:vAlign w:val="center"/>
          </w:tcPr>
          <w:p w14:paraId="4F3E6FAE">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0.25</w:t>
            </w:r>
          </w:p>
        </w:tc>
        <w:tc>
          <w:tcPr>
            <w:tcW w:w="1667" w:type="pct"/>
            <w:tcBorders>
              <w:tl2br w:val="nil"/>
              <w:tr2bl w:val="nil"/>
            </w:tcBorders>
            <w:vAlign w:val="center"/>
          </w:tcPr>
          <w:p w14:paraId="0E9ABB06">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0.25~0.50</w:t>
            </w:r>
          </w:p>
        </w:tc>
      </w:tr>
      <w:tr w14:paraId="516660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vAlign w:val="center"/>
          </w:tcPr>
          <w:p w14:paraId="1ED1B5EF">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一般硬质岩层</w:t>
            </w:r>
          </w:p>
        </w:tc>
        <w:tc>
          <w:tcPr>
            <w:tcW w:w="1667" w:type="pct"/>
            <w:tcBorders>
              <w:tl2br w:val="nil"/>
              <w:tr2bl w:val="nil"/>
            </w:tcBorders>
            <w:vAlign w:val="center"/>
          </w:tcPr>
          <w:p w14:paraId="5BAEE67A">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0.60</w:t>
            </w:r>
          </w:p>
        </w:tc>
        <w:tc>
          <w:tcPr>
            <w:tcW w:w="1667" w:type="pct"/>
            <w:tcBorders>
              <w:tl2br w:val="nil"/>
              <w:tr2bl w:val="nil"/>
            </w:tcBorders>
            <w:vAlign w:val="center"/>
          </w:tcPr>
          <w:p w14:paraId="45C1CCAF">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0.60~1.50</w:t>
            </w:r>
          </w:p>
        </w:tc>
      </w:tr>
      <w:tr w14:paraId="3576A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vAlign w:val="center"/>
          </w:tcPr>
          <w:p w14:paraId="416B4D92">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软质岩层</w:t>
            </w:r>
          </w:p>
        </w:tc>
        <w:tc>
          <w:tcPr>
            <w:tcW w:w="1667" w:type="pct"/>
            <w:tcBorders>
              <w:tl2br w:val="nil"/>
              <w:tr2bl w:val="nil"/>
            </w:tcBorders>
            <w:vAlign w:val="center"/>
          </w:tcPr>
          <w:p w14:paraId="1E2ED676">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1.00</w:t>
            </w:r>
          </w:p>
        </w:tc>
        <w:tc>
          <w:tcPr>
            <w:tcW w:w="1667" w:type="pct"/>
            <w:tcBorders>
              <w:tl2br w:val="nil"/>
              <w:tr2bl w:val="nil"/>
            </w:tcBorders>
            <w:vAlign w:val="center"/>
          </w:tcPr>
          <w:p w14:paraId="5A8A6ECB">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1.00~2.00</w:t>
            </w:r>
          </w:p>
        </w:tc>
      </w:tr>
      <w:tr w14:paraId="4ECCF4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vAlign w:val="center"/>
          </w:tcPr>
          <w:p w14:paraId="799549E4">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土层</w:t>
            </w:r>
          </w:p>
        </w:tc>
        <w:tc>
          <w:tcPr>
            <w:tcW w:w="1667" w:type="pct"/>
            <w:tcBorders>
              <w:tl2br w:val="nil"/>
              <w:tr2bl w:val="nil"/>
            </w:tcBorders>
            <w:vAlign w:val="center"/>
          </w:tcPr>
          <w:p w14:paraId="3CFE8296">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≥1.00</w:t>
            </w:r>
          </w:p>
        </w:tc>
        <w:tc>
          <w:tcPr>
            <w:tcW w:w="1667" w:type="pct"/>
            <w:tcBorders>
              <w:tl2br w:val="nil"/>
              <w:tr2bl w:val="nil"/>
            </w:tcBorders>
            <w:vAlign w:val="center"/>
          </w:tcPr>
          <w:p w14:paraId="4DDBA626">
            <w:pPr>
              <w:widowControl/>
              <w:jc w:val="center"/>
              <w:rPr>
                <w:rFonts w:ascii="Times New Roman" w:hAnsi="Times New Roman" w:cs="Times New Roman"/>
                <w:bCs/>
                <w:kern w:val="0"/>
                <w:sz w:val="15"/>
                <w:szCs w:val="15"/>
              </w:rPr>
            </w:pPr>
            <w:r>
              <w:rPr>
                <w:rFonts w:ascii="Times New Roman" w:hAnsi="Times New Roman" w:cs="Times New Roman"/>
                <w:bCs/>
                <w:kern w:val="0"/>
                <w:sz w:val="15"/>
                <w:szCs w:val="15"/>
              </w:rPr>
              <w:t>1.50~2.50</w:t>
            </w:r>
          </w:p>
        </w:tc>
      </w:tr>
    </w:tbl>
    <w:p w14:paraId="634C872E">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2</w:t>
      </w:r>
      <w:r>
        <w:rPr>
          <w:rFonts w:ascii="Times New Roman" w:hAnsi="Times New Roman" w:cs="Times New Roman"/>
          <w:sz w:val="21"/>
          <w:szCs w:val="24"/>
        </w:rPr>
        <w:t xml:space="preserve">  地基为土基时，当最大冻土深度不大于1 m时，基底应位于冻结线以下不小于0.25m且不大于1m；当最大冻土深度大于1m时，基底最小埋置深度不小于1.25m，并应将基底冻结线以下0.25m范围内的地基土换填为弱冻胀材料。</w:t>
      </w:r>
    </w:p>
    <w:p w14:paraId="3B418190">
      <w:pPr>
        <w:spacing w:line="360" w:lineRule="auto"/>
        <w:ind w:firstLine="422" w:firstLineChars="200"/>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在风化层不厚的硬质岩石地基上，基底宜置于基岩表面风化层以下。</w:t>
      </w:r>
    </w:p>
    <w:p w14:paraId="6FD020CE">
      <w:pPr>
        <w:spacing w:line="360" w:lineRule="auto"/>
        <w:rPr>
          <w:rFonts w:ascii="Times New Roman" w:hAnsi="Times New Roman" w:cs="Times New Roman"/>
          <w:sz w:val="21"/>
          <w:szCs w:val="24"/>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11</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挡渣墙应每隔10m～15m设置变形缝。挡渣墙轴线转折处、地形变化大、地质条件、荷载和结构断面变化处，应增设变形缝。</w:t>
      </w:r>
    </w:p>
    <w:p w14:paraId="7B9B6BEC">
      <w:pPr>
        <w:spacing w:line="360" w:lineRule="auto"/>
        <w:rPr>
          <w:rFonts w:ascii="Times New Roman" w:hAnsi="Times New Roman" w:cs="Times New Roman"/>
          <w:sz w:val="21"/>
          <w:szCs w:val="24"/>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12</w:t>
      </w:r>
      <w:r>
        <w:rPr>
          <w:rFonts w:ascii="Times New Roman" w:hAnsi="Times New Roman" w:eastAsia="黑体" w:cs="Times New Roman"/>
          <w:sz w:val="21"/>
          <w:szCs w:val="21"/>
        </w:rPr>
        <w:t xml:space="preserve">  </w:t>
      </w:r>
      <w:r>
        <w:rPr>
          <w:rFonts w:ascii="Times New Roman" w:hAnsi="Times New Roman" w:cs="Times New Roman"/>
          <w:sz w:val="21"/>
          <w:szCs w:val="24"/>
        </w:rPr>
        <w:t>作用在挡渣墙上的荷载可分为基本组合和特殊组合两类，可按表5.4.12的规定采用。</w:t>
      </w:r>
    </w:p>
    <w:p w14:paraId="163DF7C8">
      <w:pPr>
        <w:spacing w:line="360" w:lineRule="auto"/>
        <w:ind w:firstLine="422" w:firstLineChars="200"/>
        <w:jc w:val="left"/>
        <w:rPr>
          <w:rFonts w:ascii="Times New Roman" w:hAnsi="Times New Roman" w:cs="Times New Roman"/>
          <w:sz w:val="21"/>
          <w:szCs w:val="24"/>
        </w:rPr>
      </w:pPr>
      <w:r>
        <w:rPr>
          <w:rFonts w:ascii="Times New Roman" w:hAnsi="Times New Roman" w:eastAsia="黑体" w:cs="Times New Roman"/>
          <w:b/>
          <w:sz w:val="21"/>
          <w:szCs w:val="21"/>
        </w:rPr>
        <w:t>1</w:t>
      </w:r>
      <w:r>
        <w:rPr>
          <w:rFonts w:ascii="Times New Roman" w:hAnsi="Times New Roman" w:eastAsia="黑体" w:cs="Times New Roman"/>
          <w:sz w:val="21"/>
          <w:szCs w:val="21"/>
        </w:rPr>
        <w:t xml:space="preserve">  </w:t>
      </w:r>
      <w:r>
        <w:rPr>
          <w:rFonts w:ascii="Times New Roman" w:hAnsi="Times New Roman" w:cs="Times New Roman"/>
          <w:sz w:val="21"/>
          <w:szCs w:val="24"/>
        </w:rPr>
        <w:t>基本组合：挡渣墙结构及其底板以上填料和永久设备的自重、墙后填土破裂体范围内的车辆、人群等附加荷载、相应于正常挡渣高程的土压力、墙后正常地下水位下的水重、静水压力和扬压力、土的冻胀力、其他出现机会较多的荷载。</w:t>
      </w:r>
    </w:p>
    <w:p w14:paraId="6FF8E3C3">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2</w:t>
      </w:r>
      <w:r>
        <w:rPr>
          <w:rFonts w:ascii="Times New Roman" w:hAnsi="Times New Roman" w:cs="Times New Roman"/>
          <w:sz w:val="21"/>
          <w:szCs w:val="24"/>
        </w:rPr>
        <w:t xml:space="preserve">  特殊组合：多雨期墙后土压力、水重、静水压力和扬压力、地震荷载、其他出现机会很少的荷载。墙前有水位降落时，还应按特殊荷载组合计算此种不利工况。</w:t>
      </w:r>
    </w:p>
    <w:p w14:paraId="56A3F4AB">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4</w:t>
      </w:r>
      <w:r>
        <w:rPr>
          <w:rFonts w:ascii="Times New Roman" w:hAnsi="Times New Roman" w:cs="Times New Roman"/>
          <w:sz w:val="18"/>
          <w:szCs w:val="18"/>
        </w:rPr>
        <w:t>.</w:t>
      </w:r>
      <w:r>
        <w:rPr>
          <w:rFonts w:ascii="Times New Roman" w:hAnsi="Times New Roman" w:eastAsia="黑体" w:cs="Times New Roman"/>
          <w:sz w:val="18"/>
          <w:szCs w:val="18"/>
        </w:rPr>
        <w:t>12  荷载组合表</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18"/>
        <w:gridCol w:w="359"/>
        <w:gridCol w:w="627"/>
        <w:gridCol w:w="410"/>
        <w:gridCol w:w="518"/>
        <w:gridCol w:w="463"/>
        <w:gridCol w:w="410"/>
        <w:gridCol w:w="518"/>
        <w:gridCol w:w="463"/>
        <w:gridCol w:w="573"/>
        <w:gridCol w:w="463"/>
        <w:gridCol w:w="519"/>
        <w:gridCol w:w="522"/>
        <w:gridCol w:w="1913"/>
      </w:tblGrid>
      <w:tr w14:paraId="2FDA3C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57" w:hRule="atLeast"/>
        </w:trPr>
        <w:tc>
          <w:tcPr>
            <w:tcW w:w="530" w:type="pct"/>
            <w:gridSpan w:val="2"/>
            <w:vMerge w:val="restart"/>
            <w:vAlign w:val="center"/>
          </w:tcPr>
          <w:p w14:paraId="4C74212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荷载组合</w:t>
            </w:r>
          </w:p>
        </w:tc>
        <w:tc>
          <w:tcPr>
            <w:tcW w:w="379" w:type="pct"/>
            <w:vMerge w:val="restart"/>
            <w:vAlign w:val="center"/>
          </w:tcPr>
          <w:p w14:paraId="7EE418D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主要考虑情况</w:t>
            </w:r>
          </w:p>
        </w:tc>
        <w:tc>
          <w:tcPr>
            <w:tcW w:w="2935" w:type="pct"/>
            <w:gridSpan w:val="10"/>
            <w:vAlign w:val="center"/>
          </w:tcPr>
          <w:p w14:paraId="152F5AF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荷载类别</w:t>
            </w:r>
          </w:p>
        </w:tc>
        <w:tc>
          <w:tcPr>
            <w:tcW w:w="1156" w:type="pct"/>
            <w:vMerge w:val="restart"/>
            <w:vAlign w:val="center"/>
          </w:tcPr>
          <w:p w14:paraId="59A8C6B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附注</w:t>
            </w:r>
          </w:p>
        </w:tc>
      </w:tr>
      <w:tr w14:paraId="7F50A7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530" w:type="pct"/>
            <w:gridSpan w:val="2"/>
            <w:vMerge w:val="continue"/>
            <w:vAlign w:val="center"/>
          </w:tcPr>
          <w:p w14:paraId="6BBD777B">
            <w:pPr>
              <w:widowControl/>
              <w:jc w:val="center"/>
              <w:rPr>
                <w:rFonts w:ascii="Times New Roman" w:hAnsi="Times New Roman" w:cs="Times New Roman"/>
                <w:kern w:val="0"/>
                <w:sz w:val="15"/>
                <w:szCs w:val="15"/>
              </w:rPr>
            </w:pPr>
          </w:p>
        </w:tc>
        <w:tc>
          <w:tcPr>
            <w:tcW w:w="379" w:type="pct"/>
            <w:vMerge w:val="continue"/>
            <w:vAlign w:val="center"/>
          </w:tcPr>
          <w:p w14:paraId="5E7A3E3D">
            <w:pPr>
              <w:widowControl/>
              <w:jc w:val="center"/>
              <w:rPr>
                <w:rFonts w:ascii="Times New Roman" w:hAnsi="Times New Roman" w:cs="Times New Roman"/>
                <w:kern w:val="0"/>
                <w:sz w:val="15"/>
                <w:szCs w:val="15"/>
              </w:rPr>
            </w:pPr>
          </w:p>
        </w:tc>
        <w:tc>
          <w:tcPr>
            <w:tcW w:w="248" w:type="pct"/>
            <w:vAlign w:val="center"/>
          </w:tcPr>
          <w:p w14:paraId="3D7E7D1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自重</w:t>
            </w:r>
          </w:p>
        </w:tc>
        <w:tc>
          <w:tcPr>
            <w:tcW w:w="313" w:type="pct"/>
            <w:vAlign w:val="center"/>
          </w:tcPr>
          <w:p w14:paraId="5A437801">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附加荷载</w:t>
            </w:r>
          </w:p>
        </w:tc>
        <w:tc>
          <w:tcPr>
            <w:tcW w:w="280" w:type="pct"/>
            <w:vAlign w:val="center"/>
          </w:tcPr>
          <w:p w14:paraId="472FFD1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土压力</w:t>
            </w:r>
          </w:p>
        </w:tc>
        <w:tc>
          <w:tcPr>
            <w:tcW w:w="248" w:type="pct"/>
            <w:vAlign w:val="center"/>
          </w:tcPr>
          <w:p w14:paraId="665BC26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水重</w:t>
            </w:r>
          </w:p>
        </w:tc>
        <w:tc>
          <w:tcPr>
            <w:tcW w:w="313" w:type="pct"/>
            <w:vAlign w:val="center"/>
          </w:tcPr>
          <w:p w14:paraId="04DFDB7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静水压力</w:t>
            </w:r>
          </w:p>
        </w:tc>
        <w:tc>
          <w:tcPr>
            <w:tcW w:w="280" w:type="pct"/>
            <w:vAlign w:val="center"/>
          </w:tcPr>
          <w:p w14:paraId="691CE8D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扬压力</w:t>
            </w:r>
          </w:p>
        </w:tc>
        <w:tc>
          <w:tcPr>
            <w:tcW w:w="346" w:type="pct"/>
            <w:vAlign w:val="center"/>
          </w:tcPr>
          <w:p w14:paraId="24D4351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土的冻胀力</w:t>
            </w:r>
          </w:p>
        </w:tc>
        <w:tc>
          <w:tcPr>
            <w:tcW w:w="280" w:type="pct"/>
            <w:vAlign w:val="center"/>
          </w:tcPr>
          <w:p w14:paraId="7F09E58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冰压力</w:t>
            </w:r>
          </w:p>
        </w:tc>
        <w:tc>
          <w:tcPr>
            <w:tcW w:w="313" w:type="pct"/>
            <w:vAlign w:val="center"/>
          </w:tcPr>
          <w:p w14:paraId="37D0D41A">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地震荷载</w:t>
            </w:r>
          </w:p>
        </w:tc>
        <w:tc>
          <w:tcPr>
            <w:tcW w:w="315" w:type="pct"/>
            <w:vAlign w:val="center"/>
          </w:tcPr>
          <w:p w14:paraId="1D17DF5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其他荷载</w:t>
            </w:r>
          </w:p>
        </w:tc>
        <w:tc>
          <w:tcPr>
            <w:tcW w:w="1156" w:type="pct"/>
            <w:vMerge w:val="continue"/>
            <w:vAlign w:val="center"/>
          </w:tcPr>
          <w:p w14:paraId="33906825">
            <w:pPr>
              <w:widowControl/>
              <w:jc w:val="center"/>
              <w:rPr>
                <w:rFonts w:ascii="Times New Roman" w:hAnsi="Times New Roman" w:cs="Times New Roman"/>
                <w:kern w:val="0"/>
                <w:sz w:val="15"/>
                <w:szCs w:val="15"/>
              </w:rPr>
            </w:pPr>
          </w:p>
        </w:tc>
      </w:tr>
      <w:tr w14:paraId="51CE4E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530" w:type="pct"/>
            <w:gridSpan w:val="2"/>
            <w:vMerge w:val="restart"/>
            <w:vAlign w:val="center"/>
          </w:tcPr>
          <w:p w14:paraId="47218C8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基本组合</w:t>
            </w:r>
          </w:p>
        </w:tc>
        <w:tc>
          <w:tcPr>
            <w:tcW w:w="379" w:type="pct"/>
            <w:vAlign w:val="center"/>
          </w:tcPr>
          <w:p w14:paraId="6B774BD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正常挡渣情况</w:t>
            </w:r>
          </w:p>
        </w:tc>
        <w:tc>
          <w:tcPr>
            <w:tcW w:w="248" w:type="pct"/>
            <w:vAlign w:val="center"/>
          </w:tcPr>
          <w:p w14:paraId="1493C339">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613BFDB1">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6793400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48" w:type="pct"/>
            <w:vAlign w:val="center"/>
          </w:tcPr>
          <w:p w14:paraId="743AC71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1A89A8F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22D1D2F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46" w:type="pct"/>
            <w:vAlign w:val="center"/>
          </w:tcPr>
          <w:p w14:paraId="63D7EB41">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53334F9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5F38A1D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5" w:type="pct"/>
            <w:vAlign w:val="center"/>
          </w:tcPr>
          <w:p w14:paraId="662F51B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1156" w:type="pct"/>
            <w:vAlign w:val="center"/>
          </w:tcPr>
          <w:p w14:paraId="65CAA912">
            <w:pPr>
              <w:widowControl/>
              <w:rPr>
                <w:rFonts w:ascii="Times New Roman" w:hAnsi="Times New Roman" w:cs="Times New Roman"/>
                <w:kern w:val="0"/>
                <w:sz w:val="15"/>
                <w:szCs w:val="15"/>
              </w:rPr>
            </w:pPr>
            <w:r>
              <w:rPr>
                <w:rFonts w:ascii="Times New Roman" w:hAnsi="Times New Roman" w:cs="Times New Roman"/>
                <w:kern w:val="0"/>
                <w:sz w:val="15"/>
                <w:szCs w:val="15"/>
              </w:rPr>
              <w:t>按正常挡渣组合计算水重、静水压力、扬压力、土压力</w:t>
            </w:r>
          </w:p>
        </w:tc>
      </w:tr>
      <w:tr w14:paraId="7FB0E0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30" w:type="pct"/>
            <w:gridSpan w:val="2"/>
            <w:vMerge w:val="continue"/>
            <w:vAlign w:val="center"/>
          </w:tcPr>
          <w:p w14:paraId="18798256">
            <w:pPr>
              <w:widowControl/>
              <w:jc w:val="center"/>
              <w:rPr>
                <w:rFonts w:ascii="Times New Roman" w:hAnsi="Times New Roman" w:cs="Times New Roman"/>
                <w:kern w:val="0"/>
                <w:sz w:val="15"/>
                <w:szCs w:val="15"/>
              </w:rPr>
            </w:pPr>
          </w:p>
        </w:tc>
        <w:tc>
          <w:tcPr>
            <w:tcW w:w="379" w:type="pct"/>
            <w:vAlign w:val="center"/>
          </w:tcPr>
          <w:p w14:paraId="6CA5BFBA">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冰冻情况</w:t>
            </w:r>
          </w:p>
        </w:tc>
        <w:tc>
          <w:tcPr>
            <w:tcW w:w="248" w:type="pct"/>
            <w:vAlign w:val="center"/>
          </w:tcPr>
          <w:p w14:paraId="687932C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69F9012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4E5F9C4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48" w:type="pct"/>
            <w:vAlign w:val="center"/>
          </w:tcPr>
          <w:p w14:paraId="7E30F67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2595B6F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29BC53E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46" w:type="pct"/>
            <w:vAlign w:val="center"/>
          </w:tcPr>
          <w:p w14:paraId="170C577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408B6AB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2687BCC5">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5" w:type="pct"/>
            <w:vAlign w:val="center"/>
          </w:tcPr>
          <w:p w14:paraId="77FC1FC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1156" w:type="pct"/>
            <w:vAlign w:val="center"/>
          </w:tcPr>
          <w:p w14:paraId="7310EA6C">
            <w:pPr>
              <w:widowControl/>
              <w:rPr>
                <w:rFonts w:ascii="Times New Roman" w:hAnsi="Times New Roman" w:cs="Times New Roman"/>
                <w:kern w:val="0"/>
                <w:sz w:val="15"/>
                <w:szCs w:val="15"/>
              </w:rPr>
            </w:pPr>
            <w:r>
              <w:rPr>
                <w:rFonts w:ascii="Times New Roman" w:hAnsi="Times New Roman" w:cs="Times New Roman"/>
                <w:kern w:val="0"/>
                <w:sz w:val="15"/>
                <w:szCs w:val="15"/>
              </w:rPr>
              <w:t>按正常挡渣组合计算水重、静水压力、扬压力、土压力及冰压力</w:t>
            </w:r>
          </w:p>
        </w:tc>
      </w:tr>
      <w:tr w14:paraId="45897F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313" w:type="pct"/>
            <w:vMerge w:val="restart"/>
            <w:vAlign w:val="center"/>
          </w:tcPr>
          <w:p w14:paraId="0394DE8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特殊组合</w:t>
            </w:r>
          </w:p>
        </w:tc>
        <w:tc>
          <w:tcPr>
            <w:tcW w:w="216" w:type="pct"/>
            <w:vMerge w:val="restart"/>
            <w:vAlign w:val="center"/>
          </w:tcPr>
          <w:p w14:paraId="43B1925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Ⅰ</w:t>
            </w:r>
          </w:p>
        </w:tc>
        <w:tc>
          <w:tcPr>
            <w:tcW w:w="379" w:type="pct"/>
            <w:vAlign w:val="center"/>
          </w:tcPr>
          <w:p w14:paraId="38B9547E">
            <w:pPr>
              <w:widowControl/>
              <w:jc w:val="center"/>
              <w:rPr>
                <w:rFonts w:ascii="Times New Roman" w:hAnsi="Times New Roman" w:cs="Times New Roman"/>
                <w:kern w:val="0"/>
                <w:sz w:val="15"/>
                <w:szCs w:val="15"/>
              </w:rPr>
            </w:pPr>
            <w:r>
              <w:rPr>
                <w:rFonts w:ascii="Times New Roman" w:hAnsi="Times New Roman" w:cs="Times New Roman"/>
                <w:kern w:val="0"/>
                <w:sz w:val="15"/>
                <w:szCs w:val="15"/>
              </w:rPr>
              <w:t>施工情况</w:t>
            </w:r>
          </w:p>
        </w:tc>
        <w:tc>
          <w:tcPr>
            <w:tcW w:w="248" w:type="pct"/>
            <w:vAlign w:val="center"/>
          </w:tcPr>
          <w:p w14:paraId="74D61C4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4C633FD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32456EB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48" w:type="pct"/>
            <w:vAlign w:val="center"/>
          </w:tcPr>
          <w:p w14:paraId="799A9F8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391DE6C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051D6AB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46" w:type="pct"/>
            <w:vAlign w:val="center"/>
          </w:tcPr>
          <w:p w14:paraId="0E40693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5A4B805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58A2863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5" w:type="pct"/>
            <w:vAlign w:val="center"/>
          </w:tcPr>
          <w:p w14:paraId="1E668071">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1156" w:type="pct"/>
            <w:vAlign w:val="center"/>
          </w:tcPr>
          <w:p w14:paraId="32871788">
            <w:pPr>
              <w:widowControl/>
              <w:rPr>
                <w:rFonts w:ascii="Times New Roman" w:hAnsi="Times New Roman" w:cs="Times New Roman"/>
                <w:kern w:val="0"/>
                <w:sz w:val="15"/>
                <w:szCs w:val="15"/>
              </w:rPr>
            </w:pPr>
            <w:r>
              <w:rPr>
                <w:rFonts w:ascii="Times New Roman" w:hAnsi="Times New Roman" w:cs="Times New Roman"/>
                <w:kern w:val="0"/>
                <w:sz w:val="15"/>
                <w:szCs w:val="15"/>
              </w:rPr>
              <w:t>应考虑施工过程中各个阶段的临时荷载</w:t>
            </w:r>
          </w:p>
        </w:tc>
      </w:tr>
      <w:tr w14:paraId="25CD1E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313" w:type="pct"/>
            <w:vMerge w:val="continue"/>
            <w:vAlign w:val="center"/>
          </w:tcPr>
          <w:p w14:paraId="3FC26E9B">
            <w:pPr>
              <w:widowControl/>
              <w:jc w:val="center"/>
              <w:rPr>
                <w:rFonts w:ascii="Times New Roman" w:hAnsi="Times New Roman" w:cs="Times New Roman"/>
                <w:kern w:val="0"/>
                <w:sz w:val="15"/>
                <w:szCs w:val="15"/>
              </w:rPr>
            </w:pPr>
          </w:p>
        </w:tc>
        <w:tc>
          <w:tcPr>
            <w:tcW w:w="216" w:type="pct"/>
            <w:vMerge w:val="continue"/>
            <w:vAlign w:val="center"/>
          </w:tcPr>
          <w:p w14:paraId="0C8690DB">
            <w:pPr>
              <w:widowControl/>
              <w:jc w:val="center"/>
              <w:rPr>
                <w:rFonts w:ascii="Times New Roman" w:hAnsi="Times New Roman" w:cs="Times New Roman"/>
                <w:kern w:val="0"/>
                <w:sz w:val="15"/>
                <w:szCs w:val="15"/>
              </w:rPr>
            </w:pPr>
          </w:p>
        </w:tc>
        <w:tc>
          <w:tcPr>
            <w:tcW w:w="379" w:type="pct"/>
            <w:vAlign w:val="center"/>
          </w:tcPr>
          <w:p w14:paraId="086CECB1">
            <w:pPr>
              <w:widowControl/>
              <w:jc w:val="center"/>
              <w:rPr>
                <w:rFonts w:ascii="Times New Roman" w:hAnsi="Times New Roman" w:cs="Times New Roman"/>
                <w:kern w:val="0"/>
                <w:sz w:val="15"/>
                <w:szCs w:val="15"/>
              </w:rPr>
            </w:pPr>
            <w:r>
              <w:rPr>
                <w:rFonts w:ascii="Times New Roman" w:hAnsi="Times New Roman" w:cs="Times New Roman"/>
                <w:kern w:val="0"/>
                <w:sz w:val="15"/>
                <w:szCs w:val="15"/>
              </w:rPr>
              <w:t>长期降雨情况</w:t>
            </w:r>
          </w:p>
        </w:tc>
        <w:tc>
          <w:tcPr>
            <w:tcW w:w="248" w:type="pct"/>
            <w:vAlign w:val="center"/>
          </w:tcPr>
          <w:p w14:paraId="5D90419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048BEED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3DA37E3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48" w:type="pct"/>
            <w:vAlign w:val="center"/>
          </w:tcPr>
          <w:p w14:paraId="106FA32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3551DF33">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4A12F5C4">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46" w:type="pct"/>
            <w:vAlign w:val="center"/>
          </w:tcPr>
          <w:p w14:paraId="0801B5F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7DAE619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385B4BC8">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5" w:type="pct"/>
            <w:vAlign w:val="center"/>
          </w:tcPr>
          <w:p w14:paraId="22CDD2DA">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1156" w:type="pct"/>
            <w:vAlign w:val="center"/>
          </w:tcPr>
          <w:p w14:paraId="358272FC">
            <w:pPr>
              <w:widowControl/>
              <w:rPr>
                <w:rFonts w:ascii="Times New Roman" w:hAnsi="Times New Roman" w:cs="Times New Roman"/>
                <w:kern w:val="0"/>
                <w:sz w:val="15"/>
                <w:szCs w:val="15"/>
              </w:rPr>
            </w:pPr>
            <w:r>
              <w:rPr>
                <w:rFonts w:ascii="Times New Roman" w:hAnsi="Times New Roman" w:cs="Times New Roman"/>
                <w:kern w:val="0"/>
                <w:sz w:val="15"/>
                <w:szCs w:val="15"/>
              </w:rPr>
              <w:t>考虑渣体饱和含水</w:t>
            </w:r>
          </w:p>
        </w:tc>
      </w:tr>
      <w:tr w14:paraId="2FEAE2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313" w:type="pct"/>
            <w:vMerge w:val="continue"/>
            <w:vAlign w:val="center"/>
          </w:tcPr>
          <w:p w14:paraId="30BF3E95">
            <w:pPr>
              <w:widowControl/>
              <w:jc w:val="center"/>
              <w:rPr>
                <w:rFonts w:ascii="Times New Roman" w:hAnsi="Times New Roman" w:cs="Times New Roman"/>
                <w:kern w:val="0"/>
                <w:sz w:val="15"/>
                <w:szCs w:val="15"/>
              </w:rPr>
            </w:pPr>
          </w:p>
        </w:tc>
        <w:tc>
          <w:tcPr>
            <w:tcW w:w="216" w:type="pct"/>
            <w:vAlign w:val="center"/>
          </w:tcPr>
          <w:p w14:paraId="5C9E519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Ⅱ</w:t>
            </w:r>
          </w:p>
        </w:tc>
        <w:tc>
          <w:tcPr>
            <w:tcW w:w="379" w:type="pct"/>
            <w:vAlign w:val="center"/>
          </w:tcPr>
          <w:p w14:paraId="707974F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地震情况</w:t>
            </w:r>
          </w:p>
        </w:tc>
        <w:tc>
          <w:tcPr>
            <w:tcW w:w="248" w:type="pct"/>
            <w:vAlign w:val="center"/>
          </w:tcPr>
          <w:p w14:paraId="4AE00D7C">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4FA7134D">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69260F02">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48" w:type="pct"/>
            <w:vAlign w:val="center"/>
          </w:tcPr>
          <w:p w14:paraId="5A990226">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0BDCA750">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56F461FB">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46" w:type="pct"/>
            <w:vAlign w:val="center"/>
          </w:tcPr>
          <w:p w14:paraId="41F78FBF">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280" w:type="pct"/>
            <w:vAlign w:val="center"/>
          </w:tcPr>
          <w:p w14:paraId="16486A37">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3" w:type="pct"/>
            <w:vAlign w:val="center"/>
          </w:tcPr>
          <w:p w14:paraId="23B562BF">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315" w:type="pct"/>
            <w:vAlign w:val="center"/>
          </w:tcPr>
          <w:p w14:paraId="15B5CD31">
            <w:pPr>
              <w:widowControl/>
              <w:jc w:val="center"/>
              <w:rPr>
                <w:rFonts w:ascii="Times New Roman" w:hAnsi="Times New Roman" w:cs="Times New Roman"/>
                <w:kern w:val="0"/>
                <w:sz w:val="15"/>
                <w:szCs w:val="15"/>
              </w:rPr>
            </w:pPr>
            <w:r>
              <w:rPr>
                <w:rFonts w:ascii="Times New Roman" w:hAnsi="Times New Roman" w:cs="Times New Roman"/>
                <w:kern w:val="0"/>
                <w:sz w:val="15"/>
                <w:szCs w:val="15"/>
              </w:rPr>
              <w:t>—</w:t>
            </w:r>
          </w:p>
        </w:tc>
        <w:tc>
          <w:tcPr>
            <w:tcW w:w="1156" w:type="pct"/>
            <w:vAlign w:val="center"/>
          </w:tcPr>
          <w:p w14:paraId="6B2D17F2">
            <w:pPr>
              <w:widowControl/>
              <w:rPr>
                <w:rFonts w:ascii="Times New Roman" w:hAnsi="Times New Roman" w:cs="Times New Roman"/>
                <w:kern w:val="0"/>
                <w:sz w:val="15"/>
                <w:szCs w:val="15"/>
              </w:rPr>
            </w:pPr>
            <w:r>
              <w:rPr>
                <w:rFonts w:ascii="Times New Roman" w:hAnsi="Times New Roman" w:cs="Times New Roman"/>
                <w:kern w:val="0"/>
                <w:sz w:val="15"/>
                <w:szCs w:val="15"/>
              </w:rPr>
              <w:t>按正常挡渣组合计算水重、静水压力、扬压力、土压力</w:t>
            </w:r>
          </w:p>
        </w:tc>
      </w:tr>
    </w:tbl>
    <w:p w14:paraId="7414CDFC">
      <w:pPr>
        <w:widowControl/>
        <w:ind w:firstLine="300" w:firstLineChars="200"/>
        <w:rPr>
          <w:rFonts w:ascii="Times New Roman" w:hAnsi="Times New Roman" w:cs="Times New Roman"/>
          <w:kern w:val="0"/>
          <w:sz w:val="15"/>
          <w:szCs w:val="15"/>
        </w:rPr>
      </w:pPr>
      <w:r>
        <w:rPr>
          <w:rFonts w:ascii="Times New Roman" w:hAnsi="Times New Roman" w:cs="Times New Roman"/>
          <w:kern w:val="0"/>
          <w:sz w:val="15"/>
          <w:szCs w:val="15"/>
        </w:rPr>
        <w:t>注：1  应根据各种荷载同时作用的实际可能性，选择计算中最不利的荷载组合；</w:t>
      </w:r>
    </w:p>
    <w:p w14:paraId="18E83E34">
      <w:pPr>
        <w:ind w:firstLine="600" w:firstLineChars="400"/>
        <w:jc w:val="left"/>
        <w:rPr>
          <w:rFonts w:ascii="Times New Roman" w:hAnsi="Times New Roman" w:cs="Times New Roman"/>
          <w:kern w:val="0"/>
          <w:sz w:val="15"/>
          <w:szCs w:val="15"/>
        </w:rPr>
      </w:pPr>
      <w:r>
        <w:rPr>
          <w:rFonts w:ascii="Times New Roman" w:hAnsi="Times New Roman" w:cs="Times New Roman"/>
          <w:kern w:val="0"/>
          <w:sz w:val="15"/>
          <w:szCs w:val="15"/>
        </w:rPr>
        <w:t>2  分期施工的挡渣墙应按相应的荷载组合分期进行计算。</w:t>
      </w:r>
    </w:p>
    <w:p w14:paraId="4B83760B">
      <w:pPr>
        <w:ind w:firstLine="600" w:firstLineChars="400"/>
        <w:jc w:val="left"/>
        <w:rPr>
          <w:rFonts w:ascii="Times New Roman" w:hAnsi="Times New Roman" w:cs="Times New Roman"/>
          <w:sz w:val="21"/>
          <w:szCs w:val="24"/>
        </w:rPr>
      </w:pPr>
      <w:r>
        <w:rPr>
          <w:rFonts w:ascii="Times New Roman" w:hAnsi="Times New Roman" w:cs="Times New Roman"/>
          <w:kern w:val="0"/>
          <w:sz w:val="15"/>
          <w:szCs w:val="15"/>
        </w:rPr>
        <w:t>3  表中“-”表示无此项荷载。</w:t>
      </w:r>
    </w:p>
    <w:p w14:paraId="37552C4F">
      <w:pPr>
        <w:spacing w:line="360" w:lineRule="auto"/>
        <w:rPr>
          <w:rFonts w:ascii="Times New Roman" w:hAnsi="Times New Roman" w:cs="Times New Roman"/>
          <w:sz w:val="21"/>
          <w:szCs w:val="24"/>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13</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挡渣墙断面尺寸应通过抗滑稳定、抗倾覆稳定和基底应力计算等确定，并应符合本标准第5.4.5条规定。</w:t>
      </w:r>
    </w:p>
    <w:p w14:paraId="4FD923C0">
      <w:pPr>
        <w:widowControl/>
        <w:spacing w:line="360" w:lineRule="auto"/>
        <w:jc w:val="left"/>
        <w:rPr>
          <w:rFonts w:ascii="Times New Roman" w:hAnsi="Times New Roman" w:cs="Times New Roman"/>
          <w:sz w:val="21"/>
          <w:szCs w:val="24"/>
          <w:lang w:bidi="ar"/>
        </w:rPr>
      </w:pPr>
      <w:r>
        <w:rPr>
          <w:rFonts w:ascii="Times New Roman" w:hAnsi="Times New Roman" w:cs="Times New Roman"/>
          <w:b/>
          <w:sz w:val="21"/>
          <w:szCs w:val="24"/>
        </w:rPr>
        <w:t>5.4.14</w:t>
      </w:r>
      <w:r>
        <w:rPr>
          <w:rFonts w:ascii="Times New Roman" w:hAnsi="Times New Roman" w:cs="Times New Roman"/>
          <w:sz w:val="21"/>
          <w:szCs w:val="24"/>
        </w:rPr>
        <w:t xml:space="preserve">  挡渣墙应在墙体内埋设一定数量的排水管，排水管可沿墙体高度方向分排布置，排水管间距宜采用1.0～2.0m，直径宜采用50～80mm，从墙后至墙前应设不小于3％的纵坡，排水管后应设级配良好的反滤层。</w:t>
      </w:r>
    </w:p>
    <w:p w14:paraId="339D7B2C">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Ⅲ </w:t>
      </w:r>
      <w:r>
        <w:rPr>
          <w:rFonts w:ascii="Times New Roman" w:hAnsi="Times New Roman" w:eastAsia="黑体" w:cs="Times New Roman"/>
          <w:bCs/>
          <w:sz w:val="24"/>
          <w:szCs w:val="24"/>
        </w:rPr>
        <w:t>拦渣坝</w:t>
      </w:r>
    </w:p>
    <w:p w14:paraId="6AE5A4E9">
      <w:pPr>
        <w:spacing w:line="360" w:lineRule="auto"/>
        <w:rPr>
          <w:rFonts w:ascii="Times New Roman" w:hAnsi="Times New Roman" w:cs="Times New Roman"/>
          <w:sz w:val="21"/>
          <w:szCs w:val="24"/>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15</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拦渣坝级别和防洪标准应按本标准第5.1.2条确定。</w:t>
      </w:r>
    </w:p>
    <w:p w14:paraId="60AE9A5D">
      <w:pPr>
        <w:spacing w:line="360" w:lineRule="auto"/>
        <w:rPr>
          <w:rFonts w:ascii="Times New Roman" w:hAnsi="Times New Roman" w:cs="Times New Roman"/>
          <w:sz w:val="21"/>
          <w:szCs w:val="24"/>
        </w:rPr>
      </w:pPr>
      <w:r>
        <w:rPr>
          <w:rFonts w:ascii="Times New Roman" w:hAnsi="Times New Roman" w:cs="Times New Roman"/>
          <w:b/>
          <w:sz w:val="21"/>
          <w:szCs w:val="24"/>
        </w:rPr>
        <w:t>5.4.16</w:t>
      </w:r>
      <w:r>
        <w:rPr>
          <w:rFonts w:ascii="Times New Roman" w:hAnsi="Times New Roman" w:cs="Times New Roman"/>
          <w:sz w:val="21"/>
          <w:szCs w:val="24"/>
        </w:rPr>
        <w:t xml:space="preserve">  拦渣坝按防洪方式分为</w:t>
      </w:r>
      <w:r>
        <w:rPr>
          <w:rFonts w:ascii="Times New Roman" w:hAnsi="Times New Roman" w:cs="Times New Roman"/>
          <w:sz w:val="21"/>
        </w:rPr>
        <w:t>滞洪式拦渣坝和截洪式拦渣坝。按筑坝材料分为土石坝、浆砌石坝和混凝土坝等。</w:t>
      </w:r>
    </w:p>
    <w:p w14:paraId="55F9D4BE">
      <w:pPr>
        <w:spacing w:line="360" w:lineRule="auto"/>
        <w:rPr>
          <w:rFonts w:ascii="Times New Roman" w:hAnsi="Times New Roman" w:cs="Times New Roman"/>
          <w:sz w:val="21"/>
          <w:szCs w:val="24"/>
        </w:rPr>
      </w:pPr>
      <w:r>
        <w:rPr>
          <w:rFonts w:ascii="Times New Roman" w:hAnsi="Times New Roman" w:cs="Times New Roman"/>
          <w:b/>
          <w:sz w:val="21"/>
          <w:szCs w:val="24"/>
        </w:rPr>
        <w:t>5.4.17</w:t>
      </w:r>
      <w:r>
        <w:rPr>
          <w:rFonts w:ascii="Times New Roman" w:hAnsi="Times New Roman" w:cs="Times New Roman"/>
          <w:sz w:val="21"/>
          <w:szCs w:val="24"/>
        </w:rPr>
        <w:t xml:space="preserve">  拦渣坝设计应符合下列规定：</w:t>
      </w:r>
    </w:p>
    <w:p w14:paraId="0EA50CB3">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1</w:t>
      </w:r>
      <w:r>
        <w:rPr>
          <w:rFonts w:ascii="Times New Roman" w:hAnsi="Times New Roman" w:cs="Times New Roman"/>
          <w:sz w:val="21"/>
          <w:szCs w:val="24"/>
        </w:rPr>
        <w:t xml:space="preserve">  应根据地形地质、水文、料源、施工等条件，结合弃渣岩土组成和性质，综合分析确定拦渣坝坝型。</w:t>
      </w:r>
    </w:p>
    <w:p w14:paraId="2748165D">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2</w:t>
      </w:r>
      <w:r>
        <w:rPr>
          <w:rFonts w:ascii="Times New Roman" w:hAnsi="Times New Roman" w:cs="Times New Roman"/>
          <w:sz w:val="21"/>
          <w:szCs w:val="24"/>
        </w:rPr>
        <w:t xml:space="preserve">  </w:t>
      </w:r>
      <w:r>
        <w:rPr>
          <w:rFonts w:ascii="Times New Roman" w:hAnsi="Times New Roman" w:cs="Times New Roman"/>
          <w:sz w:val="21"/>
        </w:rPr>
        <w:t>滞洪式弃渣场拦渣坝总库容应由拦渣库容、拦泥库容、滞洪库容三部分组成。坝顶高程应按总库容在水位～库容曲线对应高程，加安全超高确定。截洪式拦渣坝不考虑滞洪库容。</w:t>
      </w:r>
    </w:p>
    <w:p w14:paraId="44365E8E">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3</w:t>
      </w:r>
      <w:r>
        <w:rPr>
          <w:rFonts w:ascii="Times New Roman" w:hAnsi="Times New Roman" w:cs="Times New Roman"/>
          <w:sz w:val="21"/>
          <w:szCs w:val="24"/>
        </w:rPr>
        <w:t xml:space="preserve">  采用放水建筑物、涵洞、溢洪道布置方案的，应根据坝址地形地质条件、设计泄洪流量等因素，确定构筑物型式。溢洪道设计应按本标准第4.4Ⅳ节的规定执行；放水建筑物设计应按本标准第4.4Ⅴ节的规定执行。</w:t>
      </w:r>
    </w:p>
    <w:p w14:paraId="5A4A38B7">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4</w:t>
      </w:r>
      <w:r>
        <w:rPr>
          <w:rFonts w:ascii="Times New Roman" w:hAnsi="Times New Roman" w:eastAsia="黑体" w:cs="Times New Roman"/>
          <w:sz w:val="21"/>
          <w:szCs w:val="21"/>
        </w:rPr>
        <w:t xml:space="preserve"> </w:t>
      </w:r>
      <w:r>
        <w:rPr>
          <w:rFonts w:ascii="Times New Roman" w:hAnsi="Times New Roman" w:cs="Times New Roman"/>
          <w:sz w:val="21"/>
          <w:szCs w:val="24"/>
        </w:rPr>
        <w:t xml:space="preserve"> 洪水来量较小，放水建筑物、涵洞满足泄洪要求时，不可布设溢洪道。</w:t>
      </w:r>
    </w:p>
    <w:p w14:paraId="32C5068A">
      <w:pPr>
        <w:spacing w:line="360" w:lineRule="auto"/>
        <w:rPr>
          <w:rFonts w:ascii="Times New Roman" w:hAnsi="Times New Roman" w:cs="Times New Roman"/>
          <w:sz w:val="21"/>
          <w:szCs w:val="24"/>
        </w:rPr>
      </w:pPr>
      <w:r>
        <w:rPr>
          <w:rFonts w:ascii="Times New Roman" w:hAnsi="Times New Roman" w:cs="Times New Roman"/>
          <w:b/>
          <w:sz w:val="21"/>
          <w:szCs w:val="24"/>
        </w:rPr>
        <w:t>5.4.18</w:t>
      </w:r>
      <w:r>
        <w:rPr>
          <w:rFonts w:ascii="Times New Roman" w:hAnsi="Times New Roman" w:cs="Times New Roman"/>
          <w:sz w:val="21"/>
          <w:szCs w:val="24"/>
        </w:rPr>
        <w:t xml:space="preserve">  应根据坝型采用相应稳定分析方法，确定坝体断面。稳定安全系数及基底应力应符合本标准第5.4.5条规定。</w:t>
      </w:r>
    </w:p>
    <w:p w14:paraId="6C7D94DA">
      <w:pPr>
        <w:keepNext/>
        <w:keepLines/>
        <w:spacing w:before="260" w:after="260" w:line="416" w:lineRule="auto"/>
        <w:jc w:val="center"/>
        <w:outlineLvl w:val="2"/>
        <w:rPr>
          <w:rFonts w:ascii="Times New Roman" w:hAnsi="Times New Roman" w:cs="Times New Roman"/>
          <w:bCs/>
          <w:sz w:val="30"/>
          <w:szCs w:val="32"/>
        </w:rPr>
      </w:pPr>
      <w:r>
        <w:rPr>
          <w:rFonts w:ascii="Times New Roman" w:hAnsi="Times New Roman" w:cs="Times New Roman"/>
          <w:bCs/>
          <w:sz w:val="30"/>
          <w:szCs w:val="32"/>
        </w:rPr>
        <w:t>Ⅳ 拦渣堤</w:t>
      </w:r>
    </w:p>
    <w:p w14:paraId="10251E96">
      <w:pPr>
        <w:spacing w:line="360" w:lineRule="auto"/>
        <w:rPr>
          <w:rFonts w:ascii="Times New Roman" w:hAnsi="Times New Roman" w:cs="Times New Roman"/>
          <w:sz w:val="21"/>
          <w:szCs w:val="24"/>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 xml:space="preserve">19 </w:t>
      </w:r>
      <w:r>
        <w:rPr>
          <w:rFonts w:ascii="Times New Roman" w:hAnsi="Times New Roman" w:cs="Times New Roman"/>
          <w:sz w:val="21"/>
          <w:szCs w:val="24"/>
        </w:rPr>
        <w:t xml:space="preserve"> 拦渣堤级别和防洪标准应按本标准第5.1.2节确定，同时满足河流治导规划及《堤防工程设计规范》GB50286的规定。</w:t>
      </w:r>
    </w:p>
    <w:p w14:paraId="3FCC4731">
      <w:pPr>
        <w:spacing w:line="360" w:lineRule="auto"/>
        <w:rPr>
          <w:rFonts w:ascii="Times New Roman" w:hAnsi="Times New Roman" w:cs="Times New Roman"/>
          <w:sz w:val="21"/>
          <w:szCs w:val="24"/>
        </w:rPr>
      </w:pPr>
      <w:r>
        <w:rPr>
          <w:rFonts w:ascii="Times New Roman" w:hAnsi="Times New Roman" w:cs="Times New Roman"/>
          <w:b/>
          <w:sz w:val="21"/>
          <w:szCs w:val="24"/>
        </w:rPr>
        <w:t>5.4.20</w:t>
      </w:r>
      <w:r>
        <w:rPr>
          <w:rFonts w:ascii="Times New Roman" w:hAnsi="Times New Roman" w:cs="Times New Roman"/>
          <w:sz w:val="21"/>
          <w:szCs w:val="24"/>
        </w:rPr>
        <w:t xml:space="preserve">  拦渣堤可分为墙式拦渣堤和非墙式拦渣堤。按筑堤材料可分为砌石堤、土石堤、混凝土堤或钢筋混凝土堤等</w:t>
      </w:r>
      <w:r>
        <w:rPr>
          <w:rFonts w:ascii="Times New Roman" w:hAnsi="Times New Roman" w:cs="Times New Roman"/>
          <w:sz w:val="21"/>
        </w:rPr>
        <w:t>。</w:t>
      </w:r>
    </w:p>
    <w:p w14:paraId="7A474F05">
      <w:pPr>
        <w:spacing w:line="360" w:lineRule="auto"/>
        <w:rPr>
          <w:rFonts w:ascii="Times New Roman" w:hAnsi="Times New Roman" w:cs="Times New Roman"/>
          <w:sz w:val="21"/>
          <w:szCs w:val="24"/>
        </w:rPr>
      </w:pPr>
      <w:r>
        <w:rPr>
          <w:rFonts w:ascii="Times New Roman" w:hAnsi="Times New Roman" w:cs="Times New Roman"/>
          <w:b/>
          <w:sz w:val="21"/>
          <w:szCs w:val="24"/>
        </w:rPr>
        <w:t>5.4.21</w:t>
      </w:r>
      <w:r>
        <w:rPr>
          <w:rFonts w:ascii="Times New Roman" w:hAnsi="Times New Roman" w:cs="Times New Roman"/>
          <w:sz w:val="21"/>
          <w:szCs w:val="24"/>
        </w:rPr>
        <w:t xml:space="preserve">  墙式拦渣堤设计应符合下列规定：</w:t>
      </w:r>
    </w:p>
    <w:p w14:paraId="0793FF32">
      <w:pPr>
        <w:spacing w:line="360" w:lineRule="auto"/>
        <w:ind w:firstLine="413" w:firstLineChars="196"/>
        <w:rPr>
          <w:rFonts w:ascii="Times New Roman" w:hAnsi="Times New Roman" w:cs="Times New Roman"/>
          <w:sz w:val="21"/>
          <w:szCs w:val="24"/>
        </w:rPr>
      </w:pPr>
      <w:r>
        <w:rPr>
          <w:rFonts w:ascii="Times New Roman" w:hAnsi="Times New Roman" w:cs="Times New Roman"/>
          <w:b/>
          <w:sz w:val="21"/>
          <w:szCs w:val="24"/>
        </w:rPr>
        <w:t xml:space="preserve">1 </w:t>
      </w:r>
      <w:r>
        <w:rPr>
          <w:rFonts w:ascii="Times New Roman" w:hAnsi="Times New Roman" w:cs="Times New Roman"/>
          <w:sz w:val="21"/>
          <w:szCs w:val="24"/>
        </w:rPr>
        <w:t xml:space="preserve"> 拦渣堤根据断面形状和受力特点可分为重力式、半重力式、衡重式、悬臂式、扶臂式等。</w:t>
      </w:r>
    </w:p>
    <w:p w14:paraId="14EE9536">
      <w:pPr>
        <w:spacing w:line="360" w:lineRule="auto"/>
        <w:ind w:firstLine="413" w:firstLineChars="196"/>
        <w:rPr>
          <w:rFonts w:ascii="Times New Roman" w:hAnsi="Times New Roman" w:cs="Times New Roman"/>
          <w:sz w:val="21"/>
          <w:szCs w:val="24"/>
        </w:rPr>
      </w:pPr>
      <w:r>
        <w:rPr>
          <w:rFonts w:ascii="Times New Roman" w:hAnsi="Times New Roman" w:cs="Times New Roman"/>
          <w:b/>
          <w:sz w:val="21"/>
          <w:szCs w:val="24"/>
        </w:rPr>
        <w:t>2</w:t>
      </w:r>
      <w:r>
        <w:rPr>
          <w:rFonts w:ascii="Times New Roman" w:hAnsi="Times New Roman" w:cs="Times New Roman"/>
          <w:sz w:val="21"/>
          <w:szCs w:val="24"/>
        </w:rPr>
        <w:t xml:space="preserve">  拦渣堤的选型应综合考虑筑堤材料种类及开采运用条件、地形地质条件、气候条件、施工条件、基础处理、抗震要求等综合因素确定。</w:t>
      </w:r>
    </w:p>
    <w:p w14:paraId="1C0EC9C2">
      <w:pPr>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1"/>
        </w:rPr>
        <w:t>3</w:t>
      </w:r>
      <w:r>
        <w:rPr>
          <w:rFonts w:ascii="Times New Roman" w:hAnsi="Times New Roman" w:cs="Times New Roman"/>
          <w:sz w:val="21"/>
          <w:szCs w:val="24"/>
        </w:rPr>
        <w:t xml:space="preserve">  拦渣堤基础埋置深度应按本标准第5.4.10条第1款的规定和河流冲刷深度确定。</w:t>
      </w:r>
    </w:p>
    <w:p w14:paraId="4D2C8598">
      <w:pPr>
        <w:spacing w:line="360" w:lineRule="auto"/>
        <w:ind w:firstLine="413" w:firstLineChars="196"/>
        <w:rPr>
          <w:rFonts w:ascii="Times New Roman" w:hAnsi="Times New Roman" w:cs="Times New Roman"/>
          <w:sz w:val="21"/>
          <w:szCs w:val="24"/>
        </w:rPr>
      </w:pPr>
      <w:r>
        <w:rPr>
          <w:rFonts w:ascii="Times New Roman" w:hAnsi="Times New Roman" w:eastAsia="黑体" w:cs="Times New Roman"/>
          <w:b/>
          <w:sz w:val="21"/>
          <w:szCs w:val="21"/>
        </w:rPr>
        <w:t xml:space="preserve">4 </w:t>
      </w:r>
      <w:r>
        <w:rPr>
          <w:rFonts w:ascii="Times New Roman" w:hAnsi="Times New Roman" w:cs="Times New Roman"/>
          <w:sz w:val="21"/>
          <w:szCs w:val="24"/>
        </w:rPr>
        <w:t xml:space="preserve"> 拦渣堤顶高程应满足挡渣和防洪要求，与防洪堤起同等作用的拦渣堤堤顶高程应按设计洪水位（或设计潮水位）加堤顶超高确定。安全超高值应按表5.4.21确定。</w:t>
      </w:r>
    </w:p>
    <w:p w14:paraId="62277ECC">
      <w:pPr>
        <w:ind w:firstLine="2550" w:firstLineChars="1417"/>
        <w:jc w:val="left"/>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4</w:t>
      </w:r>
      <w:r>
        <w:rPr>
          <w:rFonts w:ascii="Times New Roman" w:hAnsi="Times New Roman" w:cs="Times New Roman"/>
          <w:sz w:val="18"/>
          <w:szCs w:val="18"/>
        </w:rPr>
        <w:t>.</w:t>
      </w:r>
      <w:r>
        <w:rPr>
          <w:rFonts w:ascii="Times New Roman" w:hAnsi="Times New Roman" w:eastAsia="黑体" w:cs="Times New Roman"/>
          <w:sz w:val="18"/>
          <w:szCs w:val="18"/>
        </w:rPr>
        <w:t>21  拦渣堤工程的安全超高值                       单位：m</w:t>
      </w:r>
    </w:p>
    <w:tbl>
      <w:tblPr>
        <w:tblStyle w:val="10"/>
        <w:tblW w:w="485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36"/>
        <w:gridCol w:w="1991"/>
        <w:gridCol w:w="1020"/>
        <w:gridCol w:w="1022"/>
        <w:gridCol w:w="1022"/>
        <w:gridCol w:w="1022"/>
        <w:gridCol w:w="1020"/>
      </w:tblGrid>
      <w:tr w14:paraId="7387ED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822" w:type="pct"/>
            <w:gridSpan w:val="2"/>
            <w:tcBorders>
              <w:top w:val="single" w:color="auto" w:sz="12" w:space="0"/>
              <w:left w:val="single" w:color="auto" w:sz="12" w:space="0"/>
              <w:bottom w:val="single" w:color="auto" w:sz="6" w:space="0"/>
              <w:right w:val="single" w:color="auto" w:sz="6" w:space="0"/>
            </w:tcBorders>
          </w:tcPr>
          <w:p w14:paraId="697C8D16">
            <w:pPr>
              <w:jc w:val="center"/>
              <w:rPr>
                <w:rFonts w:ascii="Times New Roman" w:hAnsi="Times New Roman" w:cs="Times New Roman"/>
                <w:sz w:val="15"/>
                <w:szCs w:val="15"/>
              </w:rPr>
            </w:pPr>
            <w:r>
              <w:rPr>
                <w:rFonts w:ascii="Times New Roman" w:hAnsi="Times New Roman" w:cs="Times New Roman"/>
                <w:sz w:val="15"/>
                <w:szCs w:val="15"/>
              </w:rPr>
              <w:t>拦渣堤工程的级别</w:t>
            </w:r>
          </w:p>
        </w:tc>
        <w:tc>
          <w:tcPr>
            <w:tcW w:w="635" w:type="pct"/>
            <w:tcBorders>
              <w:top w:val="single" w:color="auto" w:sz="12" w:space="0"/>
              <w:left w:val="single" w:color="auto" w:sz="6" w:space="0"/>
              <w:bottom w:val="single" w:color="auto" w:sz="6" w:space="0"/>
              <w:right w:val="single" w:color="auto" w:sz="6" w:space="0"/>
            </w:tcBorders>
            <w:vAlign w:val="center"/>
          </w:tcPr>
          <w:p w14:paraId="22BF9CFC">
            <w:pPr>
              <w:jc w:val="center"/>
              <w:rPr>
                <w:rFonts w:ascii="Times New Roman" w:hAnsi="Times New Roman" w:cs="Times New Roman"/>
                <w:sz w:val="15"/>
                <w:szCs w:val="15"/>
              </w:rPr>
            </w:pPr>
            <w:r>
              <w:rPr>
                <w:rFonts w:ascii="Times New Roman" w:hAnsi="Times New Roman" w:cs="Times New Roman"/>
                <w:sz w:val="15"/>
                <w:szCs w:val="15"/>
              </w:rPr>
              <w:t>1</w:t>
            </w:r>
          </w:p>
        </w:tc>
        <w:tc>
          <w:tcPr>
            <w:tcW w:w="636" w:type="pct"/>
            <w:tcBorders>
              <w:top w:val="single" w:color="auto" w:sz="12" w:space="0"/>
              <w:left w:val="single" w:color="auto" w:sz="6" w:space="0"/>
              <w:bottom w:val="single" w:color="auto" w:sz="6" w:space="0"/>
              <w:right w:val="single" w:color="auto" w:sz="6" w:space="0"/>
            </w:tcBorders>
            <w:vAlign w:val="center"/>
          </w:tcPr>
          <w:p w14:paraId="103938D0">
            <w:pPr>
              <w:jc w:val="center"/>
              <w:rPr>
                <w:rFonts w:ascii="Times New Roman" w:hAnsi="Times New Roman" w:cs="Times New Roman"/>
                <w:sz w:val="15"/>
                <w:szCs w:val="15"/>
              </w:rPr>
            </w:pPr>
            <w:r>
              <w:rPr>
                <w:rFonts w:ascii="Times New Roman" w:hAnsi="Times New Roman" w:cs="Times New Roman"/>
                <w:sz w:val="15"/>
                <w:szCs w:val="15"/>
              </w:rPr>
              <w:t>2</w:t>
            </w:r>
          </w:p>
        </w:tc>
        <w:tc>
          <w:tcPr>
            <w:tcW w:w="636" w:type="pct"/>
            <w:tcBorders>
              <w:top w:val="single" w:color="auto" w:sz="12" w:space="0"/>
              <w:left w:val="single" w:color="auto" w:sz="6" w:space="0"/>
              <w:bottom w:val="single" w:color="auto" w:sz="6" w:space="0"/>
              <w:right w:val="single" w:color="auto" w:sz="6" w:space="0"/>
            </w:tcBorders>
            <w:vAlign w:val="center"/>
          </w:tcPr>
          <w:p w14:paraId="4AC62564">
            <w:pPr>
              <w:jc w:val="center"/>
              <w:rPr>
                <w:rFonts w:ascii="Times New Roman" w:hAnsi="Times New Roman" w:cs="Times New Roman"/>
                <w:sz w:val="15"/>
                <w:szCs w:val="15"/>
              </w:rPr>
            </w:pPr>
            <w:r>
              <w:rPr>
                <w:rFonts w:ascii="Times New Roman" w:hAnsi="Times New Roman" w:cs="Times New Roman"/>
                <w:sz w:val="15"/>
                <w:szCs w:val="15"/>
              </w:rPr>
              <w:t>3</w:t>
            </w:r>
          </w:p>
        </w:tc>
        <w:tc>
          <w:tcPr>
            <w:tcW w:w="636" w:type="pct"/>
            <w:tcBorders>
              <w:top w:val="single" w:color="auto" w:sz="12" w:space="0"/>
              <w:left w:val="single" w:color="auto" w:sz="6" w:space="0"/>
              <w:bottom w:val="single" w:color="auto" w:sz="6" w:space="0"/>
              <w:right w:val="single" w:color="auto" w:sz="6" w:space="0"/>
            </w:tcBorders>
            <w:vAlign w:val="center"/>
          </w:tcPr>
          <w:p w14:paraId="25BDDD94">
            <w:pPr>
              <w:jc w:val="center"/>
              <w:rPr>
                <w:rFonts w:ascii="Times New Roman" w:hAnsi="Times New Roman" w:cs="Times New Roman"/>
                <w:sz w:val="15"/>
                <w:szCs w:val="15"/>
              </w:rPr>
            </w:pPr>
            <w:r>
              <w:rPr>
                <w:rFonts w:ascii="Times New Roman" w:hAnsi="Times New Roman" w:cs="Times New Roman"/>
                <w:sz w:val="15"/>
                <w:szCs w:val="15"/>
              </w:rPr>
              <w:t>4</w:t>
            </w:r>
          </w:p>
        </w:tc>
        <w:tc>
          <w:tcPr>
            <w:tcW w:w="635" w:type="pct"/>
            <w:tcBorders>
              <w:top w:val="single" w:color="auto" w:sz="12" w:space="0"/>
              <w:left w:val="single" w:color="auto" w:sz="6" w:space="0"/>
              <w:bottom w:val="single" w:color="auto" w:sz="6" w:space="0"/>
              <w:right w:val="single" w:color="auto" w:sz="12" w:space="0"/>
            </w:tcBorders>
            <w:vAlign w:val="center"/>
          </w:tcPr>
          <w:p w14:paraId="0FEEDFE9">
            <w:pPr>
              <w:jc w:val="center"/>
              <w:rPr>
                <w:rFonts w:ascii="Times New Roman" w:hAnsi="Times New Roman" w:cs="Times New Roman"/>
                <w:sz w:val="15"/>
                <w:szCs w:val="15"/>
              </w:rPr>
            </w:pPr>
            <w:r>
              <w:rPr>
                <w:rFonts w:ascii="Times New Roman" w:hAnsi="Times New Roman" w:cs="Times New Roman"/>
                <w:sz w:val="15"/>
                <w:szCs w:val="15"/>
              </w:rPr>
              <w:t>5</w:t>
            </w:r>
          </w:p>
        </w:tc>
      </w:tr>
      <w:tr w14:paraId="70C9DD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pct"/>
            <w:vMerge w:val="restart"/>
            <w:tcBorders>
              <w:top w:val="single" w:color="auto" w:sz="6" w:space="0"/>
              <w:left w:val="single" w:color="auto" w:sz="12" w:space="0"/>
              <w:bottom w:val="single" w:color="auto" w:sz="6" w:space="0"/>
              <w:right w:val="single" w:color="auto" w:sz="6" w:space="0"/>
            </w:tcBorders>
            <w:vAlign w:val="center"/>
          </w:tcPr>
          <w:p w14:paraId="355EA5C7">
            <w:pPr>
              <w:jc w:val="center"/>
              <w:rPr>
                <w:rFonts w:ascii="Times New Roman" w:hAnsi="Times New Roman" w:cs="Times New Roman"/>
                <w:sz w:val="15"/>
                <w:szCs w:val="15"/>
              </w:rPr>
            </w:pPr>
            <w:r>
              <w:rPr>
                <w:rFonts w:ascii="Times New Roman" w:hAnsi="Times New Roman" w:cs="Times New Roman"/>
                <w:sz w:val="15"/>
                <w:szCs w:val="15"/>
              </w:rPr>
              <w:t>安全超高值</w:t>
            </w:r>
          </w:p>
        </w:tc>
        <w:tc>
          <w:tcPr>
            <w:tcW w:w="1239" w:type="pct"/>
            <w:tcBorders>
              <w:top w:val="single" w:color="auto" w:sz="6" w:space="0"/>
              <w:left w:val="single" w:color="auto" w:sz="6" w:space="0"/>
              <w:bottom w:val="single" w:color="auto" w:sz="6" w:space="0"/>
              <w:right w:val="single" w:color="auto" w:sz="6" w:space="0"/>
            </w:tcBorders>
          </w:tcPr>
          <w:p w14:paraId="3AF49A2F">
            <w:pPr>
              <w:rPr>
                <w:rFonts w:ascii="Times New Roman" w:hAnsi="Times New Roman" w:cs="Times New Roman"/>
                <w:sz w:val="15"/>
                <w:szCs w:val="15"/>
              </w:rPr>
            </w:pPr>
            <w:r>
              <w:rPr>
                <w:rFonts w:ascii="Times New Roman" w:hAnsi="Times New Roman" w:cs="Times New Roman"/>
                <w:sz w:val="15"/>
                <w:szCs w:val="15"/>
              </w:rPr>
              <w:t>不允许越浪的拦渣堤工程</w:t>
            </w:r>
          </w:p>
        </w:tc>
        <w:tc>
          <w:tcPr>
            <w:tcW w:w="635" w:type="pct"/>
            <w:tcBorders>
              <w:top w:val="single" w:color="auto" w:sz="6" w:space="0"/>
              <w:left w:val="single" w:color="auto" w:sz="6" w:space="0"/>
              <w:bottom w:val="single" w:color="auto" w:sz="6" w:space="0"/>
              <w:right w:val="single" w:color="auto" w:sz="6" w:space="0"/>
            </w:tcBorders>
            <w:vAlign w:val="center"/>
          </w:tcPr>
          <w:p w14:paraId="73D8ADBB">
            <w:pPr>
              <w:jc w:val="center"/>
              <w:rPr>
                <w:rFonts w:ascii="Times New Roman" w:hAnsi="Times New Roman" w:cs="Times New Roman"/>
                <w:sz w:val="15"/>
                <w:szCs w:val="15"/>
              </w:rPr>
            </w:pPr>
            <w:r>
              <w:rPr>
                <w:rFonts w:ascii="Times New Roman" w:hAnsi="Times New Roman" w:cs="Times New Roman"/>
                <w:sz w:val="15"/>
                <w:szCs w:val="15"/>
              </w:rPr>
              <w:t>1.0</w:t>
            </w:r>
          </w:p>
        </w:tc>
        <w:tc>
          <w:tcPr>
            <w:tcW w:w="636" w:type="pct"/>
            <w:tcBorders>
              <w:top w:val="single" w:color="auto" w:sz="6" w:space="0"/>
              <w:left w:val="single" w:color="auto" w:sz="6" w:space="0"/>
              <w:bottom w:val="single" w:color="auto" w:sz="6" w:space="0"/>
              <w:right w:val="single" w:color="auto" w:sz="6" w:space="0"/>
            </w:tcBorders>
            <w:vAlign w:val="center"/>
          </w:tcPr>
          <w:p w14:paraId="4B5F1137">
            <w:pPr>
              <w:jc w:val="center"/>
              <w:rPr>
                <w:rFonts w:ascii="Times New Roman" w:hAnsi="Times New Roman" w:cs="Times New Roman"/>
                <w:sz w:val="15"/>
                <w:szCs w:val="15"/>
              </w:rPr>
            </w:pPr>
            <w:r>
              <w:rPr>
                <w:rFonts w:ascii="Times New Roman" w:hAnsi="Times New Roman" w:cs="Times New Roman"/>
                <w:sz w:val="15"/>
                <w:szCs w:val="15"/>
              </w:rPr>
              <w:t>0.8</w:t>
            </w:r>
          </w:p>
        </w:tc>
        <w:tc>
          <w:tcPr>
            <w:tcW w:w="636" w:type="pct"/>
            <w:tcBorders>
              <w:top w:val="single" w:color="auto" w:sz="6" w:space="0"/>
              <w:left w:val="single" w:color="auto" w:sz="6" w:space="0"/>
              <w:bottom w:val="single" w:color="auto" w:sz="6" w:space="0"/>
              <w:right w:val="single" w:color="auto" w:sz="6" w:space="0"/>
            </w:tcBorders>
            <w:vAlign w:val="center"/>
          </w:tcPr>
          <w:p w14:paraId="2B614584">
            <w:pPr>
              <w:jc w:val="center"/>
              <w:rPr>
                <w:rFonts w:ascii="Times New Roman" w:hAnsi="Times New Roman" w:cs="Times New Roman"/>
                <w:sz w:val="15"/>
                <w:szCs w:val="15"/>
              </w:rPr>
            </w:pPr>
            <w:r>
              <w:rPr>
                <w:rFonts w:ascii="Times New Roman" w:hAnsi="Times New Roman" w:cs="Times New Roman"/>
                <w:sz w:val="15"/>
                <w:szCs w:val="15"/>
              </w:rPr>
              <w:t>0.7</w:t>
            </w:r>
          </w:p>
        </w:tc>
        <w:tc>
          <w:tcPr>
            <w:tcW w:w="636" w:type="pct"/>
            <w:tcBorders>
              <w:top w:val="single" w:color="auto" w:sz="6" w:space="0"/>
              <w:left w:val="single" w:color="auto" w:sz="6" w:space="0"/>
              <w:bottom w:val="single" w:color="auto" w:sz="6" w:space="0"/>
              <w:right w:val="single" w:color="auto" w:sz="6" w:space="0"/>
            </w:tcBorders>
            <w:vAlign w:val="center"/>
          </w:tcPr>
          <w:p w14:paraId="0B47D909">
            <w:pPr>
              <w:jc w:val="center"/>
              <w:rPr>
                <w:rFonts w:ascii="Times New Roman" w:hAnsi="Times New Roman" w:cs="Times New Roman"/>
                <w:sz w:val="15"/>
                <w:szCs w:val="15"/>
              </w:rPr>
            </w:pPr>
            <w:r>
              <w:rPr>
                <w:rFonts w:ascii="Times New Roman" w:hAnsi="Times New Roman" w:cs="Times New Roman"/>
                <w:sz w:val="15"/>
                <w:szCs w:val="15"/>
              </w:rPr>
              <w:t>0.6</w:t>
            </w:r>
          </w:p>
        </w:tc>
        <w:tc>
          <w:tcPr>
            <w:tcW w:w="635" w:type="pct"/>
            <w:tcBorders>
              <w:top w:val="single" w:color="auto" w:sz="6" w:space="0"/>
              <w:left w:val="single" w:color="auto" w:sz="6" w:space="0"/>
              <w:bottom w:val="single" w:color="auto" w:sz="6" w:space="0"/>
              <w:right w:val="single" w:color="auto" w:sz="12" w:space="0"/>
            </w:tcBorders>
            <w:vAlign w:val="center"/>
          </w:tcPr>
          <w:p w14:paraId="5C37B580">
            <w:pPr>
              <w:jc w:val="center"/>
              <w:rPr>
                <w:rFonts w:ascii="Times New Roman" w:hAnsi="Times New Roman" w:cs="Times New Roman"/>
                <w:sz w:val="15"/>
                <w:szCs w:val="15"/>
              </w:rPr>
            </w:pPr>
            <w:r>
              <w:rPr>
                <w:rFonts w:ascii="Times New Roman" w:hAnsi="Times New Roman" w:cs="Times New Roman"/>
                <w:sz w:val="15"/>
                <w:szCs w:val="15"/>
              </w:rPr>
              <w:t>0.5</w:t>
            </w:r>
          </w:p>
        </w:tc>
      </w:tr>
      <w:tr w14:paraId="483FEE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83" w:type="pct"/>
            <w:vMerge w:val="continue"/>
            <w:tcBorders>
              <w:top w:val="single" w:color="auto" w:sz="6" w:space="0"/>
              <w:left w:val="single" w:color="auto" w:sz="12" w:space="0"/>
              <w:bottom w:val="single" w:color="auto" w:sz="12" w:space="0"/>
              <w:right w:val="single" w:color="auto" w:sz="6" w:space="0"/>
            </w:tcBorders>
          </w:tcPr>
          <w:p w14:paraId="780FAADB">
            <w:pPr>
              <w:jc w:val="center"/>
              <w:rPr>
                <w:rFonts w:ascii="Times New Roman" w:hAnsi="Times New Roman" w:cs="Times New Roman"/>
                <w:sz w:val="15"/>
                <w:szCs w:val="15"/>
              </w:rPr>
            </w:pPr>
          </w:p>
        </w:tc>
        <w:tc>
          <w:tcPr>
            <w:tcW w:w="1239" w:type="pct"/>
            <w:tcBorders>
              <w:top w:val="single" w:color="auto" w:sz="6" w:space="0"/>
              <w:left w:val="single" w:color="auto" w:sz="6" w:space="0"/>
              <w:bottom w:val="single" w:color="auto" w:sz="12" w:space="0"/>
              <w:right w:val="single" w:color="auto" w:sz="6" w:space="0"/>
            </w:tcBorders>
          </w:tcPr>
          <w:p w14:paraId="0324F04D">
            <w:pPr>
              <w:jc w:val="center"/>
              <w:rPr>
                <w:rFonts w:ascii="Times New Roman" w:hAnsi="Times New Roman" w:cs="Times New Roman"/>
                <w:sz w:val="15"/>
                <w:szCs w:val="15"/>
              </w:rPr>
            </w:pPr>
            <w:r>
              <w:rPr>
                <w:rFonts w:ascii="Times New Roman" w:hAnsi="Times New Roman" w:cs="Times New Roman"/>
                <w:sz w:val="15"/>
                <w:szCs w:val="15"/>
              </w:rPr>
              <w:t>允许越浪的拦渣堤工程</w:t>
            </w:r>
          </w:p>
        </w:tc>
        <w:tc>
          <w:tcPr>
            <w:tcW w:w="635" w:type="pct"/>
            <w:tcBorders>
              <w:top w:val="single" w:color="auto" w:sz="6" w:space="0"/>
              <w:left w:val="single" w:color="auto" w:sz="6" w:space="0"/>
              <w:bottom w:val="single" w:color="auto" w:sz="12" w:space="0"/>
              <w:right w:val="single" w:color="auto" w:sz="6" w:space="0"/>
            </w:tcBorders>
            <w:vAlign w:val="center"/>
          </w:tcPr>
          <w:p w14:paraId="0A48807F">
            <w:pPr>
              <w:jc w:val="center"/>
              <w:rPr>
                <w:rFonts w:ascii="Times New Roman" w:hAnsi="Times New Roman" w:cs="Times New Roman"/>
                <w:sz w:val="15"/>
                <w:szCs w:val="15"/>
              </w:rPr>
            </w:pPr>
            <w:r>
              <w:rPr>
                <w:rFonts w:ascii="Times New Roman" w:hAnsi="Times New Roman" w:cs="Times New Roman"/>
                <w:sz w:val="15"/>
                <w:szCs w:val="15"/>
              </w:rPr>
              <w:t>0.5</w:t>
            </w:r>
          </w:p>
        </w:tc>
        <w:tc>
          <w:tcPr>
            <w:tcW w:w="636" w:type="pct"/>
            <w:tcBorders>
              <w:top w:val="single" w:color="auto" w:sz="6" w:space="0"/>
              <w:left w:val="single" w:color="auto" w:sz="6" w:space="0"/>
              <w:bottom w:val="single" w:color="auto" w:sz="12" w:space="0"/>
              <w:right w:val="single" w:color="auto" w:sz="6" w:space="0"/>
            </w:tcBorders>
            <w:vAlign w:val="center"/>
          </w:tcPr>
          <w:p w14:paraId="66AE9AF3">
            <w:pPr>
              <w:jc w:val="center"/>
              <w:rPr>
                <w:rFonts w:ascii="Times New Roman" w:hAnsi="Times New Roman" w:cs="Times New Roman"/>
                <w:sz w:val="15"/>
                <w:szCs w:val="15"/>
              </w:rPr>
            </w:pPr>
            <w:r>
              <w:rPr>
                <w:rFonts w:ascii="Times New Roman" w:hAnsi="Times New Roman" w:cs="Times New Roman"/>
                <w:sz w:val="15"/>
                <w:szCs w:val="15"/>
              </w:rPr>
              <w:t>0.4</w:t>
            </w:r>
          </w:p>
        </w:tc>
        <w:tc>
          <w:tcPr>
            <w:tcW w:w="636" w:type="pct"/>
            <w:tcBorders>
              <w:top w:val="single" w:color="auto" w:sz="6" w:space="0"/>
              <w:left w:val="single" w:color="auto" w:sz="6" w:space="0"/>
              <w:bottom w:val="single" w:color="auto" w:sz="12" w:space="0"/>
              <w:right w:val="single" w:color="auto" w:sz="6" w:space="0"/>
            </w:tcBorders>
            <w:vAlign w:val="center"/>
          </w:tcPr>
          <w:p w14:paraId="237CBAAE">
            <w:pPr>
              <w:jc w:val="center"/>
              <w:rPr>
                <w:rFonts w:ascii="Times New Roman" w:hAnsi="Times New Roman" w:cs="Times New Roman"/>
                <w:sz w:val="15"/>
                <w:szCs w:val="15"/>
              </w:rPr>
            </w:pPr>
            <w:r>
              <w:rPr>
                <w:rFonts w:ascii="Times New Roman" w:hAnsi="Times New Roman" w:cs="Times New Roman"/>
                <w:sz w:val="15"/>
                <w:szCs w:val="15"/>
              </w:rPr>
              <w:t>0.4</w:t>
            </w:r>
          </w:p>
        </w:tc>
        <w:tc>
          <w:tcPr>
            <w:tcW w:w="636" w:type="pct"/>
            <w:tcBorders>
              <w:top w:val="single" w:color="auto" w:sz="6" w:space="0"/>
              <w:left w:val="single" w:color="auto" w:sz="6" w:space="0"/>
              <w:bottom w:val="single" w:color="auto" w:sz="12" w:space="0"/>
              <w:right w:val="single" w:color="auto" w:sz="6" w:space="0"/>
            </w:tcBorders>
            <w:vAlign w:val="center"/>
          </w:tcPr>
          <w:p w14:paraId="1124B95B">
            <w:pPr>
              <w:jc w:val="center"/>
              <w:rPr>
                <w:rFonts w:ascii="Times New Roman" w:hAnsi="Times New Roman" w:cs="Times New Roman"/>
                <w:sz w:val="15"/>
                <w:szCs w:val="15"/>
              </w:rPr>
            </w:pPr>
            <w:r>
              <w:rPr>
                <w:rFonts w:ascii="Times New Roman" w:hAnsi="Times New Roman" w:cs="Times New Roman"/>
                <w:sz w:val="15"/>
                <w:szCs w:val="15"/>
              </w:rPr>
              <w:t>0.3</w:t>
            </w:r>
          </w:p>
        </w:tc>
        <w:tc>
          <w:tcPr>
            <w:tcW w:w="635" w:type="pct"/>
            <w:tcBorders>
              <w:top w:val="single" w:color="auto" w:sz="6" w:space="0"/>
              <w:left w:val="single" w:color="auto" w:sz="6" w:space="0"/>
              <w:bottom w:val="single" w:color="auto" w:sz="12" w:space="0"/>
              <w:right w:val="single" w:color="auto" w:sz="12" w:space="0"/>
            </w:tcBorders>
            <w:vAlign w:val="center"/>
          </w:tcPr>
          <w:p w14:paraId="72CA696C">
            <w:pPr>
              <w:jc w:val="center"/>
              <w:rPr>
                <w:rFonts w:ascii="Times New Roman" w:hAnsi="Times New Roman" w:cs="Times New Roman"/>
                <w:sz w:val="15"/>
                <w:szCs w:val="15"/>
              </w:rPr>
            </w:pPr>
            <w:r>
              <w:rPr>
                <w:rFonts w:ascii="Times New Roman" w:hAnsi="Times New Roman" w:cs="Times New Roman"/>
                <w:sz w:val="15"/>
                <w:szCs w:val="15"/>
              </w:rPr>
              <w:t>0.3</w:t>
            </w:r>
          </w:p>
        </w:tc>
      </w:tr>
    </w:tbl>
    <w:p w14:paraId="165E90A9">
      <w:pPr>
        <w:spacing w:before="156" w:beforeLines="50" w:line="360" w:lineRule="auto"/>
        <w:ind w:firstLine="413" w:firstLineChars="196"/>
        <w:rPr>
          <w:rFonts w:ascii="Times New Roman" w:hAnsi="Times New Roman" w:cs="Times New Roman"/>
          <w:sz w:val="21"/>
          <w:szCs w:val="24"/>
        </w:rPr>
      </w:pPr>
      <w:r>
        <w:rPr>
          <w:rFonts w:ascii="Times New Roman" w:hAnsi="Times New Roman" w:cs="Times New Roman"/>
          <w:b/>
          <w:sz w:val="21"/>
          <w:szCs w:val="24"/>
        </w:rPr>
        <w:t>5</w:t>
      </w:r>
      <w:r>
        <w:rPr>
          <w:rFonts w:ascii="Times New Roman" w:hAnsi="Times New Roman" w:cs="Times New Roman"/>
          <w:sz w:val="21"/>
          <w:szCs w:val="24"/>
        </w:rPr>
        <w:t xml:space="preserve">  地基处理可按现行国家标准《堤防工程设计规范》GB 50286的有关规定执行。</w:t>
      </w:r>
    </w:p>
    <w:p w14:paraId="761AE00E">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6</w:t>
      </w:r>
      <w:r>
        <w:rPr>
          <w:rFonts w:ascii="Times New Roman" w:hAnsi="Times New Roman" w:cs="Times New Roman"/>
          <w:sz w:val="21"/>
          <w:szCs w:val="24"/>
        </w:rPr>
        <w:t xml:space="preserve">  受水流作用可能发生冲刷破坏影响拦渣堤安全时，应采取护脚防护措施，防护型式可按现行国家标准《堤防工程设计规范》GB 50286的有关规定执行。</w:t>
      </w:r>
    </w:p>
    <w:p w14:paraId="552BECE9">
      <w:pPr>
        <w:spacing w:line="360" w:lineRule="auto"/>
        <w:rPr>
          <w:rFonts w:ascii="Times New Roman" w:hAnsi="Times New Roman" w:cs="Times New Roman"/>
          <w:sz w:val="21"/>
          <w:szCs w:val="24"/>
        </w:rPr>
      </w:pPr>
      <w:r>
        <w:rPr>
          <w:rFonts w:ascii="Times New Roman" w:hAnsi="Times New Roman" w:cs="Times New Roman"/>
          <w:b/>
          <w:sz w:val="21"/>
          <w:szCs w:val="24"/>
        </w:rPr>
        <w:t xml:space="preserve">5.4.22 </w:t>
      </w:r>
      <w:r>
        <w:rPr>
          <w:rFonts w:ascii="Times New Roman" w:hAnsi="Times New Roman" w:cs="Times New Roman"/>
          <w:sz w:val="21"/>
          <w:szCs w:val="24"/>
        </w:rPr>
        <w:t xml:space="preserve"> 非墙式拦渣堤参照《堤防工程设计规范》GB 50286进行设计。</w:t>
      </w:r>
    </w:p>
    <w:p w14:paraId="63985F4C">
      <w:pPr>
        <w:spacing w:line="360" w:lineRule="auto"/>
        <w:rPr>
          <w:rFonts w:ascii="Times New Roman" w:hAnsi="Times New Roman" w:cs="Times New Roman"/>
          <w:sz w:val="21"/>
          <w:szCs w:val="24"/>
        </w:rPr>
      </w:pPr>
      <w:r>
        <w:rPr>
          <w:rFonts w:ascii="Times New Roman" w:hAnsi="Times New Roman" w:cs="Times New Roman"/>
          <w:b/>
          <w:sz w:val="21"/>
          <w:szCs w:val="24"/>
        </w:rPr>
        <w:t xml:space="preserve">5.4.23 </w:t>
      </w:r>
      <w:r>
        <w:rPr>
          <w:rFonts w:ascii="Times New Roman" w:hAnsi="Times New Roman" w:cs="Times New Roman"/>
          <w:sz w:val="21"/>
          <w:szCs w:val="24"/>
        </w:rPr>
        <w:t xml:space="preserve"> 拦渣堤稳定安全系数、基底应力等应符合本标准第5.4.5、5.4.6条规定。</w:t>
      </w:r>
    </w:p>
    <w:p w14:paraId="7A3A1859">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Ⅴ </w:t>
      </w:r>
      <w:r>
        <w:rPr>
          <w:rFonts w:ascii="Times New Roman" w:hAnsi="Times New Roman" w:eastAsia="黑体" w:cs="Times New Roman"/>
          <w:bCs/>
          <w:sz w:val="24"/>
          <w:szCs w:val="24"/>
        </w:rPr>
        <w:t>围渣堰</w:t>
      </w:r>
    </w:p>
    <w:p w14:paraId="711C7DBD">
      <w:pPr>
        <w:spacing w:line="360" w:lineRule="auto"/>
        <w:rPr>
          <w:rFonts w:ascii="Times New Roman" w:hAnsi="Times New Roman" w:cs="Times New Roman"/>
          <w:sz w:val="21"/>
          <w:szCs w:val="24"/>
        </w:rPr>
      </w:pPr>
      <w:r>
        <w:rPr>
          <w:rFonts w:ascii="Times New Roman" w:hAnsi="Times New Roman" w:eastAsia="黑体" w:cs="Times New Roman"/>
          <w:b/>
          <w:sz w:val="21"/>
          <w:szCs w:val="21"/>
        </w:rPr>
        <w:t>5</w:t>
      </w:r>
      <w:r>
        <w:rPr>
          <w:rFonts w:ascii="Times New Roman" w:hAnsi="Times New Roman" w:cs="Times New Roman"/>
          <w:b/>
          <w:sz w:val="21"/>
          <w:szCs w:val="21"/>
        </w:rPr>
        <w:t>.</w:t>
      </w:r>
      <w:r>
        <w:rPr>
          <w:rFonts w:ascii="Times New Roman" w:hAnsi="Times New Roman" w:eastAsia="黑体" w:cs="Times New Roman"/>
          <w:b/>
          <w:sz w:val="21"/>
          <w:szCs w:val="21"/>
        </w:rPr>
        <w:t>4</w:t>
      </w:r>
      <w:r>
        <w:rPr>
          <w:rFonts w:ascii="Times New Roman" w:hAnsi="Times New Roman" w:cs="Times New Roman"/>
          <w:b/>
          <w:sz w:val="21"/>
          <w:szCs w:val="21"/>
        </w:rPr>
        <w:t>.</w:t>
      </w:r>
      <w:r>
        <w:rPr>
          <w:rFonts w:ascii="Times New Roman" w:hAnsi="Times New Roman" w:eastAsia="黑体" w:cs="Times New Roman"/>
          <w:b/>
          <w:sz w:val="21"/>
          <w:szCs w:val="21"/>
        </w:rPr>
        <w:t xml:space="preserve">24 </w:t>
      </w:r>
      <w:r>
        <w:rPr>
          <w:rFonts w:ascii="Times New Roman" w:hAnsi="Times New Roman" w:cs="Times New Roman"/>
          <w:sz w:val="21"/>
          <w:szCs w:val="24"/>
        </w:rPr>
        <w:t xml:space="preserve"> 围渣堰适用于平地型弃渣场的坡脚拦挡防护。</w:t>
      </w:r>
    </w:p>
    <w:p w14:paraId="0080E7E9">
      <w:pPr>
        <w:spacing w:line="360" w:lineRule="auto"/>
        <w:rPr>
          <w:rFonts w:ascii="Times New Roman" w:hAnsi="Times New Roman" w:cs="Times New Roman"/>
          <w:sz w:val="21"/>
          <w:szCs w:val="24"/>
        </w:rPr>
      </w:pPr>
      <w:r>
        <w:rPr>
          <w:rFonts w:ascii="Times New Roman" w:hAnsi="Times New Roman" w:cs="Times New Roman"/>
          <w:b/>
          <w:sz w:val="21"/>
          <w:szCs w:val="24"/>
        </w:rPr>
        <w:t xml:space="preserve">5.4.25 </w:t>
      </w:r>
      <w:r>
        <w:rPr>
          <w:rFonts w:ascii="Times New Roman" w:hAnsi="Times New Roman" w:cs="Times New Roman"/>
          <w:sz w:val="21"/>
          <w:szCs w:val="24"/>
        </w:rPr>
        <w:t xml:space="preserve"> 围渣堰临水时应按拦渣堤设计，不临水时应按挡渣墙设计。</w:t>
      </w:r>
    </w:p>
    <w:p w14:paraId="27D56DE6">
      <w:pPr>
        <w:spacing w:line="360" w:lineRule="auto"/>
        <w:rPr>
          <w:rFonts w:ascii="Times New Roman" w:hAnsi="Times New Roman" w:cs="Times New Roman"/>
          <w:sz w:val="21"/>
          <w:szCs w:val="24"/>
        </w:rPr>
      </w:pPr>
      <w:r>
        <w:rPr>
          <w:rFonts w:ascii="Times New Roman" w:hAnsi="Times New Roman" w:cs="Times New Roman"/>
          <w:b/>
          <w:sz w:val="21"/>
          <w:szCs w:val="24"/>
        </w:rPr>
        <w:t xml:space="preserve">5.4.26 </w:t>
      </w:r>
      <w:r>
        <w:rPr>
          <w:rFonts w:ascii="Times New Roman" w:hAnsi="Times New Roman" w:cs="Times New Roman"/>
          <w:sz w:val="21"/>
          <w:szCs w:val="24"/>
        </w:rPr>
        <w:t xml:space="preserve"> 围渣堰设计应符合下列规定：</w:t>
      </w:r>
    </w:p>
    <w:p w14:paraId="6EA98E2F">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1</w:t>
      </w:r>
      <w:r>
        <w:rPr>
          <w:rFonts w:ascii="Times New Roman" w:hAnsi="Times New Roman" w:cs="Times New Roman"/>
          <w:b/>
          <w:sz w:val="21"/>
          <w:szCs w:val="24"/>
        </w:rPr>
        <w:t xml:space="preserve"> </w:t>
      </w:r>
      <w:r>
        <w:rPr>
          <w:rFonts w:ascii="Times New Roman" w:hAnsi="Times New Roman" w:cs="Times New Roman"/>
          <w:sz w:val="21"/>
          <w:szCs w:val="24"/>
        </w:rPr>
        <w:t xml:space="preserve"> 围渣堰根据筑堰材料可采用土围堰、砌石围堰等；当围渣堰不受渣体压力时，可采用砖砌墙、钢板围挡等型式。</w:t>
      </w:r>
    </w:p>
    <w:p w14:paraId="219226FA">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1"/>
        </w:rPr>
        <w:t>2</w:t>
      </w:r>
      <w:r>
        <w:rPr>
          <w:rFonts w:ascii="Times New Roman" w:hAnsi="Times New Roman" w:cs="Times New Roman"/>
          <w:sz w:val="21"/>
          <w:szCs w:val="24"/>
        </w:rPr>
        <w:t xml:space="preserve">  围渣堰断面应根据堆渣高度、堆渣容量、筑堰材料，通过稳定分析确定。堰顶有交通要求时可适当加宽。</w:t>
      </w:r>
    </w:p>
    <w:p w14:paraId="501E8802">
      <w:pPr>
        <w:keepNext/>
        <w:keepLines/>
        <w:spacing w:before="260" w:after="260" w:line="415" w:lineRule="auto"/>
        <w:jc w:val="center"/>
        <w:outlineLvl w:val="1"/>
        <w:rPr>
          <w:rFonts w:ascii="Times New Roman" w:hAnsi="Times New Roman" w:eastAsia="黑体" w:cs="Times New Roman"/>
          <w:bCs/>
          <w:sz w:val="30"/>
          <w:szCs w:val="32"/>
        </w:rPr>
      </w:pPr>
      <w:bookmarkStart w:id="542" w:name="_Toc10426"/>
      <w:bookmarkStart w:id="543" w:name="_Toc15350"/>
      <w:r>
        <w:rPr>
          <w:rFonts w:ascii="Times New Roman" w:hAnsi="Times New Roman" w:eastAsia="黑体" w:cs="Times New Roman"/>
          <w:bCs/>
          <w:sz w:val="30"/>
          <w:szCs w:val="32"/>
        </w:rPr>
        <w:t>5</w:t>
      </w:r>
      <w:r>
        <w:rPr>
          <w:rFonts w:ascii="Times New Roman" w:hAnsi="Times New Roman" w:cs="Times New Roman"/>
          <w:bCs/>
          <w:sz w:val="30"/>
          <w:szCs w:val="32"/>
        </w:rPr>
        <w:t>.</w:t>
      </w:r>
      <w:r>
        <w:rPr>
          <w:rFonts w:ascii="Times New Roman" w:hAnsi="Times New Roman" w:eastAsia="黑体" w:cs="Times New Roman"/>
          <w:bCs/>
          <w:sz w:val="30"/>
          <w:szCs w:val="32"/>
        </w:rPr>
        <w:t>5 防洪排导工程</w:t>
      </w:r>
      <w:bookmarkEnd w:id="542"/>
      <w:bookmarkEnd w:id="543"/>
    </w:p>
    <w:p w14:paraId="0C0B1BE6">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Ⅰ </w:t>
      </w:r>
      <w:r>
        <w:rPr>
          <w:rFonts w:ascii="Times New Roman" w:hAnsi="Times New Roman" w:eastAsia="黑体" w:cs="Times New Roman"/>
          <w:bCs/>
          <w:sz w:val="24"/>
          <w:szCs w:val="24"/>
        </w:rPr>
        <w:t>一般规定</w:t>
      </w:r>
    </w:p>
    <w:p w14:paraId="5B637D0A">
      <w:pPr>
        <w:spacing w:line="360" w:lineRule="auto"/>
        <w:rPr>
          <w:rFonts w:ascii="Times New Roman" w:hAnsi="Times New Roman" w:cs="Times New Roman"/>
          <w:sz w:val="21"/>
        </w:rPr>
      </w:pPr>
      <w:r>
        <w:rPr>
          <w:rFonts w:ascii="Times New Roman" w:hAnsi="Times New Roman" w:cs="Times New Roman"/>
          <w:b/>
          <w:sz w:val="21"/>
        </w:rPr>
        <w:t xml:space="preserve">5.5.1  </w:t>
      </w:r>
      <w:r>
        <w:rPr>
          <w:rFonts w:ascii="Times New Roman" w:hAnsi="Times New Roman" w:cs="Times New Roman"/>
          <w:sz w:val="21"/>
        </w:rPr>
        <w:t>生产建设项目在施工和生产运行中，弃渣场、取土（料）场、施工道路、施工场地等地表扰动和损坏区域，易遭受洪水危害或地表径流冲刷造成水土流失时，应布设防洪排导工程。</w:t>
      </w:r>
    </w:p>
    <w:p w14:paraId="132C4CF9">
      <w:pPr>
        <w:spacing w:line="360" w:lineRule="auto"/>
        <w:rPr>
          <w:rFonts w:ascii="Times New Roman" w:hAnsi="Times New Roman" w:cs="Times New Roman"/>
          <w:sz w:val="21"/>
        </w:rPr>
      </w:pPr>
      <w:r>
        <w:rPr>
          <w:rFonts w:ascii="Times New Roman" w:hAnsi="Times New Roman" w:cs="Times New Roman"/>
          <w:b/>
          <w:sz w:val="21"/>
        </w:rPr>
        <w:t>5.5.2</w:t>
      </w:r>
      <w:r>
        <w:rPr>
          <w:rFonts w:ascii="Times New Roman" w:hAnsi="Times New Roman" w:cs="Times New Roman"/>
          <w:sz w:val="21"/>
        </w:rPr>
        <w:t xml:space="preserve">  防洪排导工程包括拦洪工程、排洪工程、截排水工程以及泥石流防治工程等。</w:t>
      </w:r>
    </w:p>
    <w:p w14:paraId="79C84CFB">
      <w:pPr>
        <w:spacing w:line="360" w:lineRule="auto"/>
        <w:rPr>
          <w:rFonts w:ascii="Times New Roman" w:hAnsi="Times New Roman" w:cs="Times New Roman"/>
          <w:sz w:val="21"/>
        </w:rPr>
      </w:pPr>
      <w:r>
        <w:rPr>
          <w:rFonts w:ascii="Times New Roman" w:hAnsi="Times New Roman" w:cs="Times New Roman"/>
          <w:b/>
          <w:sz w:val="21"/>
        </w:rPr>
        <w:t xml:space="preserve">5.5.3  </w:t>
      </w:r>
      <w:r>
        <w:rPr>
          <w:rFonts w:ascii="Times New Roman" w:hAnsi="Times New Roman" w:cs="Times New Roman"/>
          <w:sz w:val="21"/>
        </w:rPr>
        <w:t>防洪排导工程应根据水文、地质、地形和洪水危害程度等通过方案比较后综合确定总体布置，尽量利用原有洪水通道。</w:t>
      </w:r>
    </w:p>
    <w:p w14:paraId="3CA22F1E">
      <w:pPr>
        <w:spacing w:line="360" w:lineRule="auto"/>
        <w:rPr>
          <w:rFonts w:ascii="Times New Roman" w:hAnsi="Times New Roman" w:cs="Times New Roman"/>
          <w:sz w:val="21"/>
        </w:rPr>
      </w:pPr>
      <w:r>
        <w:rPr>
          <w:rFonts w:ascii="Times New Roman" w:hAnsi="Times New Roman" w:cs="Times New Roman"/>
          <w:b/>
          <w:sz w:val="21"/>
        </w:rPr>
        <w:t>5.5.4</w:t>
      </w:r>
      <w:r>
        <w:rPr>
          <w:rFonts w:ascii="Times New Roman" w:hAnsi="Times New Roman" w:cs="Times New Roman"/>
          <w:sz w:val="21"/>
        </w:rPr>
        <w:t xml:space="preserve">  防洪排导工程设计所需基本资料应以收集和分析为主，必要时辅以野外查勘、测绘、勘探等，并应符合下列规定：</w:t>
      </w:r>
    </w:p>
    <w:p w14:paraId="03FB0BD5">
      <w:pPr>
        <w:spacing w:line="360" w:lineRule="auto"/>
        <w:ind w:firstLine="422" w:firstLineChars="200"/>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气象水文资料，主要包括项目区所处气候带、气候类型、气温、风和沙尘资料，以及地表水系，项目所在河道或沟道实测暴雨洪水资料或项目所在地区有关暴雨图集等资料。</w:t>
      </w:r>
    </w:p>
    <w:p w14:paraId="18025299">
      <w:pPr>
        <w:spacing w:line="360" w:lineRule="auto"/>
        <w:ind w:firstLine="422" w:firstLineChars="200"/>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地形地质资料，主要包括工程场址 1</w:t>
      </w:r>
      <w:r>
        <w:rPr>
          <w:rFonts w:hint="eastAsia" w:ascii="Times New Roman" w:hAnsi="Times New Roman" w:cs="Times New Roman"/>
          <w:sz w:val="21"/>
        </w:rPr>
        <w:t>:</w:t>
      </w:r>
      <w:r>
        <w:rPr>
          <w:rFonts w:ascii="Times New Roman" w:hAnsi="Times New Roman" w:cs="Times New Roman"/>
          <w:sz w:val="21"/>
        </w:rPr>
        <w:t>10000～1</w:t>
      </w:r>
      <w:r>
        <w:rPr>
          <w:rFonts w:hint="eastAsia" w:ascii="Times New Roman" w:hAnsi="Times New Roman" w:cs="Times New Roman"/>
          <w:sz w:val="21"/>
        </w:rPr>
        <w:t>:</w:t>
      </w:r>
      <w:r>
        <w:rPr>
          <w:rFonts w:ascii="Times New Roman" w:hAnsi="Times New Roman" w:cs="Times New Roman"/>
          <w:sz w:val="21"/>
        </w:rPr>
        <w:t>500 等比例尺的地形图，地质勘探资料，地下水的类型及补给来源，地下水埋深、流向和流速，泉水出露位置、类型和流量等资料。</w:t>
      </w:r>
    </w:p>
    <w:p w14:paraId="73D570EA">
      <w:pPr>
        <w:spacing w:line="360" w:lineRule="auto"/>
        <w:ind w:firstLine="422" w:firstLineChars="200"/>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工程场址所在河道有关设计洪水位及其他规划设计成果。</w:t>
      </w:r>
    </w:p>
    <w:p w14:paraId="76EA3E85">
      <w:pPr>
        <w:spacing w:line="360" w:lineRule="auto"/>
        <w:rPr>
          <w:rFonts w:ascii="Times New Roman" w:hAnsi="Times New Roman" w:cs="Times New Roman"/>
          <w:sz w:val="21"/>
        </w:rPr>
      </w:pPr>
      <w:r>
        <w:rPr>
          <w:rFonts w:ascii="Times New Roman" w:hAnsi="Times New Roman" w:cs="Times New Roman"/>
          <w:b/>
          <w:sz w:val="21"/>
        </w:rPr>
        <w:t>5.5.5</w:t>
      </w:r>
      <w:r>
        <w:rPr>
          <w:rFonts w:ascii="Times New Roman" w:hAnsi="Times New Roman" w:cs="Times New Roman"/>
          <w:sz w:val="21"/>
        </w:rPr>
        <w:t xml:space="preserve">  防洪排导工程水文计算应符合附录 A 的规定。</w:t>
      </w:r>
    </w:p>
    <w:p w14:paraId="2C507C39">
      <w:pPr>
        <w:spacing w:line="360" w:lineRule="auto"/>
        <w:rPr>
          <w:rFonts w:ascii="Times New Roman" w:hAnsi="Times New Roman" w:cs="Times New Roman"/>
          <w:sz w:val="21"/>
        </w:rPr>
      </w:pPr>
      <w:r>
        <w:rPr>
          <w:rFonts w:ascii="Times New Roman" w:hAnsi="Times New Roman" w:cs="Times New Roman"/>
          <w:b/>
          <w:sz w:val="21"/>
        </w:rPr>
        <w:t>5.5.6</w:t>
      </w:r>
      <w:r>
        <w:rPr>
          <w:rFonts w:ascii="Times New Roman" w:hAnsi="Times New Roman" w:cs="Times New Roman"/>
          <w:sz w:val="21"/>
        </w:rPr>
        <w:t xml:space="preserve">  泥石流防治工程设计应查清泥石流活动的规律、类型、频度、发展趋势和危害性，设计标准应与防护对象相适应，并应符合现行行业标准《泥石流灾害防治工程设计规范》DZ/T 0239的有关规定。</w:t>
      </w:r>
    </w:p>
    <w:p w14:paraId="66FC1206">
      <w:pPr>
        <w:keepNext/>
        <w:keepLines/>
        <w:spacing w:before="260" w:after="260" w:line="416" w:lineRule="auto"/>
        <w:jc w:val="center"/>
        <w:outlineLvl w:val="2"/>
        <w:rPr>
          <w:rFonts w:ascii="Times New Roman" w:hAnsi="Times New Roman" w:cs="Times New Roman"/>
          <w:bCs/>
          <w:szCs w:val="28"/>
        </w:rPr>
      </w:pPr>
      <w:r>
        <w:rPr>
          <w:rFonts w:ascii="Times New Roman" w:hAnsi="Times New Roman" w:cs="Times New Roman"/>
          <w:bCs/>
          <w:szCs w:val="28"/>
        </w:rPr>
        <w:t xml:space="preserve">Ⅱ </w:t>
      </w:r>
      <w:r>
        <w:rPr>
          <w:rFonts w:ascii="Times New Roman" w:hAnsi="Times New Roman" w:eastAsia="黑体" w:cs="Times New Roman"/>
          <w:bCs/>
          <w:szCs w:val="28"/>
        </w:rPr>
        <w:t>拦洪工程</w:t>
      </w:r>
    </w:p>
    <w:p w14:paraId="4E698E9D">
      <w:pPr>
        <w:spacing w:line="360" w:lineRule="auto"/>
        <w:rPr>
          <w:rFonts w:ascii="Times New Roman" w:hAnsi="Times New Roman" w:cs="Times New Roman"/>
          <w:sz w:val="21"/>
        </w:rPr>
      </w:pPr>
      <w:r>
        <w:rPr>
          <w:rFonts w:ascii="Times New Roman" w:hAnsi="Times New Roman" w:cs="Times New Roman"/>
          <w:b/>
          <w:sz w:val="21"/>
        </w:rPr>
        <w:t>5.5.7</w:t>
      </w:r>
      <w:r>
        <w:rPr>
          <w:rFonts w:ascii="Times New Roman" w:hAnsi="Times New Roman" w:cs="Times New Roman"/>
          <w:sz w:val="21"/>
        </w:rPr>
        <w:t xml:space="preserve">  拦洪工程主要采用拦洪坝，布置在弃渣场尾部用于拦截上游来水，并将上游来水通过排洪工程排导至弃渣场下游或相邻沟谷。拦洪工程级别划分按照5.1.3条确定。</w:t>
      </w:r>
    </w:p>
    <w:p w14:paraId="7A23F63E">
      <w:pPr>
        <w:spacing w:line="360" w:lineRule="auto"/>
        <w:rPr>
          <w:rFonts w:ascii="Times New Roman" w:hAnsi="Times New Roman" w:cs="Times New Roman"/>
          <w:sz w:val="21"/>
        </w:rPr>
      </w:pPr>
      <w:r>
        <w:rPr>
          <w:rFonts w:ascii="Times New Roman" w:hAnsi="Times New Roman" w:cs="Times New Roman"/>
          <w:b/>
          <w:sz w:val="21"/>
        </w:rPr>
        <w:t>5.5.8</w:t>
      </w:r>
      <w:r>
        <w:rPr>
          <w:rFonts w:ascii="Times New Roman" w:hAnsi="Times New Roman" w:cs="Times New Roman"/>
          <w:sz w:val="21"/>
        </w:rPr>
        <w:t xml:space="preserve">  拦洪坝坝址选择应以安全稳定为原则，并应符合下列要求： </w:t>
      </w:r>
    </w:p>
    <w:p w14:paraId="3DEABC47">
      <w:pPr>
        <w:spacing w:line="360" w:lineRule="auto"/>
        <w:ind w:firstLine="422" w:firstLineChars="200"/>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与配套排洪工程布置相协调。</w:t>
      </w:r>
    </w:p>
    <w:p w14:paraId="71339AD6">
      <w:pPr>
        <w:spacing w:line="360" w:lineRule="auto"/>
        <w:ind w:firstLine="422" w:firstLineChars="200"/>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地质构造稳定，无断层破碎带、软弱夹层等不良地质，无地下水出露。</w:t>
      </w:r>
    </w:p>
    <w:p w14:paraId="66AD6E90">
      <w:pPr>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3  </w:t>
      </w:r>
      <w:r>
        <w:rPr>
          <w:rFonts w:ascii="Times New Roman" w:hAnsi="Times New Roman" w:cs="Times New Roman"/>
          <w:sz w:val="21"/>
        </w:rPr>
        <w:t>河谷地形狭窄，坝轴线短，筑坝工程量小。宜选择在岔沟、弯道的下游或跌水的上方，坝肩不宜有集流洼地或冲沟。</w:t>
      </w:r>
    </w:p>
    <w:p w14:paraId="30D4E0BF">
      <w:pPr>
        <w:spacing w:line="360" w:lineRule="auto"/>
        <w:rPr>
          <w:rFonts w:ascii="Times New Roman" w:hAnsi="Times New Roman" w:cs="Times New Roman"/>
          <w:sz w:val="21"/>
        </w:rPr>
      </w:pPr>
      <w:r>
        <w:rPr>
          <w:rFonts w:ascii="Times New Roman" w:hAnsi="Times New Roman" w:cs="Times New Roman"/>
          <w:b/>
          <w:sz w:val="21"/>
        </w:rPr>
        <w:t>5.5.9</w:t>
      </w:r>
      <w:r>
        <w:rPr>
          <w:rFonts w:ascii="Times New Roman" w:hAnsi="Times New Roman" w:cs="Times New Roman"/>
          <w:sz w:val="21"/>
        </w:rPr>
        <w:t xml:space="preserve">  拦洪坝应进行设计洪水计算，承担滞洪功能时还应进行调洪演算。设计洪水计算主要包括洪峰流量、洪水总量和洪水过程线等，可按附录A.2计算。</w:t>
      </w:r>
    </w:p>
    <w:p w14:paraId="7559EEA7">
      <w:pPr>
        <w:spacing w:line="360" w:lineRule="auto"/>
        <w:rPr>
          <w:rFonts w:ascii="Times New Roman" w:hAnsi="Times New Roman" w:cs="Times New Roman"/>
          <w:sz w:val="21"/>
        </w:rPr>
      </w:pPr>
      <w:r>
        <w:rPr>
          <w:rFonts w:ascii="Times New Roman" w:hAnsi="Times New Roman" w:cs="Times New Roman"/>
          <w:b/>
          <w:sz w:val="21"/>
        </w:rPr>
        <w:t>5.5.10</w:t>
      </w:r>
      <w:r>
        <w:rPr>
          <w:rFonts w:ascii="Times New Roman" w:hAnsi="Times New Roman" w:cs="Times New Roman"/>
          <w:sz w:val="21"/>
        </w:rPr>
        <w:t xml:space="preserve">  拦洪坝坝顶高程应为总库容对应高程加上安全超高，安全超高经验值应按表5.5.10的规定确定。</w:t>
      </w:r>
    </w:p>
    <w:p w14:paraId="7160CF6A">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5</w:t>
      </w:r>
      <w:r>
        <w:rPr>
          <w:rFonts w:ascii="Times New Roman" w:hAnsi="Times New Roman" w:cs="Times New Roman"/>
          <w:sz w:val="18"/>
          <w:szCs w:val="18"/>
        </w:rPr>
        <w:t>.</w:t>
      </w:r>
      <w:r>
        <w:rPr>
          <w:rFonts w:ascii="Times New Roman" w:hAnsi="Times New Roman" w:eastAsia="黑体" w:cs="Times New Roman"/>
          <w:sz w:val="18"/>
          <w:szCs w:val="18"/>
        </w:rPr>
        <w:t>10  拦洪坝安全超高经验值（m）</w:t>
      </w:r>
    </w:p>
    <w:tbl>
      <w:tblPr>
        <w:tblStyle w:val="10"/>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109"/>
        <w:gridCol w:w="2582"/>
        <w:gridCol w:w="2583"/>
      </w:tblGrid>
      <w:tr w14:paraId="43D0CC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878" w:type="pct"/>
            <w:tcBorders>
              <w:top w:val="single" w:color="auto" w:sz="4" w:space="0"/>
              <w:left w:val="single" w:color="auto" w:sz="4" w:space="0"/>
              <w:bottom w:val="single" w:color="auto" w:sz="4" w:space="0"/>
              <w:right w:val="single" w:color="auto" w:sz="4" w:space="0"/>
            </w:tcBorders>
            <w:vAlign w:val="center"/>
          </w:tcPr>
          <w:p w14:paraId="64175973">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坝高</w:t>
            </w:r>
          </w:p>
        </w:tc>
        <w:tc>
          <w:tcPr>
            <w:tcW w:w="1560" w:type="pct"/>
            <w:tcBorders>
              <w:top w:val="single" w:color="auto" w:sz="4" w:space="0"/>
              <w:left w:val="single" w:color="auto" w:sz="4" w:space="0"/>
              <w:bottom w:val="single" w:color="auto" w:sz="4" w:space="0"/>
              <w:right w:val="single" w:color="auto" w:sz="4" w:space="0"/>
            </w:tcBorders>
            <w:vAlign w:val="center"/>
          </w:tcPr>
          <w:p w14:paraId="299A3FA8">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w:t>
            </w:r>
          </w:p>
        </w:tc>
        <w:tc>
          <w:tcPr>
            <w:tcW w:w="1560" w:type="pct"/>
            <w:tcBorders>
              <w:top w:val="single" w:color="auto" w:sz="4" w:space="0"/>
              <w:left w:val="single" w:color="auto" w:sz="4" w:space="0"/>
              <w:bottom w:val="single" w:color="auto" w:sz="4" w:space="0"/>
              <w:right w:val="single" w:color="auto" w:sz="4" w:space="0"/>
            </w:tcBorders>
            <w:vAlign w:val="center"/>
          </w:tcPr>
          <w:p w14:paraId="6D129477">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＞20</w:t>
            </w:r>
          </w:p>
        </w:tc>
      </w:tr>
      <w:tr w14:paraId="7658AE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878" w:type="pct"/>
            <w:tcBorders>
              <w:top w:val="single" w:color="auto" w:sz="4" w:space="0"/>
              <w:left w:val="single" w:color="auto" w:sz="4" w:space="0"/>
              <w:bottom w:val="single" w:color="auto" w:sz="4" w:space="0"/>
              <w:right w:val="single" w:color="auto" w:sz="4" w:space="0"/>
            </w:tcBorders>
            <w:vAlign w:val="center"/>
          </w:tcPr>
          <w:p w14:paraId="0920350D">
            <w:pPr>
              <w:spacing w:line="360" w:lineRule="auto"/>
              <w:jc w:val="center"/>
              <w:rPr>
                <w:rFonts w:ascii="Times New Roman" w:hAnsi="Times New Roman" w:cs="Times New Roman"/>
                <w:kern w:val="0"/>
                <w:sz w:val="15"/>
                <w:szCs w:val="15"/>
              </w:rPr>
            </w:pPr>
            <w:r>
              <w:rPr>
                <w:rFonts w:ascii="Times New Roman" w:hAnsi="Times New Roman" w:cs="Times New Roman"/>
                <w:kern w:val="0"/>
                <w:sz w:val="15"/>
                <w:szCs w:val="15"/>
              </w:rPr>
              <w:t>安全超高</w:t>
            </w:r>
          </w:p>
        </w:tc>
        <w:tc>
          <w:tcPr>
            <w:tcW w:w="1560" w:type="pct"/>
            <w:tcBorders>
              <w:top w:val="single" w:color="auto" w:sz="4" w:space="0"/>
              <w:left w:val="single" w:color="auto" w:sz="4" w:space="0"/>
              <w:bottom w:val="single" w:color="auto" w:sz="4" w:space="0"/>
              <w:right w:val="single" w:color="auto" w:sz="4" w:space="0"/>
            </w:tcBorders>
            <w:vAlign w:val="center"/>
          </w:tcPr>
          <w:p w14:paraId="0B46E8A5">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1.0～1.5</w:t>
            </w:r>
          </w:p>
        </w:tc>
        <w:tc>
          <w:tcPr>
            <w:tcW w:w="1560" w:type="pct"/>
            <w:tcBorders>
              <w:top w:val="single" w:color="auto" w:sz="4" w:space="0"/>
              <w:left w:val="single" w:color="auto" w:sz="4" w:space="0"/>
              <w:bottom w:val="single" w:color="auto" w:sz="4" w:space="0"/>
              <w:right w:val="single" w:color="auto" w:sz="4" w:space="0"/>
            </w:tcBorders>
            <w:vAlign w:val="center"/>
          </w:tcPr>
          <w:p w14:paraId="563CF687">
            <w:pPr>
              <w:spacing w:line="360" w:lineRule="auto"/>
              <w:ind w:firstLine="12"/>
              <w:jc w:val="center"/>
              <w:rPr>
                <w:rFonts w:ascii="Times New Roman" w:hAnsi="Times New Roman" w:cs="Times New Roman"/>
                <w:kern w:val="0"/>
                <w:sz w:val="15"/>
                <w:szCs w:val="15"/>
              </w:rPr>
            </w:pPr>
            <w:r>
              <w:rPr>
                <w:rFonts w:ascii="Times New Roman" w:hAnsi="Times New Roman" w:cs="Times New Roman"/>
                <w:kern w:val="0"/>
                <w:sz w:val="15"/>
                <w:szCs w:val="15"/>
              </w:rPr>
              <w:t>1.5～2.0</w:t>
            </w:r>
          </w:p>
        </w:tc>
      </w:tr>
    </w:tbl>
    <w:p w14:paraId="69124834">
      <w:pPr>
        <w:spacing w:line="360" w:lineRule="auto"/>
        <w:rPr>
          <w:rFonts w:ascii="Times New Roman" w:hAnsi="Times New Roman" w:cs="Times New Roman"/>
          <w:sz w:val="21"/>
        </w:rPr>
      </w:pPr>
      <w:r>
        <w:rPr>
          <w:rFonts w:ascii="Times New Roman" w:hAnsi="Times New Roman" w:cs="Times New Roman"/>
          <w:b/>
          <w:sz w:val="21"/>
        </w:rPr>
        <w:t>5.5.11</w:t>
      </w:r>
      <w:r>
        <w:rPr>
          <w:rFonts w:ascii="Times New Roman" w:hAnsi="Times New Roman" w:cs="Times New Roman"/>
          <w:sz w:val="21"/>
        </w:rPr>
        <w:t xml:space="preserve">  拦洪坝可采用土石坝、砌石坝和混凝土重力坝等形式，应综合考虑坝址地形地质条件、筑坝材料来源等因素，经技术经济比选后确定。</w:t>
      </w:r>
    </w:p>
    <w:p w14:paraId="4FED3A54">
      <w:pPr>
        <w:spacing w:line="360" w:lineRule="auto"/>
        <w:rPr>
          <w:rFonts w:ascii="Times New Roman" w:hAnsi="Times New Roman" w:cs="Times New Roman"/>
          <w:sz w:val="21"/>
        </w:rPr>
      </w:pPr>
      <w:r>
        <w:rPr>
          <w:rFonts w:ascii="Times New Roman" w:hAnsi="Times New Roman" w:cs="Times New Roman"/>
          <w:b/>
          <w:sz w:val="21"/>
        </w:rPr>
        <w:t>5.5.12</w:t>
      </w:r>
      <w:r>
        <w:rPr>
          <w:rFonts w:ascii="Times New Roman" w:hAnsi="Times New Roman" w:cs="Times New Roman"/>
          <w:sz w:val="21"/>
        </w:rPr>
        <w:t xml:space="preserve">  拦洪坝坝体设计应主要包括坝体断面及结构设计、坝体稳定计算等，土石坝、砌石坝、混凝土重力坝的坝体设计应按照《小型水利水电工程碾压式土石坝设计规范》SL 189、《碾压式土石坝设计规范》SL 274、《砌石坝设计规范》SL 25、《混凝土重力坝设计规范》SL 319执行。</w:t>
      </w:r>
    </w:p>
    <w:p w14:paraId="279092E1">
      <w:pPr>
        <w:spacing w:line="360" w:lineRule="auto"/>
        <w:rPr>
          <w:rFonts w:ascii="Times New Roman" w:hAnsi="Times New Roman" w:cs="Times New Roman"/>
          <w:sz w:val="21"/>
        </w:rPr>
      </w:pPr>
      <w:r>
        <w:rPr>
          <w:rFonts w:ascii="Times New Roman" w:hAnsi="Times New Roman" w:cs="Times New Roman"/>
          <w:b/>
          <w:sz w:val="21"/>
        </w:rPr>
        <w:t>5.5.13</w:t>
      </w:r>
      <w:r>
        <w:rPr>
          <w:rFonts w:ascii="Times New Roman" w:hAnsi="Times New Roman" w:cs="Times New Roman"/>
          <w:sz w:val="21"/>
        </w:rPr>
        <w:t xml:space="preserve">  拦洪坝基础处理应根据地质条件、地基与其上部结构之间的相互关系、防渗透要求、筑坝材料和施工方法等因素综合研究后确定。</w:t>
      </w:r>
    </w:p>
    <w:p w14:paraId="4E006855">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Ⅲ </w:t>
      </w:r>
      <w:r>
        <w:rPr>
          <w:rFonts w:ascii="Times New Roman" w:hAnsi="Times New Roman" w:eastAsia="黑体" w:cs="Times New Roman"/>
          <w:bCs/>
          <w:sz w:val="24"/>
          <w:szCs w:val="24"/>
        </w:rPr>
        <w:t>排洪工程</w:t>
      </w:r>
    </w:p>
    <w:p w14:paraId="33D6A700">
      <w:pPr>
        <w:tabs>
          <w:tab w:val="center" w:pos="4153"/>
        </w:tabs>
        <w:spacing w:line="360" w:lineRule="auto"/>
        <w:rPr>
          <w:rFonts w:ascii="Times New Roman" w:hAnsi="Times New Roman" w:cs="Times New Roman"/>
          <w:sz w:val="21"/>
        </w:rPr>
      </w:pPr>
      <w:r>
        <w:rPr>
          <w:rFonts w:ascii="Times New Roman" w:hAnsi="Times New Roman" w:cs="Times New Roman"/>
          <w:b/>
          <w:sz w:val="21"/>
        </w:rPr>
        <w:t>5.5.14</w:t>
      </w:r>
      <w:r>
        <w:rPr>
          <w:rFonts w:ascii="Times New Roman" w:hAnsi="Times New Roman" w:cs="Times New Roman"/>
          <w:sz w:val="21"/>
        </w:rPr>
        <w:t xml:space="preserve">  排洪工程的类型主要包括排洪渠、排洪涵洞及排洪隧洞，应根据场地地形地质、水文、施工等条件，经技术经济比较后确定。</w:t>
      </w:r>
    </w:p>
    <w:p w14:paraId="1CF2E7AD">
      <w:pPr>
        <w:spacing w:line="360" w:lineRule="auto"/>
        <w:rPr>
          <w:rFonts w:ascii="Times New Roman" w:hAnsi="Times New Roman" w:cs="Times New Roman"/>
          <w:sz w:val="21"/>
        </w:rPr>
      </w:pPr>
      <w:r>
        <w:rPr>
          <w:rFonts w:ascii="Times New Roman" w:hAnsi="Times New Roman" w:cs="Times New Roman"/>
          <w:b/>
          <w:sz w:val="21"/>
        </w:rPr>
        <w:t>5.5.15</w:t>
      </w:r>
      <w:r>
        <w:rPr>
          <w:rFonts w:ascii="Times New Roman" w:hAnsi="Times New Roman" w:cs="Times New Roman"/>
          <w:sz w:val="21"/>
        </w:rPr>
        <w:t xml:space="preserve">  排洪渠、排洪涵洞水力计算应包括过流能力计算、水面线计算、消能防冲计算。</w:t>
      </w:r>
    </w:p>
    <w:p w14:paraId="234EB545">
      <w:pPr>
        <w:spacing w:line="360" w:lineRule="auto"/>
        <w:rPr>
          <w:rFonts w:ascii="Times New Roman" w:hAnsi="Times New Roman" w:cs="Times New Roman"/>
          <w:sz w:val="21"/>
        </w:rPr>
      </w:pPr>
      <w:r>
        <w:rPr>
          <w:rFonts w:ascii="Times New Roman" w:hAnsi="Times New Roman" w:cs="Times New Roman"/>
          <w:b/>
          <w:sz w:val="21"/>
        </w:rPr>
        <w:t>5.5.16</w:t>
      </w:r>
      <w:r>
        <w:rPr>
          <w:rFonts w:ascii="Times New Roman" w:hAnsi="Times New Roman" w:cs="Times New Roman"/>
          <w:sz w:val="21"/>
        </w:rPr>
        <w:t xml:space="preserve">  排洪隧洞水力计算应按照《水工隧洞设计规范》SL</w:t>
      </w:r>
      <w:r>
        <w:rPr>
          <w:rFonts w:hint="eastAsia" w:ascii="Times New Roman" w:hAnsi="Times New Roman" w:cs="Times New Roman"/>
          <w:sz w:val="21"/>
        </w:rPr>
        <w:t xml:space="preserve"> </w:t>
      </w:r>
      <w:r>
        <w:rPr>
          <w:rFonts w:ascii="Times New Roman" w:hAnsi="Times New Roman" w:cs="Times New Roman"/>
          <w:sz w:val="21"/>
        </w:rPr>
        <w:t>279执行。</w:t>
      </w:r>
    </w:p>
    <w:p w14:paraId="4B5E3FF1">
      <w:pPr>
        <w:spacing w:line="360" w:lineRule="auto"/>
        <w:rPr>
          <w:rFonts w:ascii="Times New Roman" w:hAnsi="Times New Roman" w:cs="Times New Roman"/>
          <w:sz w:val="21"/>
        </w:rPr>
      </w:pPr>
      <w:r>
        <w:rPr>
          <w:rFonts w:ascii="Times New Roman" w:hAnsi="Times New Roman" w:cs="Times New Roman"/>
          <w:b/>
          <w:sz w:val="21"/>
        </w:rPr>
        <w:t>5.5.17</w:t>
      </w:r>
      <w:r>
        <w:rPr>
          <w:rFonts w:ascii="Times New Roman" w:hAnsi="Times New Roman" w:cs="Times New Roman"/>
          <w:sz w:val="21"/>
        </w:rPr>
        <w:t xml:space="preserve">  排洪渠设计应符合下列规定： </w:t>
      </w:r>
    </w:p>
    <w:p w14:paraId="194EE8FA">
      <w:pPr>
        <w:spacing w:line="360" w:lineRule="auto"/>
        <w:ind w:firstLine="422" w:firstLineChars="200"/>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渠线一般布置在弃渣场渣顶边缘，宜选择地形坡度缓、地质条件良好的线路，并力求顺直。</w:t>
      </w:r>
    </w:p>
    <w:p w14:paraId="50DF1C30">
      <w:pPr>
        <w:spacing w:line="360" w:lineRule="auto"/>
        <w:ind w:firstLine="422" w:firstLineChars="200"/>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纵坡宜根据渠线、地形、地质及连接条件等因素确定，高差较大时，应设置急流槽或跌水。</w:t>
      </w:r>
    </w:p>
    <w:p w14:paraId="53CDCBAA">
      <w:pPr>
        <w:spacing w:line="360" w:lineRule="auto"/>
        <w:ind w:firstLine="422" w:firstLineChars="200"/>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弯曲段的轴线弯曲半径不应小于该弯道段水面宽度的5倍，受条件限制不满足要求的，应采取防冲措施。急流槽应采取分段消能，单槽段不应设置弯道。</w:t>
      </w:r>
    </w:p>
    <w:p w14:paraId="55C513E7">
      <w:pPr>
        <w:spacing w:line="360" w:lineRule="auto"/>
        <w:ind w:firstLine="422" w:firstLineChars="200"/>
        <w:rPr>
          <w:rFonts w:ascii="Times New Roman" w:hAnsi="Times New Roman" w:cs="Times New Roman"/>
          <w:sz w:val="21"/>
        </w:rPr>
      </w:pPr>
      <w:r>
        <w:rPr>
          <w:rFonts w:ascii="Times New Roman" w:hAnsi="Times New Roman" w:cs="Times New Roman"/>
          <w:b/>
          <w:sz w:val="21"/>
        </w:rPr>
        <w:t>4</w:t>
      </w:r>
      <w:r>
        <w:rPr>
          <w:rFonts w:ascii="Times New Roman" w:hAnsi="Times New Roman" w:cs="Times New Roman"/>
          <w:sz w:val="21"/>
        </w:rPr>
        <w:t xml:space="preserve">  排洪渠断面型式可采用梯形或矩形，断面变化处应采用渐变段衔接，其长度可取水面宽的5倍～20倍。排洪渠进出口宜布置八字形导洪翼墙，翼墙纵向布置应与原沟道洪水流向衔接顺畅，与渣体相接的翼墙应按不允许漫顶确定墙顶高程，长度可取设计水深的3倍～4倍，翼墙的设计宜参照《水工挡土墙设计规范》SL 379的规定执行。集中排洪流速较大时，应结合排洪建筑物出口处地形地质条件和抗冲能力布置消能防冲设施。</w:t>
      </w:r>
    </w:p>
    <w:p w14:paraId="5B8356E7">
      <w:pPr>
        <w:spacing w:line="360" w:lineRule="auto"/>
        <w:ind w:firstLine="422" w:firstLineChars="200"/>
        <w:rPr>
          <w:rFonts w:ascii="Times New Roman" w:hAnsi="Times New Roman" w:cs="Times New Roman"/>
          <w:sz w:val="21"/>
        </w:rPr>
      </w:pPr>
      <w:r>
        <w:rPr>
          <w:rFonts w:ascii="Times New Roman" w:hAnsi="Times New Roman" w:cs="Times New Roman"/>
          <w:b/>
          <w:sz w:val="21"/>
        </w:rPr>
        <w:t>5</w:t>
      </w:r>
      <w:r>
        <w:rPr>
          <w:rFonts w:ascii="Times New Roman" w:hAnsi="Times New Roman" w:cs="Times New Roman"/>
          <w:sz w:val="21"/>
        </w:rPr>
        <w:t xml:space="preserve">  根据设计排水流量确定排洪渠过水断面的主要尺寸和设计水深，排洪渠安全超高经验值应按表5.5.1</w:t>
      </w:r>
      <w:r>
        <w:rPr>
          <w:rFonts w:hint="eastAsia" w:ascii="Times New Roman" w:hAnsi="Times New Roman" w:cs="Times New Roman"/>
          <w:sz w:val="21"/>
        </w:rPr>
        <w:t>7</w:t>
      </w:r>
      <w:r>
        <w:rPr>
          <w:rFonts w:ascii="Times New Roman" w:hAnsi="Times New Roman" w:cs="Times New Roman"/>
          <w:sz w:val="21"/>
        </w:rPr>
        <w:t>的规定确定；弯曲段安全超高还应计入凹岸侧水位雍高值。</w:t>
      </w:r>
    </w:p>
    <w:p w14:paraId="4F3A279C">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5</w:t>
      </w:r>
      <w:r>
        <w:rPr>
          <w:rFonts w:ascii="Times New Roman" w:hAnsi="Times New Roman" w:cs="Times New Roman"/>
          <w:sz w:val="18"/>
          <w:szCs w:val="18"/>
        </w:rPr>
        <w:t>.</w:t>
      </w:r>
      <w:r>
        <w:rPr>
          <w:rFonts w:ascii="Times New Roman" w:hAnsi="Times New Roman" w:eastAsia="黑体" w:cs="Times New Roman"/>
          <w:sz w:val="18"/>
          <w:szCs w:val="18"/>
        </w:rPr>
        <w:t>1</w:t>
      </w:r>
      <w:r>
        <w:rPr>
          <w:rFonts w:hint="eastAsia" w:ascii="Times New Roman" w:hAnsi="Times New Roman" w:eastAsia="黑体" w:cs="Times New Roman"/>
          <w:sz w:val="18"/>
          <w:szCs w:val="18"/>
        </w:rPr>
        <w:t>7</w:t>
      </w:r>
      <w:r>
        <w:rPr>
          <w:rFonts w:ascii="Times New Roman" w:hAnsi="Times New Roman" w:eastAsia="黑体" w:cs="Times New Roman"/>
          <w:sz w:val="18"/>
          <w:szCs w:val="18"/>
        </w:rPr>
        <w:t xml:space="preserve">  拦洪渠安全超高经验值（m）</w:t>
      </w:r>
    </w:p>
    <w:tbl>
      <w:tblPr>
        <w:tblStyle w:val="10"/>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109"/>
        <w:gridCol w:w="2582"/>
        <w:gridCol w:w="2583"/>
      </w:tblGrid>
      <w:tr w14:paraId="6DA4FA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878" w:type="pct"/>
            <w:tcBorders>
              <w:top w:val="single" w:color="auto" w:sz="4" w:space="0"/>
              <w:left w:val="single" w:color="auto" w:sz="4" w:space="0"/>
              <w:bottom w:val="single" w:color="auto" w:sz="4" w:space="0"/>
              <w:right w:val="single" w:color="auto" w:sz="4" w:space="0"/>
            </w:tcBorders>
            <w:vAlign w:val="center"/>
          </w:tcPr>
          <w:p w14:paraId="4BF776FE">
            <w:pPr>
              <w:jc w:val="center"/>
              <w:rPr>
                <w:rFonts w:ascii="Times New Roman" w:hAnsi="Times New Roman" w:cs="Times New Roman"/>
                <w:kern w:val="0"/>
                <w:sz w:val="15"/>
                <w:szCs w:val="15"/>
              </w:rPr>
            </w:pPr>
            <w:r>
              <w:rPr>
                <w:rFonts w:ascii="Times New Roman" w:hAnsi="Times New Roman" w:cs="Times New Roman"/>
                <w:kern w:val="0"/>
                <w:sz w:val="15"/>
                <w:szCs w:val="15"/>
              </w:rPr>
              <w:t>级别</w:t>
            </w:r>
          </w:p>
        </w:tc>
        <w:tc>
          <w:tcPr>
            <w:tcW w:w="1560" w:type="pct"/>
            <w:tcBorders>
              <w:top w:val="single" w:color="auto" w:sz="4" w:space="0"/>
              <w:left w:val="single" w:color="auto" w:sz="4" w:space="0"/>
              <w:bottom w:val="single" w:color="auto" w:sz="4" w:space="0"/>
              <w:right w:val="single" w:color="auto" w:sz="4" w:space="0"/>
            </w:tcBorders>
            <w:vAlign w:val="center"/>
          </w:tcPr>
          <w:p w14:paraId="4A226885">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1～3</w:t>
            </w:r>
          </w:p>
        </w:tc>
        <w:tc>
          <w:tcPr>
            <w:tcW w:w="1560" w:type="pct"/>
            <w:tcBorders>
              <w:top w:val="single" w:color="auto" w:sz="4" w:space="0"/>
              <w:left w:val="single" w:color="auto" w:sz="4" w:space="0"/>
              <w:bottom w:val="single" w:color="auto" w:sz="4" w:space="0"/>
              <w:right w:val="single" w:color="auto" w:sz="4" w:space="0"/>
            </w:tcBorders>
            <w:vAlign w:val="center"/>
          </w:tcPr>
          <w:p w14:paraId="089DC2D0">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4、5</w:t>
            </w:r>
          </w:p>
        </w:tc>
      </w:tr>
      <w:tr w14:paraId="4129A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878" w:type="pct"/>
            <w:tcBorders>
              <w:top w:val="single" w:color="auto" w:sz="4" w:space="0"/>
              <w:left w:val="single" w:color="auto" w:sz="4" w:space="0"/>
              <w:bottom w:val="single" w:color="auto" w:sz="4" w:space="0"/>
              <w:right w:val="single" w:color="auto" w:sz="4" w:space="0"/>
            </w:tcBorders>
            <w:vAlign w:val="center"/>
          </w:tcPr>
          <w:p w14:paraId="10F99CF1">
            <w:pPr>
              <w:jc w:val="center"/>
              <w:rPr>
                <w:rFonts w:ascii="Times New Roman" w:hAnsi="Times New Roman" w:cs="Times New Roman"/>
                <w:kern w:val="0"/>
                <w:sz w:val="15"/>
                <w:szCs w:val="15"/>
              </w:rPr>
            </w:pPr>
            <w:r>
              <w:rPr>
                <w:rFonts w:ascii="Times New Roman" w:hAnsi="Times New Roman" w:cs="Times New Roman"/>
                <w:kern w:val="0"/>
                <w:sz w:val="15"/>
                <w:szCs w:val="15"/>
              </w:rPr>
              <w:t>设计安全超高</w:t>
            </w:r>
          </w:p>
        </w:tc>
        <w:tc>
          <w:tcPr>
            <w:tcW w:w="1560" w:type="pct"/>
            <w:tcBorders>
              <w:top w:val="single" w:color="auto" w:sz="4" w:space="0"/>
              <w:left w:val="single" w:color="auto" w:sz="4" w:space="0"/>
              <w:bottom w:val="single" w:color="auto" w:sz="4" w:space="0"/>
              <w:right w:val="single" w:color="auto" w:sz="4" w:space="0"/>
            </w:tcBorders>
            <w:vAlign w:val="center"/>
          </w:tcPr>
          <w:p w14:paraId="5EEAAA04">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0.8～0.5</w:t>
            </w:r>
          </w:p>
        </w:tc>
        <w:tc>
          <w:tcPr>
            <w:tcW w:w="1560" w:type="pct"/>
            <w:tcBorders>
              <w:top w:val="single" w:color="auto" w:sz="4" w:space="0"/>
              <w:left w:val="single" w:color="auto" w:sz="4" w:space="0"/>
              <w:bottom w:val="single" w:color="auto" w:sz="4" w:space="0"/>
              <w:right w:val="single" w:color="auto" w:sz="4" w:space="0"/>
            </w:tcBorders>
            <w:vAlign w:val="center"/>
          </w:tcPr>
          <w:p w14:paraId="210AF5AF">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0.6～0.4</w:t>
            </w:r>
          </w:p>
        </w:tc>
      </w:tr>
      <w:tr w14:paraId="3B12A9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878" w:type="pct"/>
            <w:tcBorders>
              <w:top w:val="single" w:color="auto" w:sz="4" w:space="0"/>
              <w:left w:val="single" w:color="auto" w:sz="4" w:space="0"/>
              <w:bottom w:val="single" w:color="auto" w:sz="4" w:space="0"/>
              <w:right w:val="single" w:color="auto" w:sz="4" w:space="0"/>
            </w:tcBorders>
            <w:vAlign w:val="center"/>
          </w:tcPr>
          <w:p w14:paraId="6CDBD6EC">
            <w:pPr>
              <w:jc w:val="center"/>
              <w:rPr>
                <w:rFonts w:ascii="Times New Roman" w:hAnsi="Times New Roman" w:cs="Times New Roman"/>
                <w:kern w:val="0"/>
                <w:sz w:val="15"/>
                <w:szCs w:val="15"/>
              </w:rPr>
            </w:pPr>
            <w:r>
              <w:rPr>
                <w:rFonts w:ascii="Times New Roman" w:hAnsi="Times New Roman" w:cs="Times New Roman"/>
                <w:kern w:val="0"/>
                <w:sz w:val="15"/>
                <w:szCs w:val="15"/>
              </w:rPr>
              <w:t>校核安全超高</w:t>
            </w:r>
          </w:p>
        </w:tc>
        <w:tc>
          <w:tcPr>
            <w:tcW w:w="1560" w:type="pct"/>
            <w:tcBorders>
              <w:top w:val="single" w:color="auto" w:sz="4" w:space="0"/>
              <w:left w:val="single" w:color="auto" w:sz="4" w:space="0"/>
              <w:bottom w:val="single" w:color="auto" w:sz="4" w:space="0"/>
              <w:right w:val="single" w:color="auto" w:sz="4" w:space="0"/>
            </w:tcBorders>
            <w:vAlign w:val="center"/>
          </w:tcPr>
          <w:p w14:paraId="07CBD44E">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0.6～0.4</w:t>
            </w:r>
          </w:p>
        </w:tc>
        <w:tc>
          <w:tcPr>
            <w:tcW w:w="1560" w:type="pct"/>
            <w:tcBorders>
              <w:top w:val="single" w:color="auto" w:sz="4" w:space="0"/>
              <w:left w:val="single" w:color="auto" w:sz="4" w:space="0"/>
              <w:bottom w:val="single" w:color="auto" w:sz="4" w:space="0"/>
              <w:right w:val="single" w:color="auto" w:sz="4" w:space="0"/>
            </w:tcBorders>
            <w:vAlign w:val="center"/>
          </w:tcPr>
          <w:p w14:paraId="37E04D45">
            <w:pPr>
              <w:ind w:firstLine="12"/>
              <w:jc w:val="center"/>
              <w:rPr>
                <w:rFonts w:ascii="Times New Roman" w:hAnsi="Times New Roman" w:cs="Times New Roman"/>
                <w:kern w:val="0"/>
                <w:sz w:val="15"/>
                <w:szCs w:val="15"/>
              </w:rPr>
            </w:pPr>
            <w:r>
              <w:rPr>
                <w:rFonts w:ascii="Times New Roman" w:hAnsi="Times New Roman" w:cs="Times New Roman"/>
                <w:kern w:val="0"/>
                <w:sz w:val="15"/>
                <w:szCs w:val="15"/>
              </w:rPr>
              <w:t>0.5～0.3</w:t>
            </w:r>
          </w:p>
        </w:tc>
      </w:tr>
    </w:tbl>
    <w:p w14:paraId="1FD0CBAF">
      <w:pPr>
        <w:spacing w:line="360" w:lineRule="auto"/>
        <w:ind w:firstLine="422" w:firstLineChars="200"/>
        <w:rPr>
          <w:rFonts w:ascii="Times New Roman" w:hAnsi="Times New Roman" w:cs="Times New Roman"/>
          <w:sz w:val="21"/>
        </w:rPr>
      </w:pPr>
      <w:r>
        <w:rPr>
          <w:rFonts w:ascii="Times New Roman" w:hAnsi="Times New Roman" w:cs="Times New Roman"/>
          <w:b/>
          <w:sz w:val="21"/>
        </w:rPr>
        <w:t>6</w:t>
      </w:r>
      <w:r>
        <w:rPr>
          <w:rFonts w:ascii="Times New Roman" w:hAnsi="Times New Roman" w:cs="Times New Roman"/>
          <w:sz w:val="21"/>
        </w:rPr>
        <w:t xml:space="preserve">  排洪渠内水流的流速应满足不淤要求，其渠道材料应满足抗冲要求。</w:t>
      </w:r>
    </w:p>
    <w:p w14:paraId="59A3D150">
      <w:pPr>
        <w:spacing w:line="360" w:lineRule="auto"/>
        <w:ind w:firstLine="422" w:firstLineChars="200"/>
        <w:rPr>
          <w:rFonts w:ascii="Times New Roman" w:hAnsi="Times New Roman" w:cs="Times New Roman"/>
          <w:sz w:val="21"/>
        </w:rPr>
      </w:pPr>
      <w:r>
        <w:rPr>
          <w:rFonts w:ascii="Times New Roman" w:hAnsi="Times New Roman" w:cs="Times New Roman"/>
          <w:b/>
          <w:sz w:val="21"/>
        </w:rPr>
        <w:t>7</w:t>
      </w:r>
      <w:r>
        <w:rPr>
          <w:rFonts w:ascii="Times New Roman" w:hAnsi="Times New Roman" w:cs="Times New Roman"/>
          <w:sz w:val="21"/>
        </w:rPr>
        <w:t xml:space="preserve">  排洪渠宜布设在岩石基础上，当布设在土质或填方基础上时，应开展承载力验算，不满足要求时，采取地基处理措施。</w:t>
      </w:r>
    </w:p>
    <w:p w14:paraId="1152D517">
      <w:pPr>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8 </w:t>
      </w:r>
      <w:r>
        <w:rPr>
          <w:rFonts w:ascii="Times New Roman" w:hAnsi="Times New Roman" w:cs="Times New Roman"/>
          <w:sz w:val="21"/>
        </w:rPr>
        <w:t xml:space="preserve"> 地下水位高于排洪渠基础底部时，应进行抗浮稳定计算。</w:t>
      </w:r>
    </w:p>
    <w:p w14:paraId="4F0F3CD0">
      <w:pPr>
        <w:spacing w:line="360" w:lineRule="auto"/>
        <w:rPr>
          <w:rFonts w:ascii="Times New Roman" w:hAnsi="Times New Roman" w:cs="Times New Roman"/>
          <w:sz w:val="21"/>
        </w:rPr>
      </w:pPr>
      <w:r>
        <w:rPr>
          <w:rFonts w:ascii="Times New Roman" w:hAnsi="Times New Roman" w:cs="Times New Roman"/>
          <w:b/>
          <w:sz w:val="21"/>
        </w:rPr>
        <w:t>5.5.18</w:t>
      </w:r>
      <w:r>
        <w:rPr>
          <w:rFonts w:ascii="Times New Roman" w:hAnsi="Times New Roman" w:cs="Times New Roman"/>
          <w:sz w:val="21"/>
        </w:rPr>
        <w:t xml:space="preserve">  排洪涵洞设计应符合下列规定：</w:t>
      </w:r>
    </w:p>
    <w:p w14:paraId="5D991ACA">
      <w:pPr>
        <w:widowControl/>
        <w:spacing w:line="360" w:lineRule="auto"/>
        <w:ind w:firstLine="422" w:firstLineChars="200"/>
        <w:rPr>
          <w:rFonts w:ascii="Times New Roman" w:hAnsi="Times New Roman" w:cs="Times New Roman"/>
          <w:sz w:val="21"/>
          <w:lang w:bidi="ar"/>
        </w:rPr>
      </w:pPr>
      <w:r>
        <w:rPr>
          <w:rFonts w:ascii="Times New Roman" w:hAnsi="Times New Roman" w:cs="Times New Roman"/>
          <w:b/>
          <w:sz w:val="21"/>
          <w:lang w:bidi="ar"/>
        </w:rPr>
        <w:t>1</w:t>
      </w:r>
      <w:r>
        <w:rPr>
          <w:rFonts w:ascii="Times New Roman" w:hAnsi="Times New Roman" w:cs="Times New Roman"/>
          <w:sz w:val="21"/>
          <w:lang w:bidi="ar"/>
        </w:rPr>
        <w:t xml:space="preserve">  轴线宜为直线，进出口水流宜平顺。</w:t>
      </w:r>
    </w:p>
    <w:p w14:paraId="5749A1C4">
      <w:pPr>
        <w:widowControl/>
        <w:spacing w:line="360" w:lineRule="auto"/>
        <w:ind w:firstLine="422" w:firstLineChars="200"/>
        <w:rPr>
          <w:rFonts w:ascii="Times New Roman" w:hAnsi="Times New Roman" w:cs="Times New Roman"/>
          <w:sz w:val="21"/>
        </w:rPr>
      </w:pPr>
      <w:r>
        <w:rPr>
          <w:rFonts w:ascii="Times New Roman" w:hAnsi="Times New Roman" w:cs="Times New Roman"/>
          <w:b/>
          <w:sz w:val="21"/>
          <w:lang w:bidi="ar"/>
        </w:rPr>
        <w:t>2</w:t>
      </w:r>
      <w:r>
        <w:rPr>
          <w:rFonts w:ascii="Times New Roman" w:hAnsi="Times New Roman" w:cs="Times New Roman"/>
          <w:sz w:val="21"/>
          <w:lang w:bidi="ar"/>
        </w:rPr>
        <w:t xml:space="preserve">  宜采用无压涵洞，涵洞内流态宜采用明流，避免出现明满流状态。</w:t>
      </w:r>
    </w:p>
    <w:p w14:paraId="3BFFC90B">
      <w:pPr>
        <w:numPr>
          <w:ilvl w:val="255"/>
          <w:numId w:val="0"/>
        </w:numPr>
        <w:spacing w:line="360" w:lineRule="auto"/>
        <w:ind w:firstLine="422" w:firstLineChars="200"/>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同一涵洞宜采用同一断面型式。在满足过流能力条件下其横断面应优先选用单孔涵洞，当流量较大时可选用多孔涵洞。多孔涵洞宜采取两孔一联或三孔一联布置，各联之间宜设通缝分离，且缝中应设置止水。</w:t>
      </w:r>
    </w:p>
    <w:p w14:paraId="78496147">
      <w:pPr>
        <w:widowControl/>
        <w:spacing w:line="360" w:lineRule="auto"/>
        <w:ind w:firstLine="422" w:firstLineChars="200"/>
        <w:rPr>
          <w:rFonts w:ascii="Times New Roman" w:hAnsi="Times New Roman" w:cs="Times New Roman"/>
          <w:sz w:val="21"/>
        </w:rPr>
      </w:pPr>
      <w:r>
        <w:rPr>
          <w:rFonts w:ascii="Times New Roman" w:hAnsi="Times New Roman" w:cs="Times New Roman"/>
          <w:b/>
          <w:sz w:val="21"/>
          <w:lang w:bidi="ar"/>
        </w:rPr>
        <w:t xml:space="preserve">4  </w:t>
      </w:r>
      <w:r>
        <w:rPr>
          <w:rFonts w:ascii="Times New Roman" w:hAnsi="Times New Roman" w:cs="Times New Roman"/>
          <w:sz w:val="21"/>
          <w:lang w:bidi="ar"/>
        </w:rPr>
        <w:t>无压涵洞当洞顶填土高度较小时宜选用盖板涵洞或箱涵，涵顶填土高度较大时宜采用城门洞型、蛋型或管涵；小流量涵洞可采用预制圆管涵。</w:t>
      </w:r>
    </w:p>
    <w:p w14:paraId="083CD8EC">
      <w:pPr>
        <w:widowControl/>
        <w:spacing w:line="360" w:lineRule="auto"/>
        <w:ind w:firstLine="422" w:firstLineChars="200"/>
        <w:rPr>
          <w:rFonts w:ascii="Times New Roman" w:hAnsi="Times New Roman" w:cs="Times New Roman"/>
          <w:sz w:val="21"/>
          <w:lang w:bidi="ar"/>
        </w:rPr>
      </w:pPr>
      <w:r>
        <w:rPr>
          <w:rFonts w:ascii="Times New Roman" w:hAnsi="Times New Roman" w:cs="Times New Roman"/>
          <w:b/>
          <w:sz w:val="21"/>
          <w:lang w:bidi="ar"/>
        </w:rPr>
        <w:t>5</w:t>
      </w:r>
      <w:r>
        <w:rPr>
          <w:rFonts w:ascii="Times New Roman" w:hAnsi="Times New Roman" w:cs="Times New Roman"/>
          <w:sz w:val="21"/>
          <w:lang w:bidi="ar"/>
        </w:rPr>
        <w:t xml:space="preserve">  无压涵洞内设计水面以上的净空面积宜取涵洞内横断面面积的15%～30%，且涵洞内顶点至最高水面之间的净空高度应符合表5.5.18的规定，且不应小于0.4m。</w:t>
      </w:r>
    </w:p>
    <w:p w14:paraId="7297D9FB">
      <w:pPr>
        <w:widowControl/>
        <w:jc w:val="center"/>
        <w:rPr>
          <w:rFonts w:ascii="Times New Roman" w:hAnsi="Times New Roman" w:eastAsia="黑体" w:cs="Times New Roman"/>
          <w:sz w:val="18"/>
          <w:szCs w:val="18"/>
        </w:rPr>
      </w:pPr>
      <w:r>
        <w:rPr>
          <w:rFonts w:ascii="Times New Roman" w:hAnsi="Times New Roman" w:eastAsia="黑体" w:cs="Times New Roman"/>
          <w:sz w:val="18"/>
          <w:szCs w:val="18"/>
          <w:lang w:bidi="ar"/>
        </w:rPr>
        <w:t>表5</w:t>
      </w:r>
      <w:r>
        <w:rPr>
          <w:rFonts w:ascii="Times New Roman" w:hAnsi="Times New Roman" w:cs="Times New Roman"/>
          <w:sz w:val="18"/>
          <w:szCs w:val="18"/>
          <w:lang w:bidi="ar"/>
        </w:rPr>
        <w:t>.</w:t>
      </w:r>
      <w:r>
        <w:rPr>
          <w:rFonts w:ascii="Times New Roman" w:hAnsi="Times New Roman" w:eastAsia="黑体" w:cs="Times New Roman"/>
          <w:sz w:val="18"/>
          <w:szCs w:val="18"/>
          <w:lang w:bidi="ar"/>
        </w:rPr>
        <w:t>5</w:t>
      </w:r>
      <w:r>
        <w:rPr>
          <w:rFonts w:ascii="Times New Roman" w:hAnsi="Times New Roman" w:cs="Times New Roman"/>
          <w:sz w:val="18"/>
          <w:szCs w:val="18"/>
          <w:lang w:bidi="ar"/>
        </w:rPr>
        <w:t>.</w:t>
      </w:r>
      <w:r>
        <w:rPr>
          <w:rFonts w:ascii="Times New Roman" w:hAnsi="Times New Roman" w:eastAsia="黑体" w:cs="Times New Roman"/>
          <w:sz w:val="18"/>
          <w:szCs w:val="18"/>
          <w:lang w:bidi="ar"/>
        </w:rPr>
        <w:t>18  涵洞内顶点至最高水面之间的净空高度</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5"/>
        <w:gridCol w:w="2073"/>
        <w:gridCol w:w="2074"/>
        <w:gridCol w:w="2074"/>
      </w:tblGrid>
      <w:tr w14:paraId="1CEC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2075" w:type="dxa"/>
            <w:vMerge w:val="restart"/>
            <w:vAlign w:val="center"/>
          </w:tcPr>
          <w:p w14:paraId="11E431F0">
            <w:pPr>
              <w:numPr>
                <w:ilvl w:val="255"/>
                <w:numId w:val="0"/>
              </w:numPr>
              <w:jc w:val="center"/>
              <w:rPr>
                <w:rFonts w:ascii="Times New Roman" w:hAnsi="Times New Roman" w:cs="Times New Roman"/>
                <w:kern w:val="0"/>
                <w:sz w:val="15"/>
                <w:szCs w:val="15"/>
              </w:rPr>
            </w:pPr>
            <w:r>
              <w:rPr>
                <w:rFonts w:ascii="Times New Roman" w:hAnsi="Times New Roman" w:cs="Times New Roman"/>
                <w:kern w:val="0"/>
                <w:sz w:val="15"/>
                <w:szCs w:val="15"/>
                <w:lang w:bidi="ar"/>
              </w:rPr>
              <w:t>进口净空（m）</w:t>
            </w:r>
          </w:p>
        </w:tc>
        <w:tc>
          <w:tcPr>
            <w:tcW w:w="6221" w:type="dxa"/>
            <w:gridSpan w:val="3"/>
          </w:tcPr>
          <w:p w14:paraId="51355130">
            <w:pPr>
              <w:widowControl/>
              <w:numPr>
                <w:ilvl w:val="255"/>
                <w:numId w:val="0"/>
              </w:numPr>
              <w:jc w:val="center"/>
              <w:rPr>
                <w:rFonts w:ascii="Times New Roman" w:hAnsi="Times New Roman" w:cs="Times New Roman"/>
                <w:kern w:val="0"/>
                <w:sz w:val="15"/>
                <w:szCs w:val="15"/>
              </w:rPr>
            </w:pPr>
            <w:r>
              <w:rPr>
                <w:rFonts w:ascii="Times New Roman" w:hAnsi="Times New Roman" w:cs="Times New Roman"/>
                <w:kern w:val="0"/>
                <w:sz w:val="15"/>
                <w:szCs w:val="15"/>
              </w:rPr>
              <w:t>净空高度（m）</w:t>
            </w:r>
          </w:p>
        </w:tc>
      </w:tr>
      <w:tr w14:paraId="5677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5" w:type="dxa"/>
            <w:vMerge w:val="continue"/>
          </w:tcPr>
          <w:p w14:paraId="5EA4251B">
            <w:pPr>
              <w:numPr>
                <w:ilvl w:val="255"/>
                <w:numId w:val="0"/>
              </w:numPr>
              <w:jc w:val="center"/>
              <w:rPr>
                <w:rFonts w:ascii="Times New Roman" w:hAnsi="Times New Roman" w:cs="Times New Roman"/>
                <w:kern w:val="0"/>
                <w:sz w:val="15"/>
                <w:szCs w:val="15"/>
              </w:rPr>
            </w:pPr>
          </w:p>
        </w:tc>
        <w:tc>
          <w:tcPr>
            <w:tcW w:w="2073" w:type="dxa"/>
          </w:tcPr>
          <w:p w14:paraId="6448DF55">
            <w:pPr>
              <w:numPr>
                <w:ilvl w:val="255"/>
                <w:numId w:val="0"/>
              </w:numPr>
              <w:jc w:val="center"/>
              <w:rPr>
                <w:rFonts w:ascii="Times New Roman" w:hAnsi="Times New Roman" w:cs="Times New Roman"/>
                <w:kern w:val="0"/>
                <w:sz w:val="15"/>
                <w:szCs w:val="15"/>
              </w:rPr>
            </w:pPr>
            <w:r>
              <w:rPr>
                <w:rFonts w:ascii="Times New Roman" w:hAnsi="Times New Roman" w:cs="Times New Roman"/>
                <w:kern w:val="0"/>
                <w:sz w:val="15"/>
                <w:szCs w:val="15"/>
                <w:lang w:bidi="ar"/>
              </w:rPr>
              <w:t xml:space="preserve">圆涵 </w:t>
            </w:r>
          </w:p>
        </w:tc>
        <w:tc>
          <w:tcPr>
            <w:tcW w:w="2074" w:type="dxa"/>
          </w:tcPr>
          <w:p w14:paraId="39F5EFA8">
            <w:pPr>
              <w:numPr>
                <w:ilvl w:val="255"/>
                <w:numId w:val="0"/>
              </w:numPr>
              <w:jc w:val="center"/>
              <w:rPr>
                <w:rFonts w:ascii="Times New Roman" w:hAnsi="Times New Roman" w:cs="Times New Roman"/>
                <w:kern w:val="0"/>
                <w:sz w:val="15"/>
                <w:szCs w:val="15"/>
              </w:rPr>
            </w:pPr>
            <w:r>
              <w:rPr>
                <w:rFonts w:ascii="Times New Roman" w:hAnsi="Times New Roman" w:cs="Times New Roman"/>
                <w:kern w:val="0"/>
                <w:sz w:val="15"/>
                <w:szCs w:val="15"/>
                <w:lang w:bidi="ar"/>
              </w:rPr>
              <w:t>拱涵</w:t>
            </w:r>
          </w:p>
        </w:tc>
        <w:tc>
          <w:tcPr>
            <w:tcW w:w="2074" w:type="dxa"/>
          </w:tcPr>
          <w:p w14:paraId="5A6F5783">
            <w:pPr>
              <w:numPr>
                <w:ilvl w:val="255"/>
                <w:numId w:val="0"/>
              </w:numPr>
              <w:jc w:val="center"/>
              <w:rPr>
                <w:rFonts w:ascii="Times New Roman" w:hAnsi="Times New Roman" w:cs="Times New Roman"/>
                <w:kern w:val="0"/>
                <w:sz w:val="15"/>
                <w:szCs w:val="15"/>
              </w:rPr>
            </w:pPr>
            <w:r>
              <w:rPr>
                <w:rFonts w:ascii="Times New Roman" w:hAnsi="Times New Roman" w:cs="Times New Roman"/>
                <w:kern w:val="0"/>
                <w:sz w:val="15"/>
                <w:szCs w:val="15"/>
                <w:lang w:bidi="ar"/>
              </w:rPr>
              <w:t>矩形涵洞</w:t>
            </w:r>
          </w:p>
        </w:tc>
      </w:tr>
      <w:tr w14:paraId="2F35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075" w:type="dxa"/>
          </w:tcPr>
          <w:p w14:paraId="48D510DE">
            <w:pPr>
              <w:numPr>
                <w:ilvl w:val="255"/>
                <w:numId w:val="0"/>
              </w:numPr>
              <w:jc w:val="center"/>
              <w:rPr>
                <w:rFonts w:ascii="Times New Roman" w:hAnsi="Times New Roman" w:cs="Times New Roman"/>
                <w:kern w:val="0"/>
                <w:sz w:val="15"/>
                <w:szCs w:val="15"/>
              </w:rPr>
            </w:pPr>
            <w:r>
              <w:rPr>
                <w:rFonts w:ascii="Times New Roman" w:hAnsi="Times New Roman" w:cs="Times New Roman"/>
                <w:kern w:val="0"/>
                <w:sz w:val="15"/>
                <w:szCs w:val="15"/>
                <w:lang w:bidi="ar"/>
              </w:rPr>
              <w:t xml:space="preserve">≤3 </w:t>
            </w:r>
          </w:p>
        </w:tc>
        <w:tc>
          <w:tcPr>
            <w:tcW w:w="2073" w:type="dxa"/>
          </w:tcPr>
          <w:p w14:paraId="1264E984">
            <w:pPr>
              <w:numPr>
                <w:ilvl w:val="255"/>
                <w:numId w:val="0"/>
              </w:numPr>
              <w:jc w:val="center"/>
              <w:rPr>
                <w:rFonts w:ascii="Times New Roman" w:hAnsi="Times New Roman" w:cs="Times New Roman"/>
                <w:kern w:val="0"/>
                <w:sz w:val="15"/>
                <w:szCs w:val="15"/>
              </w:rPr>
            </w:pPr>
            <w:r>
              <w:rPr>
                <w:rFonts w:ascii="Times New Roman" w:hAnsi="Times New Roman" w:cs="Times New Roman"/>
                <w:kern w:val="0"/>
                <w:sz w:val="15"/>
                <w:szCs w:val="15"/>
                <w:lang w:bidi="ar"/>
              </w:rPr>
              <w:t>≥D/4</w:t>
            </w:r>
          </w:p>
        </w:tc>
        <w:tc>
          <w:tcPr>
            <w:tcW w:w="2074" w:type="dxa"/>
          </w:tcPr>
          <w:p w14:paraId="64971EA5">
            <w:pPr>
              <w:numPr>
                <w:ilvl w:val="255"/>
                <w:numId w:val="0"/>
              </w:numPr>
              <w:jc w:val="center"/>
              <w:rPr>
                <w:rFonts w:ascii="Times New Roman" w:hAnsi="Times New Roman" w:cs="Times New Roman"/>
                <w:kern w:val="0"/>
                <w:sz w:val="15"/>
                <w:szCs w:val="15"/>
              </w:rPr>
            </w:pPr>
            <w:r>
              <w:rPr>
                <w:rFonts w:ascii="Times New Roman" w:hAnsi="Times New Roman" w:cs="Times New Roman"/>
                <w:kern w:val="0"/>
                <w:sz w:val="15"/>
                <w:szCs w:val="15"/>
                <w:lang w:bidi="ar"/>
              </w:rPr>
              <w:t>≥D/4</w:t>
            </w:r>
          </w:p>
        </w:tc>
        <w:tc>
          <w:tcPr>
            <w:tcW w:w="2074" w:type="dxa"/>
          </w:tcPr>
          <w:p w14:paraId="2BF7A64F">
            <w:pPr>
              <w:numPr>
                <w:ilvl w:val="255"/>
                <w:numId w:val="0"/>
              </w:numPr>
              <w:jc w:val="center"/>
              <w:rPr>
                <w:rFonts w:ascii="Times New Roman" w:hAnsi="Times New Roman" w:cs="Times New Roman"/>
                <w:kern w:val="0"/>
                <w:sz w:val="15"/>
                <w:szCs w:val="15"/>
              </w:rPr>
            </w:pPr>
            <w:r>
              <w:rPr>
                <w:rFonts w:ascii="Times New Roman" w:hAnsi="Times New Roman" w:cs="Times New Roman"/>
                <w:kern w:val="0"/>
                <w:sz w:val="15"/>
                <w:szCs w:val="15"/>
                <w:lang w:bidi="ar"/>
              </w:rPr>
              <w:t>≥D/6</w:t>
            </w:r>
          </w:p>
        </w:tc>
      </w:tr>
      <w:tr w14:paraId="1764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5" w:type="dxa"/>
          </w:tcPr>
          <w:p w14:paraId="44692FB0">
            <w:pPr>
              <w:numPr>
                <w:ilvl w:val="255"/>
                <w:numId w:val="0"/>
              </w:numPr>
              <w:jc w:val="center"/>
              <w:rPr>
                <w:rFonts w:ascii="Times New Roman" w:hAnsi="Times New Roman" w:cs="Times New Roman"/>
                <w:kern w:val="0"/>
                <w:sz w:val="15"/>
                <w:szCs w:val="15"/>
              </w:rPr>
            </w:pPr>
            <w:r>
              <w:rPr>
                <w:rFonts w:ascii="Times New Roman" w:hAnsi="Times New Roman" w:cs="Times New Roman"/>
                <w:kern w:val="0"/>
                <w:sz w:val="15"/>
                <w:szCs w:val="15"/>
                <w:lang w:bidi="ar"/>
              </w:rPr>
              <w:t>＞3</w:t>
            </w:r>
          </w:p>
        </w:tc>
        <w:tc>
          <w:tcPr>
            <w:tcW w:w="2073" w:type="dxa"/>
          </w:tcPr>
          <w:p w14:paraId="21FB6702">
            <w:pPr>
              <w:numPr>
                <w:ilvl w:val="255"/>
                <w:numId w:val="0"/>
              </w:numPr>
              <w:jc w:val="center"/>
              <w:rPr>
                <w:rFonts w:ascii="Times New Roman" w:hAnsi="Times New Roman" w:cs="Times New Roman"/>
                <w:kern w:val="0"/>
                <w:sz w:val="15"/>
                <w:szCs w:val="15"/>
              </w:rPr>
            </w:pPr>
            <w:r>
              <w:rPr>
                <w:rFonts w:ascii="Times New Roman" w:hAnsi="Times New Roman" w:cs="Times New Roman"/>
                <w:kern w:val="0"/>
                <w:sz w:val="15"/>
                <w:szCs w:val="15"/>
                <w:lang w:bidi="ar"/>
              </w:rPr>
              <w:t>≥0.75</w:t>
            </w:r>
          </w:p>
        </w:tc>
        <w:tc>
          <w:tcPr>
            <w:tcW w:w="2074" w:type="dxa"/>
          </w:tcPr>
          <w:p w14:paraId="6C6D7E27">
            <w:pPr>
              <w:numPr>
                <w:ilvl w:val="255"/>
                <w:numId w:val="0"/>
              </w:numPr>
              <w:jc w:val="center"/>
              <w:rPr>
                <w:rFonts w:ascii="Times New Roman" w:hAnsi="Times New Roman" w:cs="Times New Roman"/>
                <w:kern w:val="0"/>
                <w:sz w:val="15"/>
                <w:szCs w:val="15"/>
              </w:rPr>
            </w:pPr>
            <w:r>
              <w:rPr>
                <w:rFonts w:ascii="Times New Roman" w:hAnsi="Times New Roman" w:cs="Times New Roman"/>
                <w:kern w:val="0"/>
                <w:sz w:val="15"/>
                <w:szCs w:val="15"/>
                <w:lang w:bidi="ar"/>
              </w:rPr>
              <w:t>≥0.75</w:t>
            </w:r>
          </w:p>
        </w:tc>
        <w:tc>
          <w:tcPr>
            <w:tcW w:w="2074" w:type="dxa"/>
          </w:tcPr>
          <w:p w14:paraId="740A549E">
            <w:pPr>
              <w:numPr>
                <w:ilvl w:val="255"/>
                <w:numId w:val="0"/>
              </w:numPr>
              <w:jc w:val="center"/>
              <w:rPr>
                <w:rFonts w:ascii="Times New Roman" w:hAnsi="Times New Roman" w:cs="Times New Roman"/>
                <w:kern w:val="0"/>
                <w:sz w:val="15"/>
                <w:szCs w:val="15"/>
              </w:rPr>
            </w:pPr>
            <w:r>
              <w:rPr>
                <w:rFonts w:ascii="Times New Roman" w:hAnsi="Times New Roman" w:cs="Times New Roman"/>
                <w:kern w:val="0"/>
                <w:sz w:val="15"/>
                <w:szCs w:val="15"/>
                <w:lang w:bidi="ar"/>
              </w:rPr>
              <w:t>≥0.5</w:t>
            </w:r>
          </w:p>
        </w:tc>
      </w:tr>
    </w:tbl>
    <w:p w14:paraId="4A901A05">
      <w:pPr>
        <w:numPr>
          <w:ilvl w:val="255"/>
          <w:numId w:val="0"/>
        </w:numPr>
        <w:ind w:firstLine="300" w:firstLineChars="200"/>
        <w:jc w:val="left"/>
        <w:rPr>
          <w:rFonts w:ascii="Times New Roman" w:hAnsi="Times New Roman" w:cs="Times New Roman"/>
          <w:sz w:val="15"/>
          <w:szCs w:val="15"/>
        </w:rPr>
      </w:pPr>
      <w:r>
        <w:rPr>
          <w:rFonts w:ascii="Times New Roman" w:hAnsi="Times New Roman" w:cs="Times New Roman"/>
          <w:sz w:val="15"/>
          <w:szCs w:val="15"/>
        </w:rPr>
        <w:t>注：D为涵洞内侧高度或者圆管涵洞内径，单位为m。</w:t>
      </w:r>
    </w:p>
    <w:p w14:paraId="48B65DD9">
      <w:pPr>
        <w:widowControl/>
        <w:spacing w:line="360" w:lineRule="auto"/>
        <w:ind w:firstLine="422" w:firstLineChars="200"/>
        <w:jc w:val="left"/>
        <w:rPr>
          <w:rFonts w:ascii="Times New Roman" w:hAnsi="Times New Roman" w:cs="Times New Roman"/>
          <w:b/>
          <w:sz w:val="21"/>
        </w:rPr>
      </w:pPr>
      <w:r>
        <w:rPr>
          <w:rFonts w:ascii="Times New Roman" w:hAnsi="Times New Roman" w:cs="Times New Roman"/>
          <w:b/>
          <w:sz w:val="21"/>
        </w:rPr>
        <w:t>6</w:t>
      </w:r>
      <w:r>
        <w:rPr>
          <w:rFonts w:ascii="Times New Roman" w:hAnsi="Times New Roman" w:cs="Times New Roman"/>
          <w:sz w:val="21"/>
        </w:rPr>
        <w:t xml:space="preserve">  不具备进人检修条件时，宜每隔100m～150m设置检查井，走向变化处应加设检查井。</w:t>
      </w:r>
    </w:p>
    <w:p w14:paraId="158085F8">
      <w:pPr>
        <w:widowControl/>
        <w:spacing w:line="360" w:lineRule="auto"/>
        <w:ind w:firstLine="422" w:firstLineChars="200"/>
        <w:jc w:val="left"/>
        <w:rPr>
          <w:rFonts w:ascii="Times New Roman" w:hAnsi="Times New Roman" w:cs="Times New Roman"/>
          <w:sz w:val="21"/>
          <w:lang w:bidi="ar"/>
        </w:rPr>
      </w:pPr>
      <w:r>
        <w:rPr>
          <w:rFonts w:ascii="Times New Roman" w:hAnsi="Times New Roman" w:cs="Times New Roman"/>
          <w:b/>
          <w:sz w:val="21"/>
        </w:rPr>
        <w:t>7</w:t>
      </w:r>
      <w:r>
        <w:rPr>
          <w:rFonts w:ascii="Times New Roman" w:hAnsi="Times New Roman" w:cs="Times New Roman"/>
          <w:sz w:val="21"/>
          <w:lang w:bidi="ar"/>
        </w:rPr>
        <w:t xml:space="preserve">  位于良好地基上的圆涵宜采用浆砌石或混凝土连续刚性弧形管座，其包角为90°～135°。当管径小且地基土层压缩性不大时宜直接置于弧形土基或碎石三合土垫层上。岩基上的圆涵可开槽直接浇筑管身或在槽内铺混凝土垫层再敷设管道。</w:t>
      </w:r>
    </w:p>
    <w:p w14:paraId="151F0F77">
      <w:pPr>
        <w:widowControl/>
        <w:spacing w:line="360" w:lineRule="auto"/>
        <w:ind w:firstLine="422" w:firstLineChars="200"/>
        <w:jc w:val="left"/>
        <w:rPr>
          <w:rFonts w:ascii="Times New Roman" w:hAnsi="Times New Roman" w:cs="Times New Roman"/>
          <w:sz w:val="21"/>
          <w:lang w:bidi="ar"/>
        </w:rPr>
      </w:pPr>
      <w:r>
        <w:rPr>
          <w:rFonts w:ascii="Times New Roman" w:hAnsi="Times New Roman" w:cs="Times New Roman"/>
          <w:b/>
          <w:sz w:val="21"/>
          <w:lang w:bidi="ar"/>
        </w:rPr>
        <w:t>8</w:t>
      </w:r>
      <w:r>
        <w:rPr>
          <w:rFonts w:ascii="Times New Roman" w:hAnsi="Times New Roman" w:cs="Times New Roman"/>
          <w:sz w:val="21"/>
          <w:lang w:bidi="ar"/>
        </w:rPr>
        <w:t xml:space="preserve">  箱涵在不大于地基允许承载力的情况下可不另设基础，仅在底板下设方便施工的水泥砂浆垫层。</w:t>
      </w:r>
    </w:p>
    <w:p w14:paraId="1437A997">
      <w:pPr>
        <w:widowControl/>
        <w:spacing w:line="360" w:lineRule="auto"/>
        <w:ind w:firstLine="422" w:firstLineChars="200"/>
        <w:jc w:val="left"/>
        <w:rPr>
          <w:rFonts w:ascii="Times New Roman" w:hAnsi="Times New Roman" w:cs="Times New Roman"/>
          <w:b/>
          <w:sz w:val="21"/>
          <w:lang w:bidi="ar"/>
        </w:rPr>
      </w:pPr>
      <w:r>
        <w:rPr>
          <w:rFonts w:ascii="Times New Roman" w:hAnsi="Times New Roman" w:cs="Times New Roman"/>
          <w:b/>
          <w:sz w:val="21"/>
          <w:lang w:bidi="ar"/>
        </w:rPr>
        <w:t>9</w:t>
      </w:r>
      <w:r>
        <w:rPr>
          <w:rFonts w:ascii="Times New Roman" w:hAnsi="Times New Roman" w:cs="Times New Roman"/>
          <w:sz w:val="21"/>
          <w:lang w:bidi="ar"/>
        </w:rPr>
        <w:t xml:space="preserve">  涵洞</w:t>
      </w:r>
      <w:r>
        <w:rPr>
          <w:rFonts w:ascii="Times New Roman" w:hAnsi="Times New Roman" w:cs="Times New Roman"/>
          <w:sz w:val="21"/>
        </w:rPr>
        <w:t>宜设置在岩石基础上，</w:t>
      </w:r>
      <w:r>
        <w:rPr>
          <w:rFonts w:ascii="Times New Roman" w:hAnsi="Times New Roman" w:cs="Times New Roman"/>
          <w:sz w:val="21"/>
          <w:lang w:bidi="ar"/>
        </w:rPr>
        <w:t>应满足地基承载力及应力分布要求。</w:t>
      </w:r>
    </w:p>
    <w:p w14:paraId="283AD34C">
      <w:pPr>
        <w:widowControl/>
        <w:spacing w:line="360" w:lineRule="auto"/>
        <w:ind w:firstLine="422" w:firstLineChars="200"/>
        <w:jc w:val="left"/>
        <w:rPr>
          <w:rFonts w:ascii="Times New Roman" w:hAnsi="Times New Roman" w:cs="Times New Roman"/>
          <w:sz w:val="21"/>
          <w:lang w:bidi="ar"/>
        </w:rPr>
      </w:pPr>
      <w:r>
        <w:rPr>
          <w:rFonts w:ascii="Times New Roman" w:hAnsi="Times New Roman" w:cs="Times New Roman"/>
          <w:b/>
          <w:sz w:val="21"/>
          <w:lang w:bidi="ar"/>
        </w:rPr>
        <w:t>10</w:t>
      </w:r>
      <w:r>
        <w:rPr>
          <w:rFonts w:ascii="Times New Roman" w:hAnsi="Times New Roman" w:cs="Times New Roman"/>
          <w:sz w:val="21"/>
          <w:lang w:bidi="ar"/>
        </w:rPr>
        <w:t xml:space="preserve">  排洪涵洞的水力设计和结构设计应符合现行国家标准</w:t>
      </w:r>
      <w:r>
        <w:rPr>
          <w:rFonts w:ascii="Times New Roman" w:hAnsi="Times New Roman" w:cs="Times New Roman"/>
          <w:sz w:val="21"/>
          <w:szCs w:val="24"/>
        </w:rPr>
        <w:t>《灌溉与排水工程设计规范》GB 50288</w:t>
      </w:r>
      <w:r>
        <w:rPr>
          <w:rFonts w:ascii="Times New Roman" w:hAnsi="Times New Roman" w:cs="Times New Roman"/>
          <w:sz w:val="21"/>
          <w:lang w:bidi="ar"/>
        </w:rPr>
        <w:t>的有关规定。</w:t>
      </w:r>
    </w:p>
    <w:p w14:paraId="09FF5913">
      <w:pPr>
        <w:spacing w:line="360" w:lineRule="auto"/>
        <w:jc w:val="left"/>
        <w:rPr>
          <w:rFonts w:ascii="Times New Roman" w:hAnsi="Times New Roman" w:cs="Times New Roman"/>
          <w:sz w:val="21"/>
        </w:rPr>
      </w:pPr>
      <w:r>
        <w:rPr>
          <w:rFonts w:ascii="Times New Roman" w:hAnsi="Times New Roman" w:cs="Times New Roman"/>
          <w:b/>
          <w:sz w:val="21"/>
        </w:rPr>
        <w:t>5.5.19</w:t>
      </w:r>
      <w:r>
        <w:rPr>
          <w:rFonts w:ascii="Times New Roman" w:hAnsi="Times New Roman" w:cs="Times New Roman"/>
          <w:sz w:val="21"/>
        </w:rPr>
        <w:t xml:space="preserve">  排洪隧洞设计应符合下列规定：</w:t>
      </w:r>
    </w:p>
    <w:p w14:paraId="3B2EF6A2">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当避让山、塬等障碍，且洞线地质条件良好时，经技术经济方案比较，可选用隧洞方案。</w:t>
      </w:r>
    </w:p>
    <w:p w14:paraId="049BD437">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宜采用低流速、不产生水跃的无压隧洞布置形式，纵向坡度宜平缓，但应满足不淤流速的要求，不应设置平坡和负坡。</w:t>
      </w:r>
    </w:p>
    <w:p w14:paraId="52F11575">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进、出口洞脸应避免设在可能产生山崩、滑坡及其他地质条件不良的地段。</w:t>
      </w:r>
    </w:p>
    <w:p w14:paraId="2EE63530">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4</w:t>
      </w:r>
      <w:r>
        <w:rPr>
          <w:rFonts w:ascii="Times New Roman" w:hAnsi="Times New Roman" w:cs="Times New Roman"/>
          <w:sz w:val="21"/>
        </w:rPr>
        <w:t xml:space="preserve">  洞线宜为直线，必须设置弯道时，其转弯半径应大于5倍洞宽</w:t>
      </w:r>
      <w:r>
        <w:rPr>
          <w:rFonts w:hint="eastAsia" w:ascii="Times New Roman" w:hAnsi="Times New Roman" w:cs="Times New Roman"/>
          <w:sz w:val="21"/>
        </w:rPr>
        <w:t>（</w:t>
      </w:r>
      <w:r>
        <w:rPr>
          <w:rFonts w:ascii="Times New Roman" w:hAnsi="Times New Roman" w:cs="Times New Roman"/>
          <w:sz w:val="21"/>
        </w:rPr>
        <w:t>洞径</w:t>
      </w:r>
      <w:r>
        <w:rPr>
          <w:rFonts w:hint="eastAsia" w:ascii="Times New Roman" w:hAnsi="Times New Roman" w:cs="Times New Roman"/>
          <w:sz w:val="21"/>
        </w:rPr>
        <w:t>）</w:t>
      </w:r>
      <w:r>
        <w:rPr>
          <w:rFonts w:ascii="Times New Roman" w:hAnsi="Times New Roman" w:cs="Times New Roman"/>
          <w:sz w:val="21"/>
        </w:rPr>
        <w:t>，转角宜小于60°，弯道两端应设置长度大于5倍洞宽</w:t>
      </w:r>
      <w:r>
        <w:rPr>
          <w:rFonts w:hint="eastAsia" w:ascii="Times New Roman" w:hAnsi="Times New Roman" w:cs="Times New Roman"/>
          <w:sz w:val="21"/>
        </w:rPr>
        <w:t>（</w:t>
      </w:r>
      <w:r>
        <w:rPr>
          <w:rFonts w:ascii="Times New Roman" w:hAnsi="Times New Roman" w:cs="Times New Roman"/>
          <w:sz w:val="21"/>
        </w:rPr>
        <w:t>洞径</w:t>
      </w:r>
      <w:r>
        <w:rPr>
          <w:rFonts w:hint="eastAsia" w:ascii="Times New Roman" w:hAnsi="Times New Roman" w:cs="Times New Roman"/>
          <w:sz w:val="21"/>
        </w:rPr>
        <w:t>）</w:t>
      </w:r>
      <w:r>
        <w:rPr>
          <w:rFonts w:ascii="Times New Roman" w:hAnsi="Times New Roman" w:cs="Times New Roman"/>
          <w:sz w:val="21"/>
        </w:rPr>
        <w:t>的直线段，且应满足施工机械的通行要求。</w:t>
      </w:r>
    </w:p>
    <w:p w14:paraId="4E116FDE">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5</w:t>
      </w:r>
      <w:r>
        <w:rPr>
          <w:rFonts w:ascii="Times New Roman" w:hAnsi="Times New Roman" w:cs="Times New Roman"/>
          <w:sz w:val="21"/>
        </w:rPr>
        <w:t xml:space="preserve">  设计纵坡不宜小于临近段的排洪沟道纵坡，沿程纵坡不应变化过多。</w:t>
      </w:r>
    </w:p>
    <w:p w14:paraId="38EBF957">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6</w:t>
      </w:r>
      <w:r>
        <w:rPr>
          <w:rFonts w:ascii="Times New Roman" w:hAnsi="Times New Roman" w:cs="Times New Roman"/>
          <w:sz w:val="21"/>
        </w:rPr>
        <w:t xml:space="preserve">  水力设计和结构设计应符合行业现行隧洞设计标准的有关规定。</w:t>
      </w:r>
    </w:p>
    <w:p w14:paraId="086FEC54">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Ⅳ </w:t>
      </w:r>
      <w:r>
        <w:rPr>
          <w:rFonts w:ascii="Times New Roman" w:hAnsi="Times New Roman" w:eastAsia="黑体" w:cs="Times New Roman"/>
          <w:bCs/>
          <w:sz w:val="24"/>
          <w:szCs w:val="24"/>
        </w:rPr>
        <w:t>截排水工程</w:t>
      </w:r>
    </w:p>
    <w:p w14:paraId="59CE6E63">
      <w:pPr>
        <w:spacing w:line="360" w:lineRule="auto"/>
        <w:jc w:val="left"/>
        <w:rPr>
          <w:rFonts w:ascii="Times New Roman" w:hAnsi="Times New Roman" w:cs="Times New Roman"/>
          <w:sz w:val="21"/>
        </w:rPr>
      </w:pPr>
      <w:r>
        <w:rPr>
          <w:rFonts w:ascii="Times New Roman" w:hAnsi="Times New Roman" w:cs="Times New Roman"/>
          <w:b/>
          <w:sz w:val="21"/>
        </w:rPr>
        <w:t xml:space="preserve">5.5.20  </w:t>
      </w:r>
      <w:r>
        <w:rPr>
          <w:rFonts w:ascii="Times New Roman" w:hAnsi="Times New Roman" w:cs="Times New Roman"/>
          <w:sz w:val="21"/>
        </w:rPr>
        <w:t>截排水工程主要包括弃渣场周边截水沟、顶面和马道排水沟，以及其他场地或开挖坡面截排水沟。截排水工程布置应根据弃渣场堆置形式、场地地形、顺接沟渠、施工等条件综合确定。</w:t>
      </w:r>
    </w:p>
    <w:p w14:paraId="3D4D0253">
      <w:pPr>
        <w:spacing w:line="360" w:lineRule="auto"/>
        <w:jc w:val="left"/>
        <w:rPr>
          <w:rFonts w:ascii="Times New Roman" w:hAnsi="Times New Roman" w:cs="Times New Roman"/>
          <w:sz w:val="21"/>
        </w:rPr>
      </w:pPr>
      <w:r>
        <w:rPr>
          <w:rFonts w:ascii="Times New Roman" w:hAnsi="Times New Roman" w:cs="Times New Roman"/>
          <w:b/>
          <w:sz w:val="21"/>
        </w:rPr>
        <w:t xml:space="preserve">5.5.21  </w:t>
      </w:r>
      <w:r>
        <w:rPr>
          <w:rFonts w:ascii="Times New Roman" w:hAnsi="Times New Roman" w:cs="Times New Roman"/>
          <w:sz w:val="21"/>
        </w:rPr>
        <w:t>弃渣场布置排洪工程后仍存在坡面汇水的，可在傍山一侧山坡上，根据坡面径流大小布设截水沟，截水沟纵坡比降应根据地形、地质等因素结合设计断面计算确定。</w:t>
      </w:r>
    </w:p>
    <w:p w14:paraId="6B7D8F74">
      <w:pPr>
        <w:spacing w:line="360" w:lineRule="auto"/>
        <w:jc w:val="left"/>
        <w:rPr>
          <w:rFonts w:ascii="Times New Roman" w:hAnsi="Times New Roman" w:cs="Times New Roman"/>
          <w:sz w:val="21"/>
        </w:rPr>
      </w:pPr>
      <w:r>
        <w:rPr>
          <w:rFonts w:ascii="Times New Roman" w:hAnsi="Times New Roman" w:cs="Times New Roman"/>
          <w:b/>
          <w:sz w:val="21"/>
        </w:rPr>
        <w:t>5.5.22</w:t>
      </w:r>
      <w:r>
        <w:rPr>
          <w:rFonts w:ascii="Times New Roman" w:hAnsi="Times New Roman" w:cs="Times New Roman"/>
          <w:sz w:val="21"/>
        </w:rPr>
        <w:t xml:space="preserve">  截排水沟设计应符合下列规定：</w:t>
      </w:r>
    </w:p>
    <w:p w14:paraId="27622F66">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排水流量应按照短历时设计暴雨计算，可按附录A.4计算。</w:t>
      </w:r>
    </w:p>
    <w:p w14:paraId="3F949008">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断面设计应满足过流能力要求，可采用梯形、矩形或结合断面，岩质山坡宜采用矩形断面。矩形、梯形断面的底宽和深度不宜小于0.40m。梯形断面内坡宜采用1:1.0～1:1.5，纵坡不宜小于0.5%。超高宜采用0.1m～0.2m。</w:t>
      </w:r>
    </w:p>
    <w:p w14:paraId="2283C825">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水流流速应满足不淤要求，其材料应满足抗冲要求。</w:t>
      </w:r>
    </w:p>
    <w:p w14:paraId="1974E80D">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4</w:t>
      </w:r>
      <w:r>
        <w:rPr>
          <w:rFonts w:ascii="Times New Roman" w:hAnsi="Times New Roman" w:cs="Times New Roman"/>
          <w:sz w:val="21"/>
        </w:rPr>
        <w:t xml:space="preserve">  在陡坡或深沟地段的排水沟宜设置跌水构筑物或急流槽，排水沟出口或衔接处应考虑防冲措施。</w:t>
      </w:r>
    </w:p>
    <w:p w14:paraId="23201FE3">
      <w:pPr>
        <w:spacing w:line="360" w:lineRule="auto"/>
        <w:jc w:val="left"/>
        <w:rPr>
          <w:rFonts w:ascii="Times New Roman" w:hAnsi="Times New Roman" w:cs="Times New Roman"/>
          <w:sz w:val="21"/>
        </w:rPr>
      </w:pPr>
      <w:r>
        <w:rPr>
          <w:rFonts w:ascii="Times New Roman" w:hAnsi="Times New Roman" w:cs="Times New Roman"/>
          <w:b/>
          <w:sz w:val="21"/>
        </w:rPr>
        <w:t>5.5.23</w:t>
      </w:r>
      <w:r>
        <w:rPr>
          <w:rFonts w:ascii="Times New Roman" w:hAnsi="Times New Roman" w:cs="Times New Roman"/>
          <w:sz w:val="21"/>
        </w:rPr>
        <w:t xml:space="preserve">  弃渣场内地下水埋藏浅或渣体内含有滞留水时，宜采用盲沟进行导排。盲沟设计应符合下列规定：</w:t>
      </w:r>
    </w:p>
    <w:p w14:paraId="3CBDD6D0">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盲沟优先结合原沟道地形布置，宜采用梯形断面型式。</w:t>
      </w:r>
    </w:p>
    <w:p w14:paraId="623E0D55">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盲沟的最小纵坡不宜小于1%。</w:t>
      </w:r>
    </w:p>
    <w:p w14:paraId="279ABC35">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盲沟的排水体一般采用洁净的块石料或碎石料充填，充填高度不宜小于1.00m，且应高出原地下水位。</w:t>
      </w:r>
    </w:p>
    <w:p w14:paraId="5D0A96E9">
      <w:pPr>
        <w:spacing w:line="360" w:lineRule="auto"/>
        <w:ind w:firstLine="422" w:firstLineChars="200"/>
        <w:jc w:val="left"/>
        <w:rPr>
          <w:rFonts w:ascii="Times New Roman" w:hAnsi="Times New Roman" w:cs="Times New Roman"/>
          <w:strike/>
          <w:sz w:val="21"/>
        </w:rPr>
      </w:pPr>
      <w:r>
        <w:rPr>
          <w:rFonts w:ascii="Times New Roman" w:hAnsi="Times New Roman" w:cs="Times New Roman"/>
          <w:b/>
          <w:sz w:val="21"/>
        </w:rPr>
        <w:t>4</w:t>
      </w:r>
      <w:r>
        <w:rPr>
          <w:rFonts w:ascii="Times New Roman" w:hAnsi="Times New Roman" w:cs="Times New Roman"/>
          <w:sz w:val="21"/>
        </w:rPr>
        <w:t xml:space="preserve">  排水体的迎水面应设置反滤层。</w:t>
      </w:r>
    </w:p>
    <w:p w14:paraId="6C598ED8">
      <w:pPr>
        <w:keepNext/>
        <w:keepLines/>
        <w:spacing w:before="260" w:after="260" w:line="416" w:lineRule="auto"/>
        <w:jc w:val="center"/>
        <w:outlineLvl w:val="1"/>
        <w:rPr>
          <w:rFonts w:ascii="Times New Roman" w:hAnsi="Times New Roman" w:eastAsia="黑体" w:cs="Times New Roman"/>
          <w:bCs/>
          <w:sz w:val="30"/>
          <w:szCs w:val="32"/>
        </w:rPr>
      </w:pPr>
      <w:bookmarkStart w:id="544" w:name="_Toc2315"/>
      <w:bookmarkStart w:id="545" w:name="_Toc15680"/>
      <w:r>
        <w:rPr>
          <w:rFonts w:ascii="Times New Roman" w:hAnsi="Times New Roman" w:eastAsia="黑体" w:cs="Times New Roman"/>
          <w:bCs/>
          <w:sz w:val="30"/>
          <w:szCs w:val="32"/>
        </w:rPr>
        <w:t>5</w:t>
      </w:r>
      <w:r>
        <w:rPr>
          <w:rFonts w:ascii="Times New Roman" w:hAnsi="Times New Roman" w:cs="Times New Roman"/>
          <w:bCs/>
          <w:sz w:val="30"/>
          <w:szCs w:val="32"/>
        </w:rPr>
        <w:t>.</w:t>
      </w:r>
      <w:r>
        <w:rPr>
          <w:rFonts w:ascii="Times New Roman" w:hAnsi="Times New Roman" w:eastAsia="黑体" w:cs="Times New Roman"/>
          <w:bCs/>
          <w:sz w:val="30"/>
          <w:szCs w:val="32"/>
        </w:rPr>
        <w:t>6 边坡防护工程</w:t>
      </w:r>
      <w:bookmarkEnd w:id="544"/>
      <w:bookmarkEnd w:id="545"/>
    </w:p>
    <w:p w14:paraId="70780D50">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Ⅰ </w:t>
      </w:r>
      <w:r>
        <w:rPr>
          <w:rFonts w:ascii="Times New Roman" w:hAnsi="Times New Roman" w:eastAsia="黑体" w:cs="Times New Roman"/>
          <w:bCs/>
          <w:sz w:val="24"/>
          <w:szCs w:val="24"/>
        </w:rPr>
        <w:t>一般规定</w:t>
      </w:r>
    </w:p>
    <w:p w14:paraId="63BE2F18">
      <w:pPr>
        <w:spacing w:line="360" w:lineRule="auto"/>
        <w:rPr>
          <w:rFonts w:ascii="Times New Roman" w:hAnsi="Times New Roman" w:cs="Times New Roman"/>
          <w:sz w:val="21"/>
          <w:szCs w:val="21"/>
        </w:rPr>
      </w:pPr>
      <w:r>
        <w:rPr>
          <w:rFonts w:ascii="Times New Roman" w:hAnsi="Times New Roman" w:cs="Times New Roman"/>
          <w:b/>
          <w:sz w:val="21"/>
          <w:szCs w:val="21"/>
        </w:rPr>
        <w:t xml:space="preserve">5.6.1  </w:t>
      </w:r>
      <w:r>
        <w:rPr>
          <w:rFonts w:ascii="Times New Roman" w:hAnsi="Times New Roman" w:cs="Times New Roman"/>
          <w:sz w:val="21"/>
          <w:szCs w:val="21"/>
        </w:rPr>
        <w:t>工程开挖、填筑、取料、弃渣等活动形成的土、石、沙质边坡，在安全稳定的基础上应采取防治水土流失的边坡防护措施。</w:t>
      </w:r>
    </w:p>
    <w:p w14:paraId="1AF13A89">
      <w:pPr>
        <w:spacing w:line="360" w:lineRule="auto"/>
        <w:rPr>
          <w:rFonts w:ascii="Times New Roman" w:hAnsi="Times New Roman" w:cs="Times New Roman"/>
          <w:sz w:val="21"/>
          <w:szCs w:val="21"/>
        </w:rPr>
      </w:pPr>
      <w:r>
        <w:rPr>
          <w:rFonts w:ascii="Times New Roman" w:hAnsi="Times New Roman" w:cs="Times New Roman"/>
          <w:b/>
          <w:sz w:val="21"/>
          <w:szCs w:val="21"/>
        </w:rPr>
        <w:t xml:space="preserve">5.6.2 </w:t>
      </w:r>
      <w:r>
        <w:rPr>
          <w:rFonts w:ascii="Times New Roman" w:hAnsi="Times New Roman" w:cs="Times New Roman"/>
          <w:sz w:val="21"/>
          <w:szCs w:val="21"/>
        </w:rPr>
        <w:t xml:space="preserve"> 边坡防护主要包括工程护坡、生态护坡，设计应遵循下列原则：</w:t>
      </w:r>
    </w:p>
    <w:p w14:paraId="62F4F749">
      <w:pPr>
        <w:spacing w:line="360" w:lineRule="auto"/>
        <w:ind w:firstLine="422" w:firstLineChars="200"/>
        <w:rPr>
          <w:rFonts w:ascii="Times New Roman" w:hAnsi="Times New Roman" w:cs="Times New Roman"/>
          <w:sz w:val="21"/>
          <w:szCs w:val="21"/>
        </w:rPr>
      </w:pPr>
      <w:r>
        <w:rPr>
          <w:rFonts w:ascii="Times New Roman" w:hAnsi="Times New Roman" w:cs="Times New Roman"/>
          <w:b/>
          <w:sz w:val="21"/>
          <w:szCs w:val="21"/>
        </w:rPr>
        <w:t xml:space="preserve">1 </w:t>
      </w:r>
      <w:r>
        <w:rPr>
          <w:rFonts w:ascii="Times New Roman" w:hAnsi="Times New Roman" w:cs="Times New Roman"/>
          <w:sz w:val="21"/>
          <w:szCs w:val="21"/>
        </w:rPr>
        <w:t xml:space="preserve"> 应综合考虑边坡岩土类型、坡度、受水流冲刷影响情况、施工条件等因素确定护坡型式。</w:t>
      </w:r>
    </w:p>
    <w:p w14:paraId="402B9220">
      <w:pPr>
        <w:spacing w:line="360" w:lineRule="auto"/>
        <w:ind w:firstLine="422" w:firstLineChars="200"/>
        <w:rPr>
          <w:rFonts w:ascii="Times New Roman" w:hAnsi="Times New Roman" w:cs="Times New Roman"/>
          <w:sz w:val="21"/>
          <w:szCs w:val="21"/>
        </w:rPr>
      </w:pPr>
      <w:r>
        <w:rPr>
          <w:rFonts w:ascii="Times New Roman" w:hAnsi="Times New Roman" w:cs="Times New Roman"/>
          <w:b/>
          <w:sz w:val="21"/>
          <w:szCs w:val="21"/>
        </w:rPr>
        <w:t>2</w:t>
      </w:r>
      <w:r>
        <w:rPr>
          <w:rFonts w:ascii="Times New Roman" w:hAnsi="Times New Roman" w:cs="Times New Roman"/>
          <w:sz w:val="21"/>
          <w:szCs w:val="21"/>
        </w:rPr>
        <w:t xml:space="preserve">  宜优先采用生态护坡。</w:t>
      </w:r>
    </w:p>
    <w:p w14:paraId="0B9F231C">
      <w:pPr>
        <w:spacing w:line="360" w:lineRule="auto"/>
        <w:ind w:firstLine="422" w:firstLineChars="200"/>
        <w:rPr>
          <w:rFonts w:ascii="Times New Roman" w:hAnsi="Times New Roman" w:cs="Times New Roman"/>
          <w:sz w:val="21"/>
          <w:szCs w:val="21"/>
        </w:rPr>
      </w:pPr>
      <w:r>
        <w:rPr>
          <w:rFonts w:ascii="Times New Roman" w:hAnsi="Times New Roman" w:cs="Times New Roman"/>
          <w:b/>
          <w:sz w:val="21"/>
          <w:szCs w:val="21"/>
        </w:rPr>
        <w:t xml:space="preserve">3 </w:t>
      </w:r>
      <w:r>
        <w:rPr>
          <w:rFonts w:ascii="Times New Roman" w:hAnsi="Times New Roman" w:cs="Times New Roman"/>
          <w:sz w:val="21"/>
          <w:szCs w:val="21"/>
        </w:rPr>
        <w:t xml:space="preserve"> 需要采用临时护坡的，宜与永久护坡相结合。</w:t>
      </w:r>
    </w:p>
    <w:p w14:paraId="5BA8A595">
      <w:pPr>
        <w:spacing w:line="360" w:lineRule="auto"/>
        <w:rPr>
          <w:rFonts w:ascii="Times New Roman" w:hAnsi="Times New Roman" w:cs="Times New Roman"/>
          <w:sz w:val="21"/>
          <w:szCs w:val="21"/>
        </w:rPr>
      </w:pPr>
      <w:r>
        <w:rPr>
          <w:rFonts w:ascii="Times New Roman" w:hAnsi="Times New Roman" w:cs="Times New Roman"/>
          <w:b/>
          <w:sz w:val="21"/>
          <w:szCs w:val="21"/>
        </w:rPr>
        <w:t xml:space="preserve">5.6.3  </w:t>
      </w:r>
      <w:r>
        <w:rPr>
          <w:rFonts w:ascii="Times New Roman" w:hAnsi="Times New Roman" w:cs="Times New Roman"/>
          <w:sz w:val="21"/>
          <w:szCs w:val="21"/>
        </w:rPr>
        <w:t>边坡防护工程设计所需基本资料应包括下列内容：</w:t>
      </w:r>
    </w:p>
    <w:p w14:paraId="3E5500F3">
      <w:pPr>
        <w:spacing w:line="360" w:lineRule="auto"/>
        <w:ind w:firstLine="422" w:firstLineChars="200"/>
        <w:rPr>
          <w:rFonts w:ascii="Times New Roman" w:hAnsi="Times New Roman" w:cs="Times New Roman"/>
          <w:sz w:val="21"/>
          <w:szCs w:val="21"/>
        </w:rPr>
      </w:pPr>
      <w:r>
        <w:rPr>
          <w:rFonts w:ascii="Times New Roman" w:hAnsi="Times New Roman" w:cs="Times New Roman"/>
          <w:b/>
          <w:sz w:val="21"/>
          <w:szCs w:val="21"/>
        </w:rPr>
        <w:t>1</w:t>
      </w:r>
      <w:r>
        <w:rPr>
          <w:rFonts w:ascii="Times New Roman" w:hAnsi="Times New Roman" w:cs="Times New Roman"/>
          <w:sz w:val="21"/>
          <w:szCs w:val="21"/>
        </w:rPr>
        <w:t xml:space="preserve">  边坡地形图。</w:t>
      </w:r>
    </w:p>
    <w:p w14:paraId="6CCD537F">
      <w:pPr>
        <w:spacing w:line="360" w:lineRule="auto"/>
        <w:ind w:firstLine="422" w:firstLineChars="200"/>
        <w:rPr>
          <w:rFonts w:ascii="Times New Roman" w:hAnsi="Times New Roman" w:cs="Times New Roman"/>
          <w:sz w:val="21"/>
          <w:szCs w:val="21"/>
        </w:rPr>
      </w:pPr>
      <w:r>
        <w:rPr>
          <w:rFonts w:ascii="Times New Roman" w:hAnsi="Times New Roman" w:cs="Times New Roman"/>
          <w:b/>
          <w:sz w:val="21"/>
          <w:szCs w:val="21"/>
        </w:rPr>
        <w:t>2</w:t>
      </w:r>
      <w:r>
        <w:rPr>
          <w:rFonts w:ascii="Times New Roman" w:hAnsi="Times New Roman" w:cs="Times New Roman"/>
          <w:sz w:val="21"/>
          <w:szCs w:val="21"/>
        </w:rPr>
        <w:t xml:space="preserve">  边坡的岩土体类型、结构及性质等地质资料。</w:t>
      </w:r>
    </w:p>
    <w:p w14:paraId="03CA1E2A">
      <w:pPr>
        <w:spacing w:line="360" w:lineRule="auto"/>
        <w:ind w:firstLine="422" w:firstLineChars="200"/>
        <w:rPr>
          <w:rFonts w:ascii="Times New Roman" w:hAnsi="Times New Roman" w:cs="Times New Roman"/>
          <w:sz w:val="21"/>
          <w:szCs w:val="21"/>
        </w:rPr>
      </w:pPr>
      <w:r>
        <w:rPr>
          <w:rFonts w:ascii="Times New Roman" w:hAnsi="Times New Roman" w:cs="Times New Roman"/>
          <w:b/>
          <w:sz w:val="21"/>
          <w:szCs w:val="21"/>
        </w:rPr>
        <w:t>3</w:t>
      </w:r>
      <w:r>
        <w:rPr>
          <w:rFonts w:ascii="Times New Roman" w:hAnsi="Times New Roman" w:cs="Times New Roman"/>
          <w:sz w:val="21"/>
          <w:szCs w:val="21"/>
        </w:rPr>
        <w:t xml:space="preserve">  降雨、气温、最大冻土深度等气象资料。</w:t>
      </w:r>
    </w:p>
    <w:p w14:paraId="1B760E17">
      <w:pPr>
        <w:spacing w:line="360" w:lineRule="auto"/>
        <w:ind w:firstLine="422" w:firstLineChars="200"/>
        <w:rPr>
          <w:rFonts w:ascii="Times New Roman" w:hAnsi="Times New Roman" w:cs="Times New Roman"/>
          <w:sz w:val="21"/>
          <w:szCs w:val="21"/>
        </w:rPr>
      </w:pPr>
      <w:r>
        <w:rPr>
          <w:rFonts w:ascii="Times New Roman" w:hAnsi="Times New Roman" w:cs="Times New Roman"/>
          <w:b/>
          <w:sz w:val="21"/>
          <w:szCs w:val="21"/>
        </w:rPr>
        <w:t>4</w:t>
      </w:r>
      <w:r>
        <w:rPr>
          <w:rFonts w:ascii="Times New Roman" w:hAnsi="Times New Roman" w:cs="Times New Roman"/>
          <w:sz w:val="21"/>
          <w:szCs w:val="21"/>
        </w:rPr>
        <w:t xml:space="preserve">  涉及河道的，洪水流量及洪水位、流速等水文资料。</w:t>
      </w:r>
    </w:p>
    <w:p w14:paraId="05D57B57">
      <w:pPr>
        <w:spacing w:line="360" w:lineRule="auto"/>
        <w:rPr>
          <w:rFonts w:ascii="Times New Roman" w:hAnsi="Times New Roman" w:cs="Times New Roman"/>
          <w:sz w:val="21"/>
          <w:szCs w:val="21"/>
        </w:rPr>
      </w:pPr>
      <w:r>
        <w:rPr>
          <w:rFonts w:ascii="Times New Roman" w:hAnsi="Times New Roman" w:cs="Times New Roman"/>
          <w:b/>
          <w:sz w:val="21"/>
          <w:szCs w:val="21"/>
        </w:rPr>
        <w:t>5.6.4</w:t>
      </w:r>
      <w:r>
        <w:rPr>
          <w:rFonts w:ascii="Times New Roman" w:hAnsi="Times New Roman" w:cs="Times New Roman"/>
          <w:sz w:val="21"/>
          <w:szCs w:val="21"/>
        </w:rPr>
        <w:t xml:space="preserve">  严寒地区的坡面防护设计应考虑冻融、冻胀作用。</w:t>
      </w:r>
    </w:p>
    <w:p w14:paraId="1C567089">
      <w:pPr>
        <w:keepNext/>
        <w:keepLines/>
        <w:spacing w:before="260" w:after="260" w:line="416" w:lineRule="auto"/>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Ⅱ 工程护坡</w:t>
      </w:r>
    </w:p>
    <w:p w14:paraId="21CDE38C">
      <w:pPr>
        <w:spacing w:line="360" w:lineRule="auto"/>
        <w:rPr>
          <w:rFonts w:ascii="Times New Roman" w:hAnsi="Times New Roman" w:cs="Times New Roman"/>
          <w:sz w:val="21"/>
          <w:szCs w:val="21"/>
        </w:rPr>
      </w:pPr>
      <w:r>
        <w:rPr>
          <w:rFonts w:ascii="Times New Roman" w:hAnsi="Times New Roman" w:cs="Times New Roman"/>
          <w:b/>
          <w:sz w:val="21"/>
          <w:szCs w:val="21"/>
        </w:rPr>
        <w:t xml:space="preserve">5.6.5  </w:t>
      </w:r>
      <w:r>
        <w:rPr>
          <w:rFonts w:ascii="Times New Roman" w:hAnsi="Times New Roman" w:cs="Times New Roman"/>
          <w:sz w:val="21"/>
          <w:szCs w:val="21"/>
        </w:rPr>
        <w:t>工程护坡主要包括干砌石护坡、浆砌石护坡、石笼护坡、混凝土或钢筋混凝土板（或块）护坡等。</w:t>
      </w:r>
    </w:p>
    <w:p w14:paraId="4E2B4F03">
      <w:pPr>
        <w:spacing w:line="360" w:lineRule="auto"/>
        <w:rPr>
          <w:rFonts w:ascii="Times New Roman" w:hAnsi="Times New Roman" w:cs="Times New Roman"/>
          <w:sz w:val="21"/>
          <w:szCs w:val="21"/>
        </w:rPr>
      </w:pPr>
      <w:r>
        <w:rPr>
          <w:rFonts w:ascii="Times New Roman" w:hAnsi="Times New Roman" w:cs="Times New Roman"/>
          <w:b/>
          <w:sz w:val="21"/>
          <w:szCs w:val="21"/>
        </w:rPr>
        <w:t xml:space="preserve">5.6.6  </w:t>
      </w:r>
      <w:r>
        <w:rPr>
          <w:rFonts w:ascii="Times New Roman" w:hAnsi="Times New Roman" w:cs="Times New Roman"/>
          <w:sz w:val="21"/>
          <w:szCs w:val="21"/>
        </w:rPr>
        <w:t>应根据不同的边坡条件，按表5.6.6合理选择工程护坡形式。</w:t>
      </w:r>
    </w:p>
    <w:p w14:paraId="6D438B96">
      <w:pPr>
        <w:spacing w:before="156" w:beforeLines="50" w:line="360" w:lineRule="auto"/>
        <w:rPr>
          <w:rFonts w:ascii="Times New Roman" w:hAnsi="Times New Roman" w:cs="Times New Roman"/>
          <w:sz w:val="21"/>
          <w:szCs w:val="21"/>
        </w:rPr>
      </w:pPr>
      <w:r>
        <w:rPr>
          <w:rFonts w:ascii="Times New Roman" w:hAnsi="Times New Roman" w:cs="Times New Roman"/>
          <w:b/>
          <w:sz w:val="21"/>
          <w:szCs w:val="21"/>
        </w:rPr>
        <w:t xml:space="preserve">5.6.7  </w:t>
      </w:r>
      <w:r>
        <w:rPr>
          <w:rFonts w:ascii="Times New Roman" w:hAnsi="Times New Roman" w:cs="Times New Roman"/>
          <w:sz w:val="21"/>
          <w:szCs w:val="21"/>
        </w:rPr>
        <w:t>石材丰富地区宜优先采用干砌石护坡或浆砌石护坡。干砌石护坡、浆砌石护坡及石笼护坡，石料应质地致密坚硬，并满足抗水和抗风化性能要求。</w:t>
      </w:r>
    </w:p>
    <w:p w14:paraId="561DB327">
      <w:pPr>
        <w:autoSpaceDE w:val="0"/>
        <w:autoSpaceDN w:val="0"/>
        <w:adjustRightInd w:val="0"/>
        <w:jc w:val="center"/>
        <w:rPr>
          <w:rFonts w:ascii="Times New Roman" w:hAnsi="Times New Roman" w:eastAsia="黑体" w:cs="Times New Roman"/>
          <w:sz w:val="18"/>
          <w:szCs w:val="18"/>
        </w:rPr>
      </w:pPr>
      <w:r>
        <w:rPr>
          <w:rFonts w:ascii="Times New Roman" w:hAnsi="Times New Roman" w:eastAsia="黑体" w:cs="Times New Roman"/>
          <w:sz w:val="18"/>
          <w:szCs w:val="18"/>
        </w:rPr>
        <w:t>5</w:t>
      </w:r>
      <w:r>
        <w:rPr>
          <w:rFonts w:ascii="Times New Roman" w:hAnsi="Times New Roman" w:cs="Times New Roman"/>
          <w:sz w:val="18"/>
          <w:szCs w:val="18"/>
        </w:rPr>
        <w:t>.</w:t>
      </w:r>
      <w:r>
        <w:rPr>
          <w:rFonts w:ascii="Times New Roman" w:hAnsi="Times New Roman" w:eastAsia="黑体" w:cs="Times New Roman"/>
          <w:sz w:val="18"/>
          <w:szCs w:val="18"/>
        </w:rPr>
        <w:t>6</w:t>
      </w:r>
      <w:r>
        <w:rPr>
          <w:rFonts w:ascii="Times New Roman" w:hAnsi="Times New Roman" w:cs="Times New Roman"/>
          <w:sz w:val="18"/>
          <w:szCs w:val="18"/>
        </w:rPr>
        <w:t>.</w:t>
      </w:r>
      <w:r>
        <w:rPr>
          <w:rFonts w:hint="eastAsia" w:ascii="Times New Roman" w:hAnsi="Times New Roman" w:eastAsia="黑体" w:cs="Times New Roman"/>
          <w:sz w:val="18"/>
          <w:szCs w:val="18"/>
        </w:rPr>
        <w:t>7</w:t>
      </w:r>
      <w:r>
        <w:rPr>
          <w:rFonts w:ascii="Times New Roman" w:hAnsi="Times New Roman" w:eastAsia="黑体" w:cs="Times New Roman"/>
          <w:sz w:val="18"/>
          <w:szCs w:val="18"/>
        </w:rPr>
        <w:t xml:space="preserve">  工程护坡适用条件</w:t>
      </w:r>
    </w:p>
    <w:tbl>
      <w:tblPr>
        <w:tblStyle w:val="10"/>
        <w:tblW w:w="8181" w:type="dxa"/>
        <w:jc w:val="center"/>
        <w:tblLayout w:type="fixed"/>
        <w:tblCellMar>
          <w:top w:w="0" w:type="dxa"/>
          <w:left w:w="108" w:type="dxa"/>
          <w:bottom w:w="0" w:type="dxa"/>
          <w:right w:w="108" w:type="dxa"/>
        </w:tblCellMar>
      </w:tblPr>
      <w:tblGrid>
        <w:gridCol w:w="1126"/>
        <w:gridCol w:w="1344"/>
        <w:gridCol w:w="5711"/>
      </w:tblGrid>
      <w:tr w14:paraId="3047CE39">
        <w:tblPrEx>
          <w:tblCellMar>
            <w:top w:w="0" w:type="dxa"/>
            <w:left w:w="108" w:type="dxa"/>
            <w:bottom w:w="0" w:type="dxa"/>
            <w:right w:w="108" w:type="dxa"/>
          </w:tblCellMar>
        </w:tblPrEx>
        <w:trPr>
          <w:trHeight w:val="90" w:hRule="atLeast"/>
          <w:jc w:val="center"/>
        </w:trPr>
        <w:tc>
          <w:tcPr>
            <w:tcW w:w="1126" w:type="dxa"/>
            <w:tcBorders>
              <w:top w:val="single" w:color="auto" w:sz="12" w:space="0"/>
              <w:left w:val="single" w:color="auto" w:sz="12" w:space="0"/>
              <w:bottom w:val="single" w:color="auto" w:sz="4" w:space="0"/>
              <w:right w:val="single" w:color="auto" w:sz="4" w:space="0"/>
            </w:tcBorders>
            <w:vAlign w:val="center"/>
          </w:tcPr>
          <w:p w14:paraId="2BCEB605">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防护形式</w:t>
            </w:r>
          </w:p>
        </w:tc>
        <w:tc>
          <w:tcPr>
            <w:tcW w:w="1344" w:type="dxa"/>
            <w:tcBorders>
              <w:top w:val="single" w:color="auto" w:sz="12" w:space="0"/>
              <w:left w:val="single" w:color="auto" w:sz="4" w:space="0"/>
              <w:bottom w:val="single" w:color="auto" w:sz="4" w:space="0"/>
              <w:right w:val="single" w:color="auto" w:sz="4" w:space="0"/>
            </w:tcBorders>
            <w:vAlign w:val="center"/>
          </w:tcPr>
          <w:p w14:paraId="42283AF7">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最大坡比</w:t>
            </w:r>
          </w:p>
        </w:tc>
        <w:tc>
          <w:tcPr>
            <w:tcW w:w="5711" w:type="dxa"/>
            <w:tcBorders>
              <w:top w:val="single" w:color="auto" w:sz="12" w:space="0"/>
              <w:left w:val="single" w:color="auto" w:sz="4" w:space="0"/>
              <w:bottom w:val="single" w:color="auto" w:sz="4" w:space="0"/>
              <w:right w:val="single" w:color="auto" w:sz="12" w:space="0"/>
            </w:tcBorders>
            <w:vAlign w:val="center"/>
          </w:tcPr>
          <w:p w14:paraId="22DE076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坡面性质</w:t>
            </w:r>
          </w:p>
        </w:tc>
      </w:tr>
      <w:tr w14:paraId="5246083B">
        <w:tblPrEx>
          <w:tblCellMar>
            <w:top w:w="0" w:type="dxa"/>
            <w:left w:w="108" w:type="dxa"/>
            <w:bottom w:w="0" w:type="dxa"/>
            <w:right w:w="108" w:type="dxa"/>
          </w:tblCellMar>
        </w:tblPrEx>
        <w:trPr>
          <w:trHeight w:val="90" w:hRule="atLeast"/>
          <w:jc w:val="center"/>
        </w:trPr>
        <w:tc>
          <w:tcPr>
            <w:tcW w:w="1126" w:type="dxa"/>
            <w:tcBorders>
              <w:top w:val="single" w:color="auto" w:sz="4" w:space="0"/>
              <w:left w:val="single" w:color="auto" w:sz="12" w:space="0"/>
              <w:bottom w:val="single" w:color="auto" w:sz="4" w:space="0"/>
              <w:right w:val="single" w:color="auto" w:sz="4" w:space="0"/>
            </w:tcBorders>
            <w:vAlign w:val="center"/>
          </w:tcPr>
          <w:p w14:paraId="4E191A32">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干砌石护坡</w:t>
            </w:r>
          </w:p>
        </w:tc>
        <w:tc>
          <w:tcPr>
            <w:tcW w:w="1344" w:type="dxa"/>
            <w:tcBorders>
              <w:top w:val="single" w:color="auto" w:sz="4" w:space="0"/>
              <w:left w:val="single" w:color="auto" w:sz="4" w:space="0"/>
              <w:bottom w:val="single" w:color="auto" w:sz="4" w:space="0"/>
              <w:right w:val="single" w:color="auto" w:sz="4" w:space="0"/>
            </w:tcBorders>
            <w:vAlign w:val="center"/>
          </w:tcPr>
          <w:p w14:paraId="5C057D37">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2.5</w:t>
            </w:r>
          </w:p>
        </w:tc>
        <w:tc>
          <w:tcPr>
            <w:tcW w:w="5711" w:type="dxa"/>
            <w:tcBorders>
              <w:top w:val="single" w:color="auto" w:sz="4" w:space="0"/>
              <w:left w:val="single" w:color="auto" w:sz="4" w:space="0"/>
              <w:bottom w:val="single" w:color="auto" w:sz="4" w:space="0"/>
              <w:right w:val="single" w:color="auto" w:sz="12" w:space="0"/>
            </w:tcBorders>
            <w:vAlign w:val="center"/>
          </w:tcPr>
          <w:p w14:paraId="7CCAC76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受水流冲刷较轻的土质、软质岩石边坡</w:t>
            </w:r>
          </w:p>
        </w:tc>
      </w:tr>
      <w:tr w14:paraId="74749C86">
        <w:tblPrEx>
          <w:tblCellMar>
            <w:top w:w="0" w:type="dxa"/>
            <w:left w:w="108" w:type="dxa"/>
            <w:bottom w:w="0" w:type="dxa"/>
            <w:right w:w="108" w:type="dxa"/>
          </w:tblCellMar>
        </w:tblPrEx>
        <w:trPr>
          <w:trHeight w:val="90" w:hRule="atLeast"/>
          <w:jc w:val="center"/>
        </w:trPr>
        <w:tc>
          <w:tcPr>
            <w:tcW w:w="1126" w:type="dxa"/>
            <w:tcBorders>
              <w:top w:val="single" w:color="auto" w:sz="4" w:space="0"/>
              <w:left w:val="single" w:color="auto" w:sz="12" w:space="0"/>
              <w:bottom w:val="single" w:color="auto" w:sz="4" w:space="0"/>
              <w:right w:val="single" w:color="auto" w:sz="4" w:space="0"/>
            </w:tcBorders>
            <w:vAlign w:val="center"/>
          </w:tcPr>
          <w:p w14:paraId="475439E4">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浆砌石护坡</w:t>
            </w:r>
          </w:p>
        </w:tc>
        <w:tc>
          <w:tcPr>
            <w:tcW w:w="1344" w:type="dxa"/>
            <w:tcBorders>
              <w:top w:val="single" w:color="auto" w:sz="4" w:space="0"/>
              <w:left w:val="single" w:color="auto" w:sz="4" w:space="0"/>
              <w:bottom w:val="single" w:color="auto" w:sz="4" w:space="0"/>
              <w:right w:val="single" w:color="auto" w:sz="4" w:space="0"/>
            </w:tcBorders>
            <w:vAlign w:val="center"/>
          </w:tcPr>
          <w:p w14:paraId="4D1CA13A">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1.0</w:t>
            </w:r>
          </w:p>
        </w:tc>
        <w:tc>
          <w:tcPr>
            <w:tcW w:w="5711" w:type="dxa"/>
            <w:tcBorders>
              <w:top w:val="single" w:color="auto" w:sz="4" w:space="0"/>
              <w:left w:val="single" w:color="auto" w:sz="4" w:space="0"/>
              <w:bottom w:val="single" w:color="auto" w:sz="4" w:space="0"/>
              <w:right w:val="single" w:color="auto" w:sz="12" w:space="0"/>
            </w:tcBorders>
            <w:vAlign w:val="center"/>
          </w:tcPr>
          <w:p w14:paraId="6BDAC3F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sz w:val="15"/>
                <w:szCs w:val="15"/>
              </w:rPr>
              <w:t>边坡的潜在变形较小、边坡地质条件简单的土质或岩石边坡</w:t>
            </w:r>
          </w:p>
        </w:tc>
      </w:tr>
      <w:tr w14:paraId="779A712B">
        <w:tblPrEx>
          <w:tblCellMar>
            <w:top w:w="0" w:type="dxa"/>
            <w:left w:w="108" w:type="dxa"/>
            <w:bottom w:w="0" w:type="dxa"/>
            <w:right w:w="108" w:type="dxa"/>
          </w:tblCellMar>
        </w:tblPrEx>
        <w:trPr>
          <w:trHeight w:val="90" w:hRule="atLeast"/>
          <w:jc w:val="center"/>
        </w:trPr>
        <w:tc>
          <w:tcPr>
            <w:tcW w:w="1126" w:type="dxa"/>
            <w:tcBorders>
              <w:top w:val="single" w:color="auto" w:sz="4" w:space="0"/>
              <w:left w:val="single" w:color="auto" w:sz="12" w:space="0"/>
              <w:bottom w:val="single" w:color="auto" w:sz="4" w:space="0"/>
              <w:right w:val="single" w:color="auto" w:sz="4" w:space="0"/>
            </w:tcBorders>
            <w:vAlign w:val="center"/>
          </w:tcPr>
          <w:p w14:paraId="397CE6DE">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混凝土护坡</w:t>
            </w:r>
          </w:p>
        </w:tc>
        <w:tc>
          <w:tcPr>
            <w:tcW w:w="1344" w:type="dxa"/>
            <w:tcBorders>
              <w:top w:val="single" w:color="auto" w:sz="4" w:space="0"/>
              <w:left w:val="single" w:color="auto" w:sz="4" w:space="0"/>
              <w:bottom w:val="single" w:color="auto" w:sz="4" w:space="0"/>
              <w:right w:val="single" w:color="auto" w:sz="4" w:space="0"/>
            </w:tcBorders>
            <w:vAlign w:val="center"/>
          </w:tcPr>
          <w:p w14:paraId="0891BD2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1.0</w:t>
            </w:r>
          </w:p>
        </w:tc>
        <w:tc>
          <w:tcPr>
            <w:tcW w:w="5711" w:type="dxa"/>
            <w:tcBorders>
              <w:top w:val="single" w:color="auto" w:sz="4" w:space="0"/>
              <w:left w:val="single" w:color="auto" w:sz="4" w:space="0"/>
              <w:bottom w:val="single" w:color="auto" w:sz="4" w:space="0"/>
              <w:right w:val="single" w:color="auto" w:sz="12" w:space="0"/>
            </w:tcBorders>
            <w:vAlign w:val="center"/>
          </w:tcPr>
          <w:p w14:paraId="316B3CC5">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坡度陡、冲刷强、稳定性要求高、且深层稳定有保障（或已处理）的土质或岩石边坡</w:t>
            </w:r>
          </w:p>
        </w:tc>
      </w:tr>
      <w:tr w14:paraId="36AC11DC">
        <w:tblPrEx>
          <w:tblCellMar>
            <w:top w:w="0" w:type="dxa"/>
            <w:left w:w="108" w:type="dxa"/>
            <w:bottom w:w="0" w:type="dxa"/>
            <w:right w:w="108" w:type="dxa"/>
          </w:tblCellMar>
        </w:tblPrEx>
        <w:trPr>
          <w:trHeight w:val="90" w:hRule="atLeast"/>
          <w:jc w:val="center"/>
        </w:trPr>
        <w:tc>
          <w:tcPr>
            <w:tcW w:w="1126" w:type="dxa"/>
            <w:tcBorders>
              <w:top w:val="single" w:color="auto" w:sz="4" w:space="0"/>
              <w:left w:val="single" w:color="auto" w:sz="12" w:space="0"/>
              <w:bottom w:val="single" w:color="auto" w:sz="12" w:space="0"/>
              <w:right w:val="single" w:color="auto" w:sz="4" w:space="0"/>
            </w:tcBorders>
            <w:vAlign w:val="center"/>
          </w:tcPr>
          <w:p w14:paraId="2466155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石笼护坡</w:t>
            </w:r>
          </w:p>
        </w:tc>
        <w:tc>
          <w:tcPr>
            <w:tcW w:w="1344" w:type="dxa"/>
            <w:tcBorders>
              <w:top w:val="single" w:color="auto" w:sz="4" w:space="0"/>
              <w:left w:val="single" w:color="auto" w:sz="4" w:space="0"/>
              <w:bottom w:val="single" w:color="auto" w:sz="12" w:space="0"/>
              <w:right w:val="single" w:color="auto" w:sz="4" w:space="0"/>
            </w:tcBorders>
            <w:vAlign w:val="center"/>
          </w:tcPr>
          <w:p w14:paraId="67A0CEB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1.5</w:t>
            </w:r>
          </w:p>
        </w:tc>
        <w:tc>
          <w:tcPr>
            <w:tcW w:w="5711" w:type="dxa"/>
            <w:tcBorders>
              <w:top w:val="single" w:color="auto" w:sz="4" w:space="0"/>
              <w:left w:val="single" w:color="auto" w:sz="4" w:space="0"/>
              <w:bottom w:val="single" w:color="auto" w:sz="12" w:space="0"/>
              <w:right w:val="single" w:color="auto" w:sz="12" w:space="0"/>
            </w:tcBorders>
            <w:vAlign w:val="center"/>
          </w:tcPr>
          <w:p w14:paraId="3BE8F233">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地基承载力较低、基础处理困难、受水流冲刷强烈或存在渗流作用的边坡防护</w:t>
            </w:r>
          </w:p>
        </w:tc>
      </w:tr>
    </w:tbl>
    <w:p w14:paraId="7918753B">
      <w:pPr>
        <w:spacing w:before="156" w:beforeLines="50" w:line="360" w:lineRule="auto"/>
        <w:rPr>
          <w:rFonts w:ascii="Times New Roman" w:hAnsi="Times New Roman" w:cs="Times New Roman"/>
          <w:bCs/>
          <w:sz w:val="21"/>
          <w:szCs w:val="21"/>
        </w:rPr>
      </w:pPr>
      <w:r>
        <w:rPr>
          <w:rFonts w:ascii="Times New Roman" w:hAnsi="Times New Roman" w:cs="Times New Roman"/>
          <w:b/>
          <w:sz w:val="21"/>
          <w:szCs w:val="21"/>
        </w:rPr>
        <w:t xml:space="preserve">5.6.8  </w:t>
      </w:r>
      <w:r>
        <w:rPr>
          <w:rFonts w:ascii="Times New Roman" w:hAnsi="Times New Roman" w:cs="Times New Roman"/>
          <w:bCs/>
          <w:sz w:val="21"/>
          <w:szCs w:val="21"/>
        </w:rPr>
        <w:t>若边坡由多级组成，边坡马道分级和宽度设置应根据边坡地质条件、坡度、坡高、坡面排水、防护、检修维护和监测巡查及施工要求等综合确定。马道最小宽度不宜小于2.0m。马道设置排水沟时，排水沟外宽度不宜小于2.0m。浆砌石及混凝土护坡，应沿长度方向每隔一定距离设置伸缩缝或沉降缝，坡面设置泄水孔。</w:t>
      </w:r>
    </w:p>
    <w:p w14:paraId="757357F5">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Ⅲ </w:t>
      </w:r>
      <w:r>
        <w:rPr>
          <w:rFonts w:ascii="Times New Roman" w:hAnsi="Times New Roman" w:eastAsia="黑体" w:cs="Times New Roman"/>
          <w:bCs/>
          <w:sz w:val="24"/>
          <w:szCs w:val="24"/>
        </w:rPr>
        <w:t>生态护坡</w:t>
      </w:r>
    </w:p>
    <w:p w14:paraId="6B2B529E">
      <w:pPr>
        <w:autoSpaceDE w:val="0"/>
        <w:autoSpaceDN w:val="0"/>
        <w:adjustRightInd w:val="0"/>
        <w:spacing w:line="360" w:lineRule="auto"/>
        <w:jc w:val="left"/>
        <w:rPr>
          <w:rFonts w:ascii="Times New Roman" w:hAnsi="Times New Roman" w:eastAsia="黑体"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6</w:t>
      </w:r>
      <w:r>
        <w:rPr>
          <w:rFonts w:ascii="Times New Roman" w:hAnsi="Times New Roman" w:cs="Times New Roman"/>
          <w:b/>
          <w:sz w:val="21"/>
        </w:rPr>
        <w:t>.</w:t>
      </w:r>
      <w:r>
        <w:rPr>
          <w:rFonts w:ascii="Times New Roman" w:hAnsi="Times New Roman" w:eastAsia="黑体" w:cs="Times New Roman"/>
          <w:b/>
          <w:sz w:val="21"/>
        </w:rPr>
        <w:t xml:space="preserve">9 </w:t>
      </w:r>
      <w:r>
        <w:rPr>
          <w:rFonts w:ascii="Times New Roman" w:hAnsi="Times New Roman" w:eastAsia="黑体" w:cs="Times New Roman"/>
          <w:sz w:val="21"/>
        </w:rPr>
        <w:t xml:space="preserve"> </w:t>
      </w:r>
      <w:r>
        <w:rPr>
          <w:rFonts w:ascii="Times New Roman" w:hAnsi="Times New Roman" w:cs="Times New Roman"/>
          <w:sz w:val="21"/>
        </w:rPr>
        <w:t>生态护坡的类型应包括原地绿化护坡、客土绿化护坡、喷播绿化护坡、生态材料砌筑护坡。</w:t>
      </w:r>
    </w:p>
    <w:p w14:paraId="7873094B">
      <w:pPr>
        <w:autoSpaceDE w:val="0"/>
        <w:autoSpaceDN w:val="0"/>
        <w:adjustRightInd w:val="0"/>
        <w:spacing w:line="360" w:lineRule="auto"/>
        <w:jc w:val="left"/>
        <w:rPr>
          <w:rFonts w:ascii="Times New Roman" w:hAnsi="Times New Roman" w:eastAsia="黑体"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6</w:t>
      </w:r>
      <w:r>
        <w:rPr>
          <w:rFonts w:ascii="Times New Roman" w:hAnsi="Times New Roman" w:cs="Times New Roman"/>
          <w:b/>
          <w:sz w:val="21"/>
        </w:rPr>
        <w:t>.</w:t>
      </w:r>
      <w:r>
        <w:rPr>
          <w:rFonts w:ascii="Times New Roman" w:hAnsi="Times New Roman" w:eastAsia="黑体" w:cs="Times New Roman"/>
          <w:b/>
          <w:sz w:val="21"/>
        </w:rPr>
        <w:t xml:space="preserve">10  </w:t>
      </w:r>
      <w:r>
        <w:rPr>
          <w:rFonts w:ascii="Times New Roman" w:hAnsi="Times New Roman" w:cs="Times New Roman"/>
          <w:sz w:val="21"/>
        </w:rPr>
        <w:t>应根据不同的立地条件，按表5.6.10-1～表5.6.10-4合理选择生态护坡形式。</w:t>
      </w:r>
    </w:p>
    <w:p w14:paraId="65075E22">
      <w:pPr>
        <w:autoSpaceDE w:val="0"/>
        <w:autoSpaceDN w:val="0"/>
        <w:adjustRightInd w:val="0"/>
        <w:jc w:val="center"/>
        <w:rPr>
          <w:rFonts w:ascii="Times New Roman" w:hAnsi="Times New Roman" w:eastAsia="黑体" w:cs="Times New Roman"/>
          <w:sz w:val="18"/>
          <w:szCs w:val="18"/>
        </w:rPr>
      </w:pPr>
      <w:r>
        <w:rPr>
          <w:rFonts w:ascii="Times New Roman" w:hAnsi="Times New Roman" w:eastAsia="黑体" w:cs="Times New Roman"/>
          <w:sz w:val="18"/>
          <w:szCs w:val="18"/>
        </w:rPr>
        <w:t>5</w:t>
      </w:r>
      <w:r>
        <w:rPr>
          <w:rFonts w:ascii="Times New Roman" w:hAnsi="Times New Roman" w:cs="Times New Roman"/>
          <w:sz w:val="18"/>
          <w:szCs w:val="18"/>
        </w:rPr>
        <w:t>.</w:t>
      </w:r>
      <w:r>
        <w:rPr>
          <w:rFonts w:ascii="Times New Roman" w:hAnsi="Times New Roman" w:eastAsia="黑体" w:cs="Times New Roman"/>
          <w:sz w:val="18"/>
          <w:szCs w:val="18"/>
        </w:rPr>
        <w:t>6</w:t>
      </w:r>
      <w:r>
        <w:rPr>
          <w:rFonts w:ascii="Times New Roman" w:hAnsi="Times New Roman" w:cs="Times New Roman"/>
          <w:sz w:val="18"/>
          <w:szCs w:val="18"/>
        </w:rPr>
        <w:t>.</w:t>
      </w:r>
      <w:r>
        <w:rPr>
          <w:rFonts w:ascii="Times New Roman" w:hAnsi="Times New Roman" w:eastAsia="黑体" w:cs="Times New Roman"/>
          <w:sz w:val="18"/>
          <w:szCs w:val="18"/>
        </w:rPr>
        <w:t>10-1  原地绿化护坡适用条件</w:t>
      </w:r>
    </w:p>
    <w:tbl>
      <w:tblPr>
        <w:tblStyle w:val="10"/>
        <w:tblW w:w="8519" w:type="dxa"/>
        <w:tblInd w:w="0" w:type="dxa"/>
        <w:tblLayout w:type="fixed"/>
        <w:tblCellMar>
          <w:top w:w="0" w:type="dxa"/>
          <w:left w:w="108" w:type="dxa"/>
          <w:bottom w:w="0" w:type="dxa"/>
          <w:right w:w="108" w:type="dxa"/>
        </w:tblCellMar>
      </w:tblPr>
      <w:tblGrid>
        <w:gridCol w:w="1738"/>
        <w:gridCol w:w="2040"/>
        <w:gridCol w:w="4741"/>
      </w:tblGrid>
      <w:tr w14:paraId="4DD13B62">
        <w:tblPrEx>
          <w:tblCellMar>
            <w:top w:w="0" w:type="dxa"/>
            <w:left w:w="108" w:type="dxa"/>
            <w:bottom w:w="0" w:type="dxa"/>
            <w:right w:w="108" w:type="dxa"/>
          </w:tblCellMar>
        </w:tblPrEx>
        <w:trPr>
          <w:trHeight w:val="23" w:hRule="atLeast"/>
        </w:trPr>
        <w:tc>
          <w:tcPr>
            <w:tcW w:w="1738" w:type="dxa"/>
            <w:tcBorders>
              <w:top w:val="single" w:color="auto" w:sz="12" w:space="0"/>
              <w:left w:val="single" w:color="auto" w:sz="12" w:space="0"/>
              <w:bottom w:val="single" w:color="auto" w:sz="4" w:space="0"/>
              <w:right w:val="single" w:color="auto" w:sz="4" w:space="0"/>
            </w:tcBorders>
            <w:vAlign w:val="center"/>
          </w:tcPr>
          <w:p w14:paraId="317C30B7">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防护形式</w:t>
            </w:r>
          </w:p>
        </w:tc>
        <w:tc>
          <w:tcPr>
            <w:tcW w:w="2040" w:type="dxa"/>
            <w:tcBorders>
              <w:top w:val="single" w:color="auto" w:sz="12" w:space="0"/>
              <w:left w:val="single" w:color="auto" w:sz="4" w:space="0"/>
              <w:bottom w:val="single" w:color="auto" w:sz="4" w:space="0"/>
              <w:right w:val="single" w:color="auto" w:sz="4" w:space="0"/>
            </w:tcBorders>
            <w:vAlign w:val="center"/>
          </w:tcPr>
          <w:p w14:paraId="58D8A6B6">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最大坡比</w:t>
            </w:r>
          </w:p>
        </w:tc>
        <w:tc>
          <w:tcPr>
            <w:tcW w:w="4741" w:type="dxa"/>
            <w:tcBorders>
              <w:top w:val="single" w:color="auto" w:sz="12" w:space="0"/>
              <w:left w:val="single" w:color="auto" w:sz="4" w:space="0"/>
              <w:bottom w:val="single" w:color="auto" w:sz="4" w:space="0"/>
              <w:right w:val="single" w:color="auto" w:sz="12" w:space="0"/>
            </w:tcBorders>
            <w:vAlign w:val="center"/>
          </w:tcPr>
          <w:p w14:paraId="39014500">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岩土类型</w:t>
            </w:r>
          </w:p>
        </w:tc>
      </w:tr>
      <w:tr w14:paraId="182FCD97">
        <w:tblPrEx>
          <w:tblCellMar>
            <w:top w:w="0" w:type="dxa"/>
            <w:left w:w="108" w:type="dxa"/>
            <w:bottom w:w="0" w:type="dxa"/>
            <w:right w:w="108" w:type="dxa"/>
          </w:tblCellMar>
        </w:tblPrEx>
        <w:trPr>
          <w:trHeight w:val="23" w:hRule="atLeast"/>
        </w:trPr>
        <w:tc>
          <w:tcPr>
            <w:tcW w:w="1738" w:type="dxa"/>
            <w:tcBorders>
              <w:top w:val="single" w:color="auto" w:sz="4" w:space="0"/>
              <w:left w:val="single" w:color="auto" w:sz="12" w:space="0"/>
              <w:bottom w:val="single" w:color="auto" w:sz="4" w:space="0"/>
              <w:right w:val="single" w:color="auto" w:sz="4" w:space="0"/>
            </w:tcBorders>
            <w:vAlign w:val="center"/>
          </w:tcPr>
          <w:p w14:paraId="550A94C8">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撒播种子</w:t>
            </w:r>
          </w:p>
        </w:tc>
        <w:tc>
          <w:tcPr>
            <w:tcW w:w="2040" w:type="dxa"/>
            <w:tcBorders>
              <w:top w:val="single" w:color="auto" w:sz="4" w:space="0"/>
              <w:left w:val="single" w:color="auto" w:sz="4" w:space="0"/>
              <w:bottom w:val="single" w:color="auto" w:sz="4" w:space="0"/>
              <w:right w:val="single" w:color="auto" w:sz="4" w:space="0"/>
            </w:tcBorders>
            <w:vAlign w:val="center"/>
          </w:tcPr>
          <w:p w14:paraId="71CE8D6E">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2.00</w:t>
            </w:r>
          </w:p>
        </w:tc>
        <w:tc>
          <w:tcPr>
            <w:tcW w:w="4741" w:type="dxa"/>
            <w:tcBorders>
              <w:top w:val="single" w:color="auto" w:sz="4" w:space="0"/>
              <w:left w:val="single" w:color="auto" w:sz="4" w:space="0"/>
              <w:bottom w:val="single" w:color="auto" w:sz="4" w:space="0"/>
              <w:right w:val="single" w:color="auto" w:sz="12" w:space="0"/>
            </w:tcBorders>
            <w:vAlign w:val="center"/>
          </w:tcPr>
          <w:p w14:paraId="0E2BB3EC">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土质、沙土质边坡</w:t>
            </w:r>
          </w:p>
        </w:tc>
      </w:tr>
      <w:tr w14:paraId="5A5D52B8">
        <w:tblPrEx>
          <w:tblCellMar>
            <w:top w:w="0" w:type="dxa"/>
            <w:left w:w="108" w:type="dxa"/>
            <w:bottom w:w="0" w:type="dxa"/>
            <w:right w:w="108" w:type="dxa"/>
          </w:tblCellMar>
        </w:tblPrEx>
        <w:trPr>
          <w:trHeight w:val="23" w:hRule="atLeast"/>
        </w:trPr>
        <w:tc>
          <w:tcPr>
            <w:tcW w:w="1738" w:type="dxa"/>
            <w:tcBorders>
              <w:top w:val="single" w:color="auto" w:sz="4" w:space="0"/>
              <w:left w:val="single" w:color="auto" w:sz="12" w:space="0"/>
              <w:bottom w:val="single" w:color="auto" w:sz="4" w:space="0"/>
              <w:right w:val="single" w:color="auto" w:sz="4" w:space="0"/>
            </w:tcBorders>
            <w:vAlign w:val="center"/>
          </w:tcPr>
          <w:p w14:paraId="59317CE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穴播、条播种子</w:t>
            </w:r>
          </w:p>
        </w:tc>
        <w:tc>
          <w:tcPr>
            <w:tcW w:w="2040" w:type="dxa"/>
            <w:tcBorders>
              <w:top w:val="single" w:color="auto" w:sz="4" w:space="0"/>
              <w:left w:val="single" w:color="auto" w:sz="4" w:space="0"/>
              <w:bottom w:val="single" w:color="auto" w:sz="4" w:space="0"/>
              <w:right w:val="single" w:color="auto" w:sz="4" w:space="0"/>
            </w:tcBorders>
            <w:vAlign w:val="center"/>
          </w:tcPr>
          <w:p w14:paraId="299CF96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1.50</w:t>
            </w:r>
          </w:p>
        </w:tc>
        <w:tc>
          <w:tcPr>
            <w:tcW w:w="4741" w:type="dxa"/>
            <w:tcBorders>
              <w:top w:val="single" w:color="auto" w:sz="4" w:space="0"/>
              <w:left w:val="single" w:color="auto" w:sz="4" w:space="0"/>
              <w:bottom w:val="single" w:color="auto" w:sz="4" w:space="0"/>
              <w:right w:val="single" w:color="auto" w:sz="12" w:space="0"/>
            </w:tcBorders>
            <w:vAlign w:val="center"/>
          </w:tcPr>
          <w:p w14:paraId="091B429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土质、沙土质边坡</w:t>
            </w:r>
          </w:p>
        </w:tc>
      </w:tr>
      <w:tr w14:paraId="61D20259">
        <w:tblPrEx>
          <w:tblCellMar>
            <w:top w:w="0" w:type="dxa"/>
            <w:left w:w="108" w:type="dxa"/>
            <w:bottom w:w="0" w:type="dxa"/>
            <w:right w:w="108" w:type="dxa"/>
          </w:tblCellMar>
        </w:tblPrEx>
        <w:trPr>
          <w:trHeight w:val="23" w:hRule="atLeast"/>
        </w:trPr>
        <w:tc>
          <w:tcPr>
            <w:tcW w:w="1738" w:type="dxa"/>
            <w:tcBorders>
              <w:top w:val="single" w:color="auto" w:sz="4" w:space="0"/>
              <w:left w:val="single" w:color="auto" w:sz="12" w:space="0"/>
              <w:bottom w:val="single" w:color="auto" w:sz="4" w:space="0"/>
              <w:right w:val="single" w:color="auto" w:sz="4" w:space="0"/>
            </w:tcBorders>
            <w:shd w:val="clear" w:color="auto" w:fill="auto"/>
            <w:vAlign w:val="center"/>
          </w:tcPr>
          <w:p w14:paraId="19E30377">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铺草皮</w:t>
            </w:r>
          </w:p>
        </w:tc>
        <w:tc>
          <w:tcPr>
            <w:tcW w:w="2040" w:type="dxa"/>
            <w:tcBorders>
              <w:top w:val="single" w:color="auto" w:sz="4" w:space="0"/>
              <w:left w:val="single" w:color="auto" w:sz="4" w:space="0"/>
              <w:bottom w:val="single" w:color="auto" w:sz="4" w:space="0"/>
              <w:right w:val="single" w:color="auto" w:sz="4" w:space="0"/>
            </w:tcBorders>
            <w:shd w:val="clear" w:color="auto" w:fill="auto"/>
            <w:vAlign w:val="center"/>
          </w:tcPr>
          <w:p w14:paraId="49C5BEEF">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1.00</w:t>
            </w:r>
          </w:p>
        </w:tc>
        <w:tc>
          <w:tcPr>
            <w:tcW w:w="4741" w:type="dxa"/>
            <w:tcBorders>
              <w:top w:val="single" w:color="auto" w:sz="4" w:space="0"/>
              <w:left w:val="single" w:color="auto" w:sz="4" w:space="0"/>
              <w:bottom w:val="single" w:color="auto" w:sz="4" w:space="0"/>
              <w:right w:val="single" w:color="auto" w:sz="12" w:space="0"/>
            </w:tcBorders>
            <w:shd w:val="clear" w:color="auto" w:fill="auto"/>
            <w:vAlign w:val="center"/>
          </w:tcPr>
          <w:p w14:paraId="79A22858">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土质、沙土质、土石混合边坡</w:t>
            </w:r>
          </w:p>
        </w:tc>
      </w:tr>
      <w:tr w14:paraId="416C75AB">
        <w:tblPrEx>
          <w:tblCellMar>
            <w:top w:w="0" w:type="dxa"/>
            <w:left w:w="108" w:type="dxa"/>
            <w:bottom w:w="0" w:type="dxa"/>
            <w:right w:w="108" w:type="dxa"/>
          </w:tblCellMar>
        </w:tblPrEx>
        <w:trPr>
          <w:trHeight w:val="23" w:hRule="atLeast"/>
        </w:trPr>
        <w:tc>
          <w:tcPr>
            <w:tcW w:w="1738" w:type="dxa"/>
            <w:tcBorders>
              <w:top w:val="single" w:color="auto" w:sz="4" w:space="0"/>
              <w:left w:val="single" w:color="auto" w:sz="12" w:space="0"/>
              <w:bottom w:val="single" w:color="auto" w:sz="4" w:space="0"/>
              <w:right w:val="single" w:color="auto" w:sz="4" w:space="0"/>
            </w:tcBorders>
            <w:vAlign w:val="center"/>
          </w:tcPr>
          <w:p w14:paraId="1CB2B041">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栽草</w:t>
            </w:r>
          </w:p>
        </w:tc>
        <w:tc>
          <w:tcPr>
            <w:tcW w:w="2040" w:type="dxa"/>
            <w:tcBorders>
              <w:top w:val="single" w:color="auto" w:sz="4" w:space="0"/>
              <w:left w:val="single" w:color="auto" w:sz="4" w:space="0"/>
              <w:bottom w:val="single" w:color="auto" w:sz="4" w:space="0"/>
              <w:right w:val="single" w:color="auto" w:sz="4" w:space="0"/>
            </w:tcBorders>
            <w:vAlign w:val="center"/>
          </w:tcPr>
          <w:p w14:paraId="22C7B15B">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1.25</w:t>
            </w:r>
          </w:p>
        </w:tc>
        <w:tc>
          <w:tcPr>
            <w:tcW w:w="4741" w:type="dxa"/>
            <w:tcBorders>
              <w:top w:val="single" w:color="auto" w:sz="4" w:space="0"/>
              <w:left w:val="single" w:color="auto" w:sz="4" w:space="0"/>
              <w:bottom w:val="single" w:color="auto" w:sz="4" w:space="0"/>
              <w:right w:val="single" w:color="auto" w:sz="12" w:space="0"/>
            </w:tcBorders>
            <w:vAlign w:val="center"/>
          </w:tcPr>
          <w:p w14:paraId="36F9870F">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土质、沙土质边坡</w:t>
            </w:r>
          </w:p>
        </w:tc>
      </w:tr>
      <w:tr w14:paraId="3C4C83D0">
        <w:tblPrEx>
          <w:tblCellMar>
            <w:top w:w="0" w:type="dxa"/>
            <w:left w:w="108" w:type="dxa"/>
            <w:bottom w:w="0" w:type="dxa"/>
            <w:right w:w="108" w:type="dxa"/>
          </w:tblCellMar>
        </w:tblPrEx>
        <w:trPr>
          <w:trHeight w:val="23" w:hRule="atLeast"/>
        </w:trPr>
        <w:tc>
          <w:tcPr>
            <w:tcW w:w="1738" w:type="dxa"/>
            <w:tcBorders>
              <w:top w:val="single" w:color="auto" w:sz="4" w:space="0"/>
              <w:left w:val="single" w:color="auto" w:sz="12" w:space="0"/>
              <w:bottom w:val="single" w:color="auto" w:sz="12" w:space="0"/>
              <w:right w:val="single" w:color="auto" w:sz="4" w:space="0"/>
            </w:tcBorders>
            <w:vAlign w:val="center"/>
          </w:tcPr>
          <w:p w14:paraId="56DB8213">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栽乔灌</w:t>
            </w:r>
          </w:p>
        </w:tc>
        <w:tc>
          <w:tcPr>
            <w:tcW w:w="2040" w:type="dxa"/>
            <w:tcBorders>
              <w:top w:val="single" w:color="auto" w:sz="4" w:space="0"/>
              <w:left w:val="single" w:color="auto" w:sz="4" w:space="0"/>
              <w:bottom w:val="single" w:color="auto" w:sz="12" w:space="0"/>
              <w:right w:val="single" w:color="auto" w:sz="4" w:space="0"/>
            </w:tcBorders>
            <w:vAlign w:val="center"/>
          </w:tcPr>
          <w:p w14:paraId="31F110BA">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1.50</w:t>
            </w:r>
          </w:p>
        </w:tc>
        <w:tc>
          <w:tcPr>
            <w:tcW w:w="4741" w:type="dxa"/>
            <w:tcBorders>
              <w:top w:val="single" w:color="auto" w:sz="4" w:space="0"/>
              <w:left w:val="single" w:color="auto" w:sz="4" w:space="0"/>
              <w:bottom w:val="single" w:color="auto" w:sz="12" w:space="0"/>
              <w:right w:val="single" w:color="auto" w:sz="12" w:space="0"/>
            </w:tcBorders>
            <w:vAlign w:val="center"/>
          </w:tcPr>
          <w:p w14:paraId="5658F481">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土质、沙土质、土石混合、软质岩、全风化硬质岩边坡</w:t>
            </w:r>
          </w:p>
        </w:tc>
      </w:tr>
    </w:tbl>
    <w:p w14:paraId="7A235765">
      <w:pPr>
        <w:autoSpaceDE w:val="0"/>
        <w:autoSpaceDN w:val="0"/>
        <w:adjustRightInd w:val="0"/>
        <w:jc w:val="center"/>
        <w:rPr>
          <w:rFonts w:ascii="Times New Roman" w:hAnsi="Times New Roman" w:eastAsia="黑体" w:cs="Times New Roman"/>
          <w:sz w:val="18"/>
          <w:szCs w:val="18"/>
        </w:rPr>
      </w:pPr>
    </w:p>
    <w:p w14:paraId="7C7ED39C">
      <w:pPr>
        <w:autoSpaceDE w:val="0"/>
        <w:autoSpaceDN w:val="0"/>
        <w:adjustRightInd w:val="0"/>
        <w:jc w:val="center"/>
        <w:rPr>
          <w:rFonts w:ascii="Times New Roman" w:hAnsi="Times New Roman" w:eastAsia="黑体" w:cs="Times New Roman"/>
          <w:sz w:val="18"/>
          <w:szCs w:val="18"/>
        </w:rPr>
      </w:pPr>
    </w:p>
    <w:p w14:paraId="22B83863">
      <w:pPr>
        <w:autoSpaceDE w:val="0"/>
        <w:autoSpaceDN w:val="0"/>
        <w:adjustRightInd w:val="0"/>
        <w:jc w:val="center"/>
        <w:rPr>
          <w:rFonts w:ascii="Times New Roman" w:hAnsi="Times New Roman" w:eastAsia="黑体" w:cs="Times New Roman"/>
          <w:sz w:val="21"/>
        </w:rPr>
      </w:pPr>
      <w:r>
        <w:rPr>
          <w:rFonts w:ascii="Times New Roman" w:hAnsi="Times New Roman" w:eastAsia="黑体" w:cs="Times New Roman"/>
          <w:sz w:val="18"/>
          <w:szCs w:val="18"/>
        </w:rPr>
        <w:t>5</w:t>
      </w:r>
      <w:r>
        <w:rPr>
          <w:rFonts w:ascii="Times New Roman" w:hAnsi="Times New Roman" w:cs="Times New Roman"/>
          <w:sz w:val="18"/>
          <w:szCs w:val="18"/>
        </w:rPr>
        <w:t>.</w:t>
      </w:r>
      <w:r>
        <w:rPr>
          <w:rFonts w:ascii="Times New Roman" w:hAnsi="Times New Roman" w:eastAsia="黑体" w:cs="Times New Roman"/>
          <w:sz w:val="18"/>
          <w:szCs w:val="18"/>
        </w:rPr>
        <w:t>6</w:t>
      </w:r>
      <w:r>
        <w:rPr>
          <w:rFonts w:ascii="Times New Roman" w:hAnsi="Times New Roman" w:cs="Times New Roman"/>
          <w:sz w:val="18"/>
          <w:szCs w:val="18"/>
        </w:rPr>
        <w:t>.</w:t>
      </w:r>
      <w:r>
        <w:rPr>
          <w:rFonts w:ascii="Times New Roman" w:hAnsi="Times New Roman" w:eastAsia="黑体" w:cs="Times New Roman"/>
          <w:sz w:val="18"/>
          <w:szCs w:val="18"/>
        </w:rPr>
        <w:t>10-2  常用客土绿化护坡适用条件</w:t>
      </w:r>
    </w:p>
    <w:tbl>
      <w:tblPr>
        <w:tblStyle w:val="10"/>
        <w:tblW w:w="0" w:type="auto"/>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32"/>
        <w:gridCol w:w="2032"/>
        <w:gridCol w:w="4756"/>
      </w:tblGrid>
      <w:tr w14:paraId="4036DC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32" w:type="dxa"/>
            <w:tcBorders>
              <w:tl2br w:val="nil"/>
              <w:tr2bl w:val="nil"/>
            </w:tcBorders>
            <w:vAlign w:val="center"/>
          </w:tcPr>
          <w:p w14:paraId="6018873C">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防护形式</w:t>
            </w:r>
          </w:p>
        </w:tc>
        <w:tc>
          <w:tcPr>
            <w:tcW w:w="2032" w:type="dxa"/>
            <w:tcBorders>
              <w:tl2br w:val="nil"/>
              <w:tr2bl w:val="nil"/>
            </w:tcBorders>
            <w:vAlign w:val="center"/>
          </w:tcPr>
          <w:p w14:paraId="00EEA6F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最大坡比</w:t>
            </w:r>
          </w:p>
        </w:tc>
        <w:tc>
          <w:tcPr>
            <w:tcW w:w="4756" w:type="dxa"/>
            <w:tcBorders>
              <w:tl2br w:val="nil"/>
              <w:tr2bl w:val="nil"/>
            </w:tcBorders>
            <w:vAlign w:val="center"/>
          </w:tcPr>
          <w:p w14:paraId="4ADC5B88">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坡面性质</w:t>
            </w:r>
          </w:p>
        </w:tc>
      </w:tr>
      <w:tr w14:paraId="68B10C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32" w:type="dxa"/>
            <w:tcBorders>
              <w:tl2br w:val="nil"/>
              <w:tr2bl w:val="nil"/>
            </w:tcBorders>
            <w:vAlign w:val="center"/>
          </w:tcPr>
          <w:p w14:paraId="235D111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格状框条</w:t>
            </w:r>
          </w:p>
        </w:tc>
        <w:tc>
          <w:tcPr>
            <w:tcW w:w="2032" w:type="dxa"/>
            <w:tcBorders>
              <w:tl2br w:val="nil"/>
              <w:tr2bl w:val="nil"/>
            </w:tcBorders>
            <w:vAlign w:val="center"/>
          </w:tcPr>
          <w:p w14:paraId="1C41759C">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1.50</w:t>
            </w:r>
          </w:p>
        </w:tc>
        <w:tc>
          <w:tcPr>
            <w:tcW w:w="4756" w:type="dxa"/>
            <w:tcBorders>
              <w:tl2br w:val="nil"/>
              <w:tr2bl w:val="nil"/>
            </w:tcBorders>
            <w:vAlign w:val="center"/>
          </w:tcPr>
          <w:p w14:paraId="1D60C5A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土质、沙土质、土石混合、岩质边坡</w:t>
            </w:r>
          </w:p>
        </w:tc>
      </w:tr>
      <w:tr w14:paraId="68A669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32" w:type="dxa"/>
            <w:tcBorders>
              <w:tl2br w:val="nil"/>
              <w:tr2bl w:val="nil"/>
            </w:tcBorders>
            <w:vAlign w:val="center"/>
          </w:tcPr>
          <w:p w14:paraId="2514D27E">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钢筋混凝土框架</w:t>
            </w:r>
          </w:p>
        </w:tc>
        <w:tc>
          <w:tcPr>
            <w:tcW w:w="2032" w:type="dxa"/>
            <w:tcBorders>
              <w:tl2br w:val="nil"/>
              <w:tr2bl w:val="nil"/>
            </w:tcBorders>
            <w:vAlign w:val="center"/>
          </w:tcPr>
          <w:p w14:paraId="4D1EDA42">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1.00</w:t>
            </w:r>
          </w:p>
        </w:tc>
        <w:tc>
          <w:tcPr>
            <w:tcW w:w="4756" w:type="dxa"/>
            <w:tcBorders>
              <w:tl2br w:val="nil"/>
              <w:tr2bl w:val="nil"/>
            </w:tcBorders>
            <w:vAlign w:val="center"/>
          </w:tcPr>
          <w:p w14:paraId="4476782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浅层稳定性差的土质、沙土质、土石混合、岩质边坡</w:t>
            </w:r>
          </w:p>
        </w:tc>
      </w:tr>
      <w:tr w14:paraId="4F364F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32" w:type="dxa"/>
            <w:tcBorders>
              <w:tl2br w:val="nil"/>
              <w:tr2bl w:val="nil"/>
            </w:tcBorders>
            <w:vAlign w:val="center"/>
          </w:tcPr>
          <w:p w14:paraId="6511EC0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小平台或沟穴修整种植</w:t>
            </w:r>
          </w:p>
        </w:tc>
        <w:tc>
          <w:tcPr>
            <w:tcW w:w="2032" w:type="dxa"/>
            <w:tcBorders>
              <w:tl2br w:val="nil"/>
              <w:tr2bl w:val="nil"/>
            </w:tcBorders>
            <w:vAlign w:val="center"/>
          </w:tcPr>
          <w:p w14:paraId="4B3AC092">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0.50</w:t>
            </w:r>
          </w:p>
        </w:tc>
        <w:tc>
          <w:tcPr>
            <w:tcW w:w="4756" w:type="dxa"/>
            <w:tcBorders>
              <w:tl2br w:val="nil"/>
              <w:tr2bl w:val="nil"/>
            </w:tcBorders>
            <w:vAlign w:val="center"/>
          </w:tcPr>
          <w:p w14:paraId="1AEE0F57">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土质、沙土质、土石混合、软质岩、全风化硬质岩边坡</w:t>
            </w:r>
          </w:p>
        </w:tc>
      </w:tr>
      <w:tr w14:paraId="651FBE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32" w:type="dxa"/>
            <w:tcBorders>
              <w:tl2br w:val="nil"/>
              <w:tr2bl w:val="nil"/>
            </w:tcBorders>
            <w:vAlign w:val="center"/>
          </w:tcPr>
          <w:p w14:paraId="1A3B731F">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开凿植生槽</w:t>
            </w:r>
          </w:p>
        </w:tc>
        <w:tc>
          <w:tcPr>
            <w:tcW w:w="2032" w:type="dxa"/>
            <w:tcBorders>
              <w:tl2br w:val="nil"/>
              <w:tr2bl w:val="nil"/>
            </w:tcBorders>
            <w:vAlign w:val="center"/>
          </w:tcPr>
          <w:p w14:paraId="479C5118">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不限</w:t>
            </w:r>
          </w:p>
        </w:tc>
        <w:tc>
          <w:tcPr>
            <w:tcW w:w="4756" w:type="dxa"/>
            <w:tcBorders>
              <w:tl2br w:val="nil"/>
              <w:tr2bl w:val="nil"/>
            </w:tcBorders>
            <w:vAlign w:val="center"/>
          </w:tcPr>
          <w:p w14:paraId="728D79F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岩壁</w:t>
            </w:r>
          </w:p>
        </w:tc>
      </w:tr>
      <w:tr w14:paraId="4AC97C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32" w:type="dxa"/>
            <w:tcBorders>
              <w:tl2br w:val="nil"/>
              <w:tr2bl w:val="nil"/>
            </w:tcBorders>
            <w:vAlign w:val="center"/>
          </w:tcPr>
          <w:p w14:paraId="395BC70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砌筑植生槽</w:t>
            </w:r>
          </w:p>
        </w:tc>
        <w:tc>
          <w:tcPr>
            <w:tcW w:w="2032" w:type="dxa"/>
            <w:tcBorders>
              <w:tl2br w:val="nil"/>
              <w:tr2bl w:val="nil"/>
            </w:tcBorders>
            <w:vAlign w:val="center"/>
          </w:tcPr>
          <w:p w14:paraId="6370DEBE">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不限</w:t>
            </w:r>
          </w:p>
        </w:tc>
        <w:tc>
          <w:tcPr>
            <w:tcW w:w="4756" w:type="dxa"/>
            <w:tcBorders>
              <w:tl2br w:val="nil"/>
              <w:tr2bl w:val="nil"/>
            </w:tcBorders>
            <w:vAlign w:val="center"/>
          </w:tcPr>
          <w:p w14:paraId="65D00872">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硬质岩边坡、人工硬质护坡坡面、构筑物坡面</w:t>
            </w:r>
          </w:p>
        </w:tc>
      </w:tr>
      <w:tr w14:paraId="5F54C4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32" w:type="dxa"/>
            <w:tcBorders>
              <w:tl2br w:val="nil"/>
              <w:tr2bl w:val="nil"/>
            </w:tcBorders>
            <w:vAlign w:val="center"/>
          </w:tcPr>
          <w:p w14:paraId="769F690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混凝土延伸植生槽</w:t>
            </w:r>
          </w:p>
        </w:tc>
        <w:tc>
          <w:tcPr>
            <w:tcW w:w="2032" w:type="dxa"/>
            <w:tcBorders>
              <w:tl2br w:val="nil"/>
              <w:tr2bl w:val="nil"/>
            </w:tcBorders>
            <w:vAlign w:val="center"/>
          </w:tcPr>
          <w:p w14:paraId="1044A6D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不限</w:t>
            </w:r>
          </w:p>
        </w:tc>
        <w:tc>
          <w:tcPr>
            <w:tcW w:w="4756" w:type="dxa"/>
            <w:tcBorders>
              <w:tl2br w:val="nil"/>
              <w:tr2bl w:val="nil"/>
            </w:tcBorders>
            <w:vAlign w:val="center"/>
          </w:tcPr>
          <w:p w14:paraId="64EED52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硬质岩边坡、人工硬质护坡坡面、构筑物坡面</w:t>
            </w:r>
          </w:p>
        </w:tc>
      </w:tr>
    </w:tbl>
    <w:p w14:paraId="7467577D">
      <w:pPr>
        <w:autoSpaceDE w:val="0"/>
        <w:autoSpaceDN w:val="0"/>
        <w:adjustRightInd w:val="0"/>
        <w:jc w:val="center"/>
        <w:rPr>
          <w:rFonts w:ascii="Times New Roman" w:hAnsi="Times New Roman" w:cs="Times New Roman"/>
          <w:sz w:val="21"/>
        </w:rPr>
      </w:pPr>
      <w:r>
        <w:rPr>
          <w:rFonts w:ascii="Times New Roman" w:hAnsi="Times New Roman" w:eastAsia="黑体" w:cs="Times New Roman"/>
          <w:sz w:val="18"/>
          <w:szCs w:val="18"/>
        </w:rPr>
        <w:t>5</w:t>
      </w:r>
      <w:r>
        <w:rPr>
          <w:rFonts w:ascii="Times New Roman" w:hAnsi="Times New Roman" w:cs="Times New Roman"/>
          <w:sz w:val="18"/>
          <w:szCs w:val="18"/>
        </w:rPr>
        <w:t>.</w:t>
      </w:r>
      <w:r>
        <w:rPr>
          <w:rFonts w:ascii="Times New Roman" w:hAnsi="Times New Roman" w:eastAsia="黑体" w:cs="Times New Roman"/>
          <w:sz w:val="18"/>
          <w:szCs w:val="18"/>
        </w:rPr>
        <w:t>6</w:t>
      </w:r>
      <w:r>
        <w:rPr>
          <w:rFonts w:ascii="Times New Roman" w:hAnsi="Times New Roman" w:cs="Times New Roman"/>
          <w:sz w:val="18"/>
          <w:szCs w:val="18"/>
        </w:rPr>
        <w:t>.</w:t>
      </w:r>
      <w:r>
        <w:rPr>
          <w:rFonts w:ascii="Times New Roman" w:hAnsi="Times New Roman" w:eastAsia="黑体" w:cs="Times New Roman"/>
          <w:sz w:val="18"/>
          <w:szCs w:val="18"/>
        </w:rPr>
        <w:t>10-3  常用喷播绿化护坡适用条件</w:t>
      </w:r>
    </w:p>
    <w:tbl>
      <w:tblPr>
        <w:tblStyle w:val="10"/>
        <w:tblW w:w="0" w:type="auto"/>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29"/>
        <w:gridCol w:w="2035"/>
        <w:gridCol w:w="4755"/>
      </w:tblGrid>
      <w:tr w14:paraId="7AAF74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29" w:type="dxa"/>
            <w:tcBorders>
              <w:tl2br w:val="nil"/>
              <w:tr2bl w:val="nil"/>
            </w:tcBorders>
            <w:vAlign w:val="center"/>
          </w:tcPr>
          <w:p w14:paraId="517D8A27">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防护形式</w:t>
            </w:r>
          </w:p>
        </w:tc>
        <w:tc>
          <w:tcPr>
            <w:tcW w:w="2035" w:type="dxa"/>
            <w:tcBorders>
              <w:tl2br w:val="nil"/>
              <w:tr2bl w:val="nil"/>
            </w:tcBorders>
            <w:vAlign w:val="center"/>
          </w:tcPr>
          <w:p w14:paraId="4342927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最大坡比</w:t>
            </w:r>
          </w:p>
        </w:tc>
        <w:tc>
          <w:tcPr>
            <w:tcW w:w="4755" w:type="dxa"/>
            <w:tcBorders>
              <w:tl2br w:val="nil"/>
              <w:tr2bl w:val="nil"/>
            </w:tcBorders>
            <w:vAlign w:val="center"/>
          </w:tcPr>
          <w:p w14:paraId="37DBE90C">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坡面性质</w:t>
            </w:r>
          </w:p>
        </w:tc>
      </w:tr>
      <w:tr w14:paraId="2ACB61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29" w:type="dxa"/>
            <w:tcBorders>
              <w:tl2br w:val="nil"/>
              <w:tr2bl w:val="nil"/>
            </w:tcBorders>
            <w:vAlign w:val="center"/>
          </w:tcPr>
          <w:p w14:paraId="3CB1FF0F">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液力喷播</w:t>
            </w:r>
          </w:p>
        </w:tc>
        <w:tc>
          <w:tcPr>
            <w:tcW w:w="2035" w:type="dxa"/>
            <w:tcBorders>
              <w:tl2br w:val="nil"/>
              <w:tr2bl w:val="nil"/>
            </w:tcBorders>
            <w:vAlign w:val="center"/>
          </w:tcPr>
          <w:p w14:paraId="2E4C943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1.00</w:t>
            </w:r>
          </w:p>
        </w:tc>
        <w:tc>
          <w:tcPr>
            <w:tcW w:w="4755" w:type="dxa"/>
            <w:tcBorders>
              <w:tl2br w:val="nil"/>
              <w:tr2bl w:val="nil"/>
            </w:tcBorders>
            <w:vAlign w:val="center"/>
          </w:tcPr>
          <w:p w14:paraId="3248C2B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土质、沙土质边坡、土石混合边坡</w:t>
            </w:r>
          </w:p>
        </w:tc>
      </w:tr>
      <w:tr w14:paraId="27826E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29" w:type="dxa"/>
            <w:tcBorders>
              <w:tl2br w:val="nil"/>
              <w:tr2bl w:val="nil"/>
            </w:tcBorders>
            <w:vAlign w:val="center"/>
          </w:tcPr>
          <w:p w14:paraId="246BE2CD">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液力客土喷播</w:t>
            </w:r>
          </w:p>
        </w:tc>
        <w:tc>
          <w:tcPr>
            <w:tcW w:w="2035" w:type="dxa"/>
            <w:tcBorders>
              <w:tl2br w:val="nil"/>
              <w:tr2bl w:val="nil"/>
            </w:tcBorders>
            <w:vAlign w:val="center"/>
          </w:tcPr>
          <w:p w14:paraId="2F89E34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1.00</w:t>
            </w:r>
          </w:p>
        </w:tc>
        <w:tc>
          <w:tcPr>
            <w:tcW w:w="4755" w:type="dxa"/>
            <w:tcBorders>
              <w:tl2br w:val="nil"/>
              <w:tr2bl w:val="nil"/>
            </w:tcBorders>
            <w:vAlign w:val="center"/>
          </w:tcPr>
          <w:p w14:paraId="09552AA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土质、沙土质、土石混合、软质岩、风化的硬质岩边坡</w:t>
            </w:r>
          </w:p>
        </w:tc>
      </w:tr>
      <w:tr w14:paraId="27AA66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29" w:type="dxa"/>
            <w:tcBorders>
              <w:tl2br w:val="nil"/>
              <w:tr2bl w:val="nil"/>
            </w:tcBorders>
            <w:vAlign w:val="center"/>
          </w:tcPr>
          <w:p w14:paraId="5A2A0B6F">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厚层基材喷播</w:t>
            </w:r>
          </w:p>
        </w:tc>
        <w:tc>
          <w:tcPr>
            <w:tcW w:w="2035" w:type="dxa"/>
            <w:tcBorders>
              <w:tl2br w:val="nil"/>
              <w:tr2bl w:val="nil"/>
            </w:tcBorders>
            <w:vAlign w:val="center"/>
          </w:tcPr>
          <w:p w14:paraId="269759D7">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0.30</w:t>
            </w:r>
          </w:p>
        </w:tc>
        <w:tc>
          <w:tcPr>
            <w:tcW w:w="4755" w:type="dxa"/>
            <w:tcBorders>
              <w:tl2br w:val="nil"/>
              <w:tr2bl w:val="nil"/>
            </w:tcBorders>
            <w:vAlign w:val="center"/>
          </w:tcPr>
          <w:p w14:paraId="51439E6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土质、沙土质、土石混合、岩质边坡</w:t>
            </w:r>
          </w:p>
        </w:tc>
      </w:tr>
    </w:tbl>
    <w:p w14:paraId="6F25EF12">
      <w:pPr>
        <w:autoSpaceDE w:val="0"/>
        <w:autoSpaceDN w:val="0"/>
        <w:adjustRightInd w:val="0"/>
        <w:jc w:val="center"/>
        <w:rPr>
          <w:rFonts w:ascii="Times New Roman" w:hAnsi="Times New Roman" w:cs="Times New Roman"/>
          <w:sz w:val="21"/>
        </w:rPr>
      </w:pPr>
      <w:r>
        <w:rPr>
          <w:rFonts w:ascii="Times New Roman" w:hAnsi="Times New Roman" w:eastAsia="黑体" w:cs="Times New Roman"/>
          <w:sz w:val="18"/>
          <w:szCs w:val="18"/>
        </w:rPr>
        <w:t>5</w:t>
      </w:r>
      <w:r>
        <w:rPr>
          <w:rFonts w:ascii="Times New Roman" w:hAnsi="Times New Roman" w:cs="Times New Roman"/>
          <w:sz w:val="18"/>
          <w:szCs w:val="18"/>
        </w:rPr>
        <w:t>.</w:t>
      </w:r>
      <w:r>
        <w:rPr>
          <w:rFonts w:ascii="Times New Roman" w:hAnsi="Times New Roman" w:eastAsia="黑体" w:cs="Times New Roman"/>
          <w:sz w:val="18"/>
          <w:szCs w:val="18"/>
        </w:rPr>
        <w:t>6</w:t>
      </w:r>
      <w:r>
        <w:rPr>
          <w:rFonts w:ascii="Times New Roman" w:hAnsi="Times New Roman" w:cs="Times New Roman"/>
          <w:sz w:val="18"/>
          <w:szCs w:val="18"/>
        </w:rPr>
        <w:t>.</w:t>
      </w:r>
      <w:r>
        <w:rPr>
          <w:rFonts w:ascii="Times New Roman" w:hAnsi="Times New Roman" w:eastAsia="黑体" w:cs="Times New Roman"/>
          <w:sz w:val="18"/>
          <w:szCs w:val="18"/>
        </w:rPr>
        <w:t>10-4  常用生态材料砌筑护坡适用条件</w:t>
      </w:r>
    </w:p>
    <w:tbl>
      <w:tblPr>
        <w:tblStyle w:val="10"/>
        <w:tblW w:w="0" w:type="auto"/>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731"/>
        <w:gridCol w:w="2031"/>
        <w:gridCol w:w="4757"/>
      </w:tblGrid>
      <w:tr w14:paraId="19635E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blHeader/>
        </w:trPr>
        <w:tc>
          <w:tcPr>
            <w:tcW w:w="1731" w:type="dxa"/>
            <w:tcBorders>
              <w:tl2br w:val="nil"/>
              <w:tr2bl w:val="nil"/>
            </w:tcBorders>
            <w:vAlign w:val="center"/>
          </w:tcPr>
          <w:p w14:paraId="6B6F7214">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防护形式</w:t>
            </w:r>
          </w:p>
        </w:tc>
        <w:tc>
          <w:tcPr>
            <w:tcW w:w="2031" w:type="dxa"/>
            <w:tcBorders>
              <w:tl2br w:val="nil"/>
              <w:tr2bl w:val="nil"/>
            </w:tcBorders>
            <w:vAlign w:val="center"/>
          </w:tcPr>
          <w:p w14:paraId="7076ED5D">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最大坡比</w:t>
            </w:r>
          </w:p>
        </w:tc>
        <w:tc>
          <w:tcPr>
            <w:tcW w:w="4757" w:type="dxa"/>
            <w:tcBorders>
              <w:tl2br w:val="nil"/>
              <w:tr2bl w:val="nil"/>
            </w:tcBorders>
            <w:vAlign w:val="center"/>
          </w:tcPr>
          <w:p w14:paraId="09B6C4FA">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坡面性质</w:t>
            </w:r>
          </w:p>
        </w:tc>
      </w:tr>
      <w:tr w14:paraId="321CEE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31" w:type="dxa"/>
            <w:tcBorders>
              <w:tl2br w:val="nil"/>
              <w:tr2bl w:val="nil"/>
            </w:tcBorders>
            <w:vAlign w:val="center"/>
          </w:tcPr>
          <w:p w14:paraId="379A3DC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生态袋</w:t>
            </w:r>
          </w:p>
        </w:tc>
        <w:tc>
          <w:tcPr>
            <w:tcW w:w="2031" w:type="dxa"/>
            <w:tcBorders>
              <w:tl2br w:val="nil"/>
              <w:tr2bl w:val="nil"/>
            </w:tcBorders>
            <w:vAlign w:val="center"/>
          </w:tcPr>
          <w:p w14:paraId="385B2227">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0.30</w:t>
            </w:r>
          </w:p>
        </w:tc>
        <w:tc>
          <w:tcPr>
            <w:tcW w:w="4757" w:type="dxa"/>
            <w:tcBorders>
              <w:tl2br w:val="nil"/>
              <w:tr2bl w:val="nil"/>
            </w:tcBorders>
            <w:vAlign w:val="center"/>
          </w:tcPr>
          <w:p w14:paraId="50CDD833">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土质、沙土质、土石混合、岩质边坡、人工硬质护坡坡面</w:t>
            </w:r>
          </w:p>
        </w:tc>
      </w:tr>
      <w:tr w14:paraId="5645C9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31" w:type="dxa"/>
            <w:tcBorders>
              <w:tl2br w:val="nil"/>
              <w:tr2bl w:val="nil"/>
            </w:tcBorders>
            <w:vAlign w:val="center"/>
          </w:tcPr>
          <w:p w14:paraId="24AD14F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现浇生态混凝土</w:t>
            </w:r>
          </w:p>
        </w:tc>
        <w:tc>
          <w:tcPr>
            <w:tcW w:w="2031" w:type="dxa"/>
            <w:tcBorders>
              <w:tl2br w:val="nil"/>
              <w:tr2bl w:val="nil"/>
            </w:tcBorders>
            <w:vAlign w:val="center"/>
          </w:tcPr>
          <w:p w14:paraId="414414AD">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0.70</w:t>
            </w:r>
          </w:p>
        </w:tc>
        <w:tc>
          <w:tcPr>
            <w:tcW w:w="4757" w:type="dxa"/>
            <w:tcBorders>
              <w:tl2br w:val="nil"/>
              <w:tr2bl w:val="nil"/>
            </w:tcBorders>
            <w:vAlign w:val="center"/>
          </w:tcPr>
          <w:p w14:paraId="456B5CC8">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土质、沙土质、土石混合、岩质边坡</w:t>
            </w:r>
          </w:p>
        </w:tc>
      </w:tr>
      <w:tr w14:paraId="439EA0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31" w:type="dxa"/>
            <w:tcBorders>
              <w:tl2br w:val="nil"/>
              <w:tr2bl w:val="nil"/>
            </w:tcBorders>
            <w:vAlign w:val="center"/>
          </w:tcPr>
          <w:p w14:paraId="59C0A80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生态格网石笼</w:t>
            </w:r>
          </w:p>
        </w:tc>
        <w:tc>
          <w:tcPr>
            <w:tcW w:w="2031" w:type="dxa"/>
            <w:tcBorders>
              <w:tl2br w:val="nil"/>
              <w:tr2bl w:val="nil"/>
            </w:tcBorders>
            <w:vAlign w:val="center"/>
          </w:tcPr>
          <w:p w14:paraId="631F9052">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0.50</w:t>
            </w:r>
          </w:p>
        </w:tc>
        <w:tc>
          <w:tcPr>
            <w:tcW w:w="4757" w:type="dxa"/>
            <w:tcBorders>
              <w:tl2br w:val="nil"/>
              <w:tr2bl w:val="nil"/>
            </w:tcBorders>
            <w:vAlign w:val="center"/>
          </w:tcPr>
          <w:p w14:paraId="119D8E8F">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土质、沙土质、土石混合边坡</w:t>
            </w:r>
          </w:p>
        </w:tc>
      </w:tr>
      <w:tr w14:paraId="09D1623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731" w:type="dxa"/>
            <w:tcBorders>
              <w:tl2br w:val="nil"/>
              <w:tr2bl w:val="nil"/>
            </w:tcBorders>
            <w:vAlign w:val="center"/>
          </w:tcPr>
          <w:p w14:paraId="5890C60C">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生态砌块</w:t>
            </w:r>
          </w:p>
        </w:tc>
        <w:tc>
          <w:tcPr>
            <w:tcW w:w="2031" w:type="dxa"/>
            <w:tcBorders>
              <w:tl2br w:val="nil"/>
              <w:tr2bl w:val="nil"/>
            </w:tcBorders>
            <w:vAlign w:val="center"/>
          </w:tcPr>
          <w:p w14:paraId="4AA1529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w:t>
            </w:r>
            <w:r>
              <w:rPr>
                <w:rFonts w:hint="eastAsia" w:ascii="Times New Roman" w:hAnsi="Times New Roman" w:cs="Times New Roman"/>
                <w:kern w:val="0"/>
                <w:sz w:val="15"/>
                <w:szCs w:val="15"/>
                <w:lang w:bidi="ar"/>
              </w:rPr>
              <w:t>:</w:t>
            </w:r>
            <w:r>
              <w:rPr>
                <w:rFonts w:ascii="Times New Roman" w:hAnsi="Times New Roman" w:cs="Times New Roman"/>
                <w:kern w:val="0"/>
                <w:sz w:val="15"/>
                <w:szCs w:val="15"/>
                <w:lang w:bidi="ar"/>
              </w:rPr>
              <w:t>0.50</w:t>
            </w:r>
          </w:p>
        </w:tc>
        <w:tc>
          <w:tcPr>
            <w:tcW w:w="4757" w:type="dxa"/>
            <w:tcBorders>
              <w:tl2br w:val="nil"/>
              <w:tr2bl w:val="nil"/>
            </w:tcBorders>
            <w:vAlign w:val="center"/>
          </w:tcPr>
          <w:p w14:paraId="63536AC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土质、沙土质、土石混合边坡</w:t>
            </w:r>
          </w:p>
        </w:tc>
      </w:tr>
    </w:tbl>
    <w:p w14:paraId="01143AB0">
      <w:pPr>
        <w:autoSpaceDE w:val="0"/>
        <w:autoSpaceDN w:val="0"/>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6</w:t>
      </w:r>
      <w:r>
        <w:rPr>
          <w:rFonts w:ascii="Times New Roman" w:hAnsi="Times New Roman" w:cs="Times New Roman"/>
          <w:b/>
          <w:sz w:val="21"/>
        </w:rPr>
        <w:t>.</w:t>
      </w:r>
      <w:r>
        <w:rPr>
          <w:rFonts w:ascii="Times New Roman" w:hAnsi="Times New Roman" w:eastAsia="黑体" w:cs="Times New Roman"/>
          <w:b/>
          <w:sz w:val="21"/>
        </w:rPr>
        <w:t>11</w:t>
      </w:r>
      <w:r>
        <w:rPr>
          <w:rFonts w:ascii="Times New Roman" w:hAnsi="Times New Roman" w:cs="Times New Roman"/>
          <w:b/>
          <w:sz w:val="21"/>
        </w:rPr>
        <w:t xml:space="preserve">  </w:t>
      </w:r>
      <w:r>
        <w:rPr>
          <w:rFonts w:ascii="Times New Roman" w:hAnsi="Times New Roman" w:cs="Times New Roman"/>
          <w:sz w:val="21"/>
        </w:rPr>
        <w:t>生态护坡应按下列原则进行布置：</w:t>
      </w:r>
    </w:p>
    <w:p w14:paraId="2D612060">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1</w:t>
      </w:r>
      <w:r>
        <w:rPr>
          <w:rFonts w:ascii="Times New Roman" w:hAnsi="Times New Roman" w:cs="Times New Roman"/>
          <w:b/>
          <w:sz w:val="21"/>
        </w:rPr>
        <w:t xml:space="preserve"> </w:t>
      </w:r>
      <w:r>
        <w:rPr>
          <w:rFonts w:ascii="Times New Roman" w:hAnsi="Times New Roman" w:cs="Times New Roman"/>
          <w:sz w:val="21"/>
        </w:rPr>
        <w:t xml:space="preserve"> 采取生态护坡措施后，边坡应满足安全稳定要求。</w:t>
      </w:r>
    </w:p>
    <w:p w14:paraId="4D48DF8B">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2</w:t>
      </w:r>
      <w:r>
        <w:rPr>
          <w:rFonts w:ascii="Times New Roman" w:hAnsi="Times New Roman" w:cs="Times New Roman"/>
          <w:b/>
          <w:sz w:val="21"/>
        </w:rPr>
        <w:t xml:space="preserve"> </w:t>
      </w:r>
      <w:r>
        <w:rPr>
          <w:rFonts w:ascii="Times New Roman" w:hAnsi="Times New Roman" w:cs="Times New Roman"/>
          <w:sz w:val="21"/>
        </w:rPr>
        <w:t xml:space="preserve"> </w:t>
      </w:r>
      <w:r>
        <w:rPr>
          <w:rFonts w:ascii="Times New Roman" w:hAnsi="Times New Roman" w:cs="Times New Roman"/>
          <w:kern w:val="0"/>
          <w:sz w:val="21"/>
          <w:szCs w:val="21"/>
          <w:lang w:bidi="ar"/>
        </w:rPr>
        <w:t>应分析边坡自身承雨及上方汇水，根据需要布设坡面截排水措施。</w:t>
      </w:r>
    </w:p>
    <w:p w14:paraId="0FC4A0E7">
      <w:pPr>
        <w:autoSpaceDE w:val="0"/>
        <w:autoSpaceDN w:val="0"/>
        <w:adjustRightInd w:val="0"/>
        <w:spacing w:line="360" w:lineRule="auto"/>
        <w:ind w:firstLine="422" w:firstLineChars="200"/>
        <w:rPr>
          <w:rFonts w:ascii="Times New Roman" w:hAnsi="Times New Roman" w:cs="Times New Roman"/>
          <w:kern w:val="0"/>
          <w:sz w:val="21"/>
          <w:szCs w:val="21"/>
          <w:lang w:bidi="ar"/>
        </w:rPr>
      </w:pPr>
      <w:r>
        <w:rPr>
          <w:rFonts w:ascii="Times New Roman" w:hAnsi="Times New Roman" w:eastAsia="黑体" w:cs="Times New Roman"/>
          <w:b/>
          <w:sz w:val="21"/>
        </w:rPr>
        <w:t xml:space="preserve">3 </w:t>
      </w:r>
      <w:r>
        <w:rPr>
          <w:rFonts w:ascii="Times New Roman" w:hAnsi="Times New Roman" w:eastAsia="黑体" w:cs="Times New Roman"/>
          <w:sz w:val="21"/>
        </w:rPr>
        <w:t xml:space="preserve"> </w:t>
      </w:r>
      <w:r>
        <w:rPr>
          <w:rFonts w:ascii="Times New Roman" w:hAnsi="Times New Roman" w:cs="Times New Roman"/>
          <w:sz w:val="21"/>
          <w:szCs w:val="21"/>
        </w:rPr>
        <w:t>不规则及非均质坡面，宜分解为若干独立单元分别</w:t>
      </w:r>
      <w:r>
        <w:rPr>
          <w:rFonts w:ascii="Times New Roman" w:hAnsi="Times New Roman" w:cs="Times New Roman"/>
          <w:kern w:val="0"/>
          <w:sz w:val="21"/>
          <w:szCs w:val="21"/>
          <w:lang w:bidi="ar"/>
        </w:rPr>
        <w:t>设计。</w:t>
      </w:r>
    </w:p>
    <w:p w14:paraId="5C638337">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4</w:t>
      </w:r>
      <w:r>
        <w:rPr>
          <w:rFonts w:ascii="Times New Roman" w:hAnsi="Times New Roman" w:eastAsia="黑体" w:cs="Times New Roman"/>
          <w:sz w:val="21"/>
        </w:rPr>
        <w:t xml:space="preserve">  </w:t>
      </w:r>
      <w:r>
        <w:rPr>
          <w:rFonts w:ascii="Times New Roman" w:hAnsi="Times New Roman" w:cs="Times New Roman"/>
          <w:sz w:val="21"/>
        </w:rPr>
        <w:t>坡度较大，固土困难的边坡可采用铺植生毯、植生带、三维植被网、土工格室等措施。</w:t>
      </w:r>
    </w:p>
    <w:p w14:paraId="12DF01A4">
      <w:pPr>
        <w:autoSpaceDE w:val="0"/>
        <w:autoSpaceDN w:val="0"/>
        <w:adjustRightInd w:val="0"/>
        <w:spacing w:line="360" w:lineRule="auto"/>
        <w:ind w:firstLine="422" w:firstLineChars="200"/>
        <w:rPr>
          <w:rFonts w:ascii="Times New Roman" w:hAnsi="Times New Roman" w:cs="Times New Roman"/>
          <w:kern w:val="0"/>
          <w:sz w:val="21"/>
          <w:szCs w:val="21"/>
          <w:lang w:bidi="ar"/>
        </w:rPr>
      </w:pPr>
      <w:r>
        <w:rPr>
          <w:rFonts w:ascii="Times New Roman" w:hAnsi="Times New Roman" w:eastAsia="黑体" w:cs="Times New Roman"/>
          <w:b/>
          <w:sz w:val="21"/>
        </w:rPr>
        <w:t>5</w:t>
      </w:r>
      <w:r>
        <w:rPr>
          <w:rFonts w:ascii="Times New Roman" w:hAnsi="Times New Roman" w:cs="Times New Roman"/>
          <w:sz w:val="21"/>
        </w:rPr>
        <w:t xml:space="preserve">  在经济技术合理可行的条件下，高陡边坡应优先采用喷播、生态材料砌筑、格状框条和钢筋混凝土框架种植植物的形式，不具备条件的可采用客土种植攀缘植物、下垂灌木覆绿。</w:t>
      </w:r>
    </w:p>
    <w:p w14:paraId="2D6086E1">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6</w:t>
      </w:r>
      <w:r>
        <w:rPr>
          <w:rFonts w:ascii="Times New Roman" w:hAnsi="Times New Roman" w:cs="Times New Roman"/>
          <w:sz w:val="21"/>
        </w:rPr>
        <w:t xml:space="preserve">  特殊地区或立地条件差的高陡边坡应开展试验研究，确定合理的生态护坡方案，主要内容应包括立地条件改善、植物配置、坡面固土、生长基质配置等。 </w:t>
      </w:r>
    </w:p>
    <w:p w14:paraId="3DA7A7E1">
      <w:pPr>
        <w:autoSpaceDE w:val="0"/>
        <w:autoSpaceDN w:val="0"/>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6</w:t>
      </w:r>
      <w:r>
        <w:rPr>
          <w:rFonts w:ascii="Times New Roman" w:hAnsi="Times New Roman" w:cs="Times New Roman"/>
          <w:b/>
          <w:sz w:val="21"/>
        </w:rPr>
        <w:t>.</w:t>
      </w:r>
      <w:r>
        <w:rPr>
          <w:rFonts w:ascii="Times New Roman" w:hAnsi="Times New Roman" w:eastAsia="黑体" w:cs="Times New Roman"/>
          <w:b/>
          <w:sz w:val="21"/>
        </w:rPr>
        <w:t xml:space="preserve">12 </w:t>
      </w:r>
      <w:r>
        <w:rPr>
          <w:rFonts w:ascii="Times New Roman" w:hAnsi="Times New Roman" w:eastAsia="黑体" w:cs="Times New Roman"/>
          <w:sz w:val="21"/>
        </w:rPr>
        <w:t xml:space="preserve"> </w:t>
      </w:r>
      <w:r>
        <w:rPr>
          <w:rFonts w:ascii="Times New Roman" w:hAnsi="Times New Roman" w:cs="Times New Roman"/>
          <w:sz w:val="21"/>
        </w:rPr>
        <w:t>生态护坡植物选择除应符合本标准5.10.12的规定外，还应满足下列要求：</w:t>
      </w:r>
    </w:p>
    <w:p w14:paraId="466FCBB0">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1</w:t>
      </w:r>
      <w:r>
        <w:rPr>
          <w:rFonts w:ascii="Times New Roman" w:hAnsi="Times New Roman" w:cs="Times New Roman"/>
          <w:sz w:val="21"/>
        </w:rPr>
        <w:t xml:space="preserve">  应乔灌草结合，深根性和浅根性品种结合，乔灌木宜选择地上部分主干较矮的品种，适当采用固氮植物。</w:t>
      </w:r>
    </w:p>
    <w:p w14:paraId="27FAA9E7">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2</w:t>
      </w:r>
      <w:r>
        <w:rPr>
          <w:rFonts w:ascii="Times New Roman" w:hAnsi="Times New Roman" w:cs="Times New Roman"/>
          <w:b/>
          <w:sz w:val="21"/>
        </w:rPr>
        <w:t xml:space="preserve"> </w:t>
      </w:r>
      <w:r>
        <w:rPr>
          <w:rFonts w:ascii="Times New Roman" w:hAnsi="Times New Roman" w:cs="Times New Roman"/>
          <w:sz w:val="21"/>
        </w:rPr>
        <w:t xml:space="preserve"> </w:t>
      </w:r>
      <w:r>
        <w:rPr>
          <w:rFonts w:ascii="Times New Roman" w:hAnsi="Times New Roman" w:cs="Times New Roman"/>
          <w:kern w:val="0"/>
          <w:sz w:val="21"/>
          <w:szCs w:val="21"/>
          <w:lang w:bidi="ar"/>
        </w:rPr>
        <w:t>应遵循植物群落的自然演替规律，</w:t>
      </w:r>
      <w:r>
        <w:rPr>
          <w:rFonts w:ascii="Times New Roman" w:hAnsi="Times New Roman" w:cs="Times New Roman"/>
          <w:sz w:val="21"/>
        </w:rPr>
        <w:t>短期内快速覆盖坡面，中后期稳健生长。</w:t>
      </w:r>
    </w:p>
    <w:p w14:paraId="4C93787D">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3</w:t>
      </w:r>
      <w:r>
        <w:rPr>
          <w:rFonts w:ascii="Times New Roman" w:hAnsi="Times New Roman" w:cs="Times New Roman"/>
          <w:sz w:val="21"/>
        </w:rPr>
        <w:t xml:space="preserve">  苗木、种子容易获取且成本合理。 </w:t>
      </w:r>
    </w:p>
    <w:p w14:paraId="4B0D6976">
      <w:pPr>
        <w:widowControl/>
        <w:autoSpaceDE w:val="0"/>
        <w:autoSpaceDN w:val="0"/>
        <w:adjustRightInd w:val="0"/>
        <w:ind w:firstLine="422" w:firstLineChars="200"/>
        <w:rPr>
          <w:rFonts w:ascii="Times New Roman" w:hAnsi="Times New Roman" w:cs="Times New Roman"/>
          <w:sz w:val="21"/>
        </w:rPr>
      </w:pPr>
      <w:r>
        <w:rPr>
          <w:rFonts w:ascii="Times New Roman" w:hAnsi="Times New Roman" w:eastAsia="黑体" w:cs="Times New Roman"/>
          <w:b/>
          <w:sz w:val="21"/>
        </w:rPr>
        <w:t>4</w:t>
      </w:r>
      <w:r>
        <w:rPr>
          <w:rFonts w:ascii="Times New Roman" w:hAnsi="Times New Roman" w:cs="Times New Roman"/>
          <w:b/>
          <w:sz w:val="21"/>
        </w:rPr>
        <w:t xml:space="preserve"> </w:t>
      </w:r>
      <w:r>
        <w:rPr>
          <w:rFonts w:ascii="Times New Roman" w:hAnsi="Times New Roman" w:cs="Times New Roman"/>
          <w:sz w:val="21"/>
        </w:rPr>
        <w:t xml:space="preserve"> 应</w:t>
      </w:r>
      <w:r>
        <w:rPr>
          <w:rFonts w:ascii="Times New Roman" w:hAnsi="Times New Roman" w:cs="Times New Roman"/>
          <w:kern w:val="0"/>
          <w:sz w:val="21"/>
          <w:szCs w:val="21"/>
          <w:lang w:bidi="ar"/>
        </w:rPr>
        <w:t>安全长效，</w:t>
      </w:r>
      <w:r>
        <w:rPr>
          <w:rFonts w:ascii="Times New Roman" w:hAnsi="Times New Roman" w:cs="Times New Roman"/>
          <w:sz w:val="21"/>
        </w:rPr>
        <w:t>运行期免维护或低成本维护。</w:t>
      </w:r>
    </w:p>
    <w:p w14:paraId="33307703">
      <w:pPr>
        <w:autoSpaceDE w:val="0"/>
        <w:autoSpaceDN w:val="0"/>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6</w:t>
      </w:r>
      <w:r>
        <w:rPr>
          <w:rFonts w:ascii="Times New Roman" w:hAnsi="Times New Roman" w:cs="Times New Roman"/>
          <w:b/>
          <w:sz w:val="21"/>
        </w:rPr>
        <w:t>.</w:t>
      </w:r>
      <w:r>
        <w:rPr>
          <w:rFonts w:ascii="Times New Roman" w:hAnsi="Times New Roman" w:eastAsia="黑体" w:cs="Times New Roman"/>
          <w:b/>
          <w:sz w:val="21"/>
        </w:rPr>
        <w:t xml:space="preserve">13 </w:t>
      </w:r>
      <w:r>
        <w:rPr>
          <w:rFonts w:ascii="Times New Roman" w:hAnsi="Times New Roman" w:eastAsia="黑体" w:cs="Times New Roman"/>
          <w:sz w:val="21"/>
        </w:rPr>
        <w:t xml:space="preserve"> </w:t>
      </w:r>
      <w:r>
        <w:rPr>
          <w:rFonts w:ascii="Times New Roman" w:hAnsi="Times New Roman" w:cs="Times New Roman"/>
          <w:sz w:val="21"/>
        </w:rPr>
        <w:t>直接种植护坡设计应符合本标准5.10条对植被恢复工程设计的规定。</w:t>
      </w:r>
    </w:p>
    <w:p w14:paraId="7C267C73">
      <w:pPr>
        <w:autoSpaceDE w:val="0"/>
        <w:autoSpaceDN w:val="0"/>
        <w:adjustRightInd w:val="0"/>
        <w:spacing w:line="360" w:lineRule="auto"/>
        <w:jc w:val="left"/>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6</w:t>
      </w:r>
      <w:r>
        <w:rPr>
          <w:rFonts w:ascii="Times New Roman" w:hAnsi="Times New Roman" w:cs="Times New Roman"/>
          <w:b/>
          <w:sz w:val="21"/>
        </w:rPr>
        <w:t>.</w:t>
      </w:r>
      <w:r>
        <w:rPr>
          <w:rFonts w:ascii="Times New Roman" w:hAnsi="Times New Roman" w:eastAsia="黑体" w:cs="Times New Roman"/>
          <w:b/>
          <w:sz w:val="21"/>
        </w:rPr>
        <w:t>14</w:t>
      </w:r>
      <w:r>
        <w:rPr>
          <w:rFonts w:ascii="Times New Roman" w:hAnsi="Times New Roman" w:eastAsia="黑体" w:cs="Times New Roman"/>
          <w:sz w:val="21"/>
        </w:rPr>
        <w:t xml:space="preserve">  </w:t>
      </w:r>
      <w:r>
        <w:rPr>
          <w:rFonts w:ascii="Times New Roman" w:hAnsi="Times New Roman" w:cs="Times New Roman"/>
          <w:sz w:val="21"/>
        </w:rPr>
        <w:t>客土绿化护坡设计应满足下列要求：</w:t>
      </w:r>
    </w:p>
    <w:p w14:paraId="5463A62B">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格状框条（架）宜采用浆砌石、预制混凝土块砌筑或现浇混凝土形式，钢筋混凝土框架应采用现浇混凝土形式，宜设置拦水眉带。框条（架）嵌入边坡深度不宜小于20cm，采用直接客土、袋装客土填筑后客土厚度不应小于20cm。框条（架）内可采用直接种植或喷播进行绿化。</w:t>
      </w:r>
    </w:p>
    <w:p w14:paraId="60168126">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2 </w:t>
      </w:r>
      <w:r>
        <w:rPr>
          <w:rFonts w:ascii="Times New Roman" w:hAnsi="Times New Roman" w:cs="Times New Roman"/>
          <w:sz w:val="21"/>
        </w:rPr>
        <w:t xml:space="preserve"> 植生槽长度应根据边坡台阶或平台长度确定，宽度不应小于40cm，种植灌草，客土深不应小于40cmm；种植小乔木或攀缘植物，客土深不应小于60cm。</w:t>
      </w:r>
    </w:p>
    <w:p w14:paraId="424C0424">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3 </w:t>
      </w:r>
      <w:r>
        <w:rPr>
          <w:rFonts w:ascii="Times New Roman" w:hAnsi="Times New Roman" w:cs="Times New Roman"/>
          <w:sz w:val="21"/>
        </w:rPr>
        <w:t xml:space="preserve"> 种植攀缘植物，应在坡面铺挂土工格栅辅助植物攀爬，采用的土工格栅网孔孔径不应大于15cm，并应具有耐久性。</w:t>
      </w:r>
    </w:p>
    <w:p w14:paraId="56F9BF9B">
      <w:pPr>
        <w:autoSpaceDE w:val="0"/>
        <w:autoSpaceDN w:val="0"/>
        <w:adjustRightInd w:val="0"/>
        <w:spacing w:line="360" w:lineRule="auto"/>
        <w:jc w:val="left"/>
        <w:rPr>
          <w:rFonts w:ascii="Times New Roman" w:hAnsi="Times New Roman" w:eastAsia="黑体"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6</w:t>
      </w:r>
      <w:r>
        <w:rPr>
          <w:rFonts w:ascii="Times New Roman" w:hAnsi="Times New Roman" w:cs="Times New Roman"/>
          <w:b/>
          <w:sz w:val="21"/>
        </w:rPr>
        <w:t>.</w:t>
      </w:r>
      <w:r>
        <w:rPr>
          <w:rFonts w:ascii="Times New Roman" w:hAnsi="Times New Roman" w:eastAsia="黑体" w:cs="Times New Roman"/>
          <w:b/>
          <w:sz w:val="21"/>
        </w:rPr>
        <w:t xml:space="preserve">15 </w:t>
      </w:r>
      <w:r>
        <w:rPr>
          <w:rFonts w:ascii="Times New Roman" w:hAnsi="Times New Roman" w:eastAsia="黑体" w:cs="Times New Roman"/>
          <w:sz w:val="21"/>
        </w:rPr>
        <w:t xml:space="preserve"> </w:t>
      </w:r>
      <w:r>
        <w:rPr>
          <w:rFonts w:ascii="Times New Roman" w:hAnsi="Times New Roman" w:cs="Times New Roman"/>
          <w:sz w:val="21"/>
        </w:rPr>
        <w:t>喷播绿化护坡设计应符合下列规定：</w:t>
      </w:r>
    </w:p>
    <w:p w14:paraId="45AA012F">
      <w:pPr>
        <w:pBdr>
          <w:top w:val="none" w:color="000000" w:sz="0" w:space="0"/>
          <w:left w:val="none" w:color="000000" w:sz="0" w:space="0"/>
          <w:bottom w:val="none" w:color="000000" w:sz="0" w:space="0"/>
          <w:right w:val="none" w:color="000000" w:sz="0" w:space="0"/>
        </w:pBdr>
        <w:autoSpaceDE w:val="0"/>
        <w:autoSpaceDN w:val="0"/>
        <w:adjustRightInd w:val="0"/>
        <w:spacing w:line="360" w:lineRule="auto"/>
        <w:ind w:firstLine="422" w:firstLineChars="200"/>
        <w:rPr>
          <w:rFonts w:ascii="Times New Roman" w:hAnsi="Times New Roman" w:cs="Times New Roman"/>
          <w:bCs/>
          <w:sz w:val="21"/>
        </w:rPr>
      </w:pPr>
      <w:r>
        <w:rPr>
          <w:rFonts w:ascii="Times New Roman" w:hAnsi="Times New Roman" w:eastAsia="黑体" w:cs="Times New Roman"/>
          <w:b/>
          <w:sz w:val="21"/>
        </w:rPr>
        <w:t xml:space="preserve">1 </w:t>
      </w:r>
      <w:r>
        <w:rPr>
          <w:rFonts w:ascii="Times New Roman" w:hAnsi="Times New Roman" w:eastAsia="黑体" w:cs="Times New Roman"/>
          <w:sz w:val="21"/>
        </w:rPr>
        <w:t xml:space="preserve"> </w:t>
      </w:r>
      <w:r>
        <w:rPr>
          <w:rFonts w:ascii="Times New Roman" w:hAnsi="Times New Roman" w:cs="Times New Roman"/>
          <w:bCs/>
          <w:sz w:val="21"/>
        </w:rPr>
        <w:t>采取</w:t>
      </w:r>
      <w:r>
        <w:rPr>
          <w:rFonts w:ascii="Times New Roman" w:hAnsi="Times New Roman" w:cs="Times New Roman"/>
          <w:sz w:val="21"/>
        </w:rPr>
        <w:t>挂网并配合支撑、挂植生板、挂植生格等</w:t>
      </w:r>
      <w:r>
        <w:rPr>
          <w:rFonts w:ascii="Times New Roman" w:hAnsi="Times New Roman" w:cs="Times New Roman"/>
          <w:bCs/>
          <w:sz w:val="21"/>
        </w:rPr>
        <w:t>措施确保喷播基质自稳，采用的材料应具有耐久性。</w:t>
      </w:r>
      <w:r>
        <w:rPr>
          <w:rFonts w:ascii="Times New Roman" w:hAnsi="Times New Roman" w:cs="Times New Roman"/>
          <w:sz w:val="21"/>
        </w:rPr>
        <w:t>挂网宜采用双向土工格栅、勾花铁丝网、钢丝绳网等，并采用主要锚杆（钉）和辅助锚杆（钉）固定在坡面上。</w:t>
      </w:r>
    </w:p>
    <w:p w14:paraId="73D1369A">
      <w:pPr>
        <w:pBdr>
          <w:top w:val="none" w:color="000000" w:sz="0" w:space="0"/>
          <w:left w:val="none" w:color="000000" w:sz="0" w:space="0"/>
          <w:bottom w:val="none" w:color="000000" w:sz="0" w:space="0"/>
          <w:right w:val="none" w:color="000000" w:sz="0" w:space="0"/>
        </w:pBdr>
        <w:autoSpaceDE w:val="0"/>
        <w:autoSpaceDN w:val="0"/>
        <w:adjustRightInd w:val="0"/>
        <w:spacing w:line="360" w:lineRule="auto"/>
        <w:ind w:firstLine="422" w:firstLineChars="200"/>
        <w:rPr>
          <w:rFonts w:ascii="Times New Roman" w:hAnsi="Times New Roman" w:cs="Times New Roman"/>
          <w:sz w:val="21"/>
          <w:lang w:bidi="ar"/>
        </w:rPr>
      </w:pPr>
      <w:r>
        <w:rPr>
          <w:rFonts w:ascii="Times New Roman" w:hAnsi="Times New Roman" w:eastAsia="黑体" w:cs="Times New Roman"/>
          <w:b/>
          <w:sz w:val="21"/>
        </w:rPr>
        <w:t>2</w:t>
      </w:r>
      <w:r>
        <w:rPr>
          <w:rFonts w:ascii="Times New Roman" w:hAnsi="Times New Roman" w:eastAsia="黑体" w:cs="Times New Roman"/>
          <w:sz w:val="21"/>
        </w:rPr>
        <w:t xml:space="preserve">  </w:t>
      </w:r>
      <w:r>
        <w:rPr>
          <w:rFonts w:ascii="Times New Roman" w:hAnsi="Times New Roman" w:cs="Times New Roman"/>
          <w:sz w:val="21"/>
        </w:rPr>
        <w:t>挂网强度应满足喷播基材、坡面植物荷载及施工拉伸的需要，双向土工格栅</w:t>
      </w:r>
      <w:r>
        <w:rPr>
          <w:rFonts w:ascii="Times New Roman" w:hAnsi="Times New Roman" w:cs="Times New Roman"/>
          <w:sz w:val="21"/>
          <w:lang w:bidi="ar"/>
        </w:rPr>
        <w:t>网孔孔径不应大于4cm，勾花铁丝网网孔孔径不应大于5cm，钢丝绳网应配合勾花铁丝网使用。</w:t>
      </w:r>
    </w:p>
    <w:p w14:paraId="44516E59">
      <w:pPr>
        <w:pBdr>
          <w:top w:val="none" w:color="000000" w:sz="0" w:space="0"/>
          <w:left w:val="none" w:color="000000" w:sz="0" w:space="0"/>
          <w:bottom w:val="none" w:color="000000" w:sz="0" w:space="0"/>
          <w:right w:val="none" w:color="000000" w:sz="0" w:space="0"/>
        </w:pBd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cs="Times New Roman"/>
          <w:b/>
          <w:sz w:val="21"/>
          <w:lang w:bidi="ar"/>
        </w:rPr>
        <w:t>3</w:t>
      </w:r>
      <w:r>
        <w:rPr>
          <w:rFonts w:ascii="Times New Roman" w:hAnsi="Times New Roman" w:cs="Times New Roman"/>
          <w:sz w:val="21"/>
          <w:lang w:bidi="ar"/>
        </w:rPr>
        <w:t xml:space="preserve">  </w:t>
      </w:r>
      <w:r>
        <w:rPr>
          <w:rFonts w:ascii="Times New Roman" w:hAnsi="Times New Roman" w:cs="Times New Roman"/>
          <w:sz w:val="21"/>
        </w:rPr>
        <w:t>主要锚杆和辅助锚杆宜呈梅花形或矩形相间布置，主要锚杆直径不应小于18mm，有效长度不应小于60cm，间距不宜大于2m；辅助锚杆直径不应小于10mm，有效长度宜为30cm～60cm，间距根据坡面平整情况确定。</w:t>
      </w:r>
    </w:p>
    <w:p w14:paraId="1DE055B3">
      <w:pPr>
        <w:widowControl/>
        <w:spacing w:line="360" w:lineRule="auto"/>
        <w:ind w:firstLine="422" w:firstLineChars="200"/>
        <w:rPr>
          <w:rFonts w:ascii="Times New Roman" w:hAnsi="Times New Roman" w:cs="Times New Roman"/>
          <w:sz w:val="21"/>
          <w:szCs w:val="21"/>
          <w:lang w:bidi="ar"/>
        </w:rPr>
      </w:pPr>
      <w:r>
        <w:rPr>
          <w:rFonts w:ascii="Times New Roman" w:hAnsi="Times New Roman" w:eastAsia="黑体" w:cs="Times New Roman"/>
          <w:b/>
          <w:sz w:val="21"/>
          <w:szCs w:val="21"/>
        </w:rPr>
        <w:t>4</w:t>
      </w:r>
      <w:r>
        <w:rPr>
          <w:rFonts w:ascii="Times New Roman" w:hAnsi="Times New Roman" w:cs="Times New Roman"/>
          <w:sz w:val="21"/>
          <w:szCs w:val="21"/>
        </w:rPr>
        <w:t xml:space="preserve">  喷播基材应由绿化基材、种植土、纤维和植被种子按一定比例混合而成；</w:t>
      </w:r>
      <w:r>
        <w:rPr>
          <w:rFonts w:ascii="Times New Roman" w:hAnsi="Times New Roman" w:cs="Times New Roman"/>
          <w:sz w:val="21"/>
          <w:szCs w:val="21"/>
          <w:lang w:bidi="ar"/>
        </w:rPr>
        <w:t>液力客土喷播绿化基材的比例不应小于30％，厚层基材喷播绿化基材的比例不应小于50％。</w:t>
      </w:r>
    </w:p>
    <w:p w14:paraId="5E0E43A1">
      <w:pPr>
        <w:widowControl/>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lang w:bidi="ar"/>
        </w:rPr>
        <w:t>5</w:t>
      </w:r>
      <w:r>
        <w:rPr>
          <w:rFonts w:ascii="Times New Roman" w:hAnsi="Times New Roman" w:cs="Times New Roman"/>
          <w:sz w:val="21"/>
          <w:szCs w:val="21"/>
          <w:lang w:bidi="ar"/>
        </w:rPr>
        <w:t xml:space="preserve">  </w:t>
      </w:r>
      <w:r>
        <w:rPr>
          <w:rFonts w:ascii="Times New Roman" w:hAnsi="Times New Roman" w:cs="Times New Roman"/>
          <w:sz w:val="21"/>
          <w:szCs w:val="21"/>
        </w:rPr>
        <w:t>喷播</w:t>
      </w:r>
      <w:r>
        <w:rPr>
          <w:rFonts w:ascii="Times New Roman" w:hAnsi="Times New Roman" w:cs="Times New Roman"/>
          <w:sz w:val="21"/>
          <w:szCs w:val="21"/>
          <w:lang w:bidi="ar"/>
        </w:rPr>
        <w:t xml:space="preserve">基材除了应具有良好的团粒结构、低密度、适中的PH值和有机物含量外，还应避免长期使用后出现明显的收缩、龟裂、板结、分层等现象。 </w:t>
      </w:r>
    </w:p>
    <w:p w14:paraId="0C6EFC2A">
      <w:pPr>
        <w:widowControl/>
        <w:spacing w:line="360" w:lineRule="auto"/>
        <w:ind w:firstLine="422" w:firstLineChars="200"/>
        <w:rPr>
          <w:rFonts w:ascii="Times New Roman" w:hAnsi="Times New Roman" w:cs="Times New Roman"/>
          <w:kern w:val="0"/>
          <w:sz w:val="21"/>
          <w:szCs w:val="21"/>
          <w:lang w:bidi="ar"/>
        </w:rPr>
      </w:pPr>
      <w:r>
        <w:rPr>
          <w:rFonts w:ascii="Times New Roman" w:hAnsi="Times New Roman" w:eastAsia="黑体" w:cs="Times New Roman"/>
          <w:b/>
          <w:kern w:val="0"/>
          <w:sz w:val="21"/>
          <w:szCs w:val="21"/>
          <w:lang w:bidi="ar"/>
        </w:rPr>
        <w:t>6</w:t>
      </w:r>
      <w:r>
        <w:rPr>
          <w:rFonts w:ascii="Times New Roman" w:hAnsi="Times New Roman" w:cs="Times New Roman"/>
          <w:kern w:val="0"/>
          <w:sz w:val="21"/>
          <w:szCs w:val="21"/>
          <w:lang w:bidi="ar"/>
        </w:rPr>
        <w:t xml:space="preserve">  液力喷播不作厚度要求，液力客土喷播、厚层基材喷播的厚度不宜小于表5.6.15中的参考值。</w:t>
      </w:r>
    </w:p>
    <w:p w14:paraId="5F7E2338">
      <w:pPr>
        <w:widowControl/>
        <w:jc w:val="right"/>
        <w:rPr>
          <w:rFonts w:ascii="Times New Roman" w:hAnsi="Times New Roman" w:eastAsia="黑体" w:cs="Times New Roman"/>
          <w:kern w:val="0"/>
          <w:sz w:val="18"/>
          <w:szCs w:val="18"/>
          <w:lang w:bidi="ar"/>
        </w:rPr>
      </w:pPr>
      <w:r>
        <w:rPr>
          <w:rFonts w:ascii="Times New Roman" w:hAnsi="Times New Roman" w:eastAsia="黑体" w:cs="Times New Roman"/>
          <w:kern w:val="0"/>
          <w:sz w:val="18"/>
          <w:szCs w:val="18"/>
          <w:lang w:bidi="ar"/>
        </w:rPr>
        <w:t>表5</w:t>
      </w:r>
      <w:r>
        <w:rPr>
          <w:rFonts w:ascii="Times New Roman" w:hAnsi="Times New Roman" w:cs="Times New Roman"/>
          <w:kern w:val="0"/>
          <w:sz w:val="18"/>
          <w:szCs w:val="18"/>
          <w:lang w:bidi="ar"/>
        </w:rPr>
        <w:t>.</w:t>
      </w:r>
      <w:r>
        <w:rPr>
          <w:rFonts w:ascii="Times New Roman" w:hAnsi="Times New Roman" w:eastAsia="黑体" w:cs="Times New Roman"/>
          <w:kern w:val="0"/>
          <w:sz w:val="18"/>
          <w:szCs w:val="18"/>
          <w:lang w:bidi="ar"/>
        </w:rPr>
        <w:t>6</w:t>
      </w:r>
      <w:r>
        <w:rPr>
          <w:rFonts w:ascii="Times New Roman" w:hAnsi="Times New Roman" w:cs="Times New Roman"/>
          <w:kern w:val="0"/>
          <w:sz w:val="18"/>
          <w:szCs w:val="18"/>
          <w:lang w:bidi="ar"/>
        </w:rPr>
        <w:t>.</w:t>
      </w:r>
      <w:r>
        <w:rPr>
          <w:rFonts w:ascii="Times New Roman" w:hAnsi="Times New Roman" w:eastAsia="黑体" w:cs="Times New Roman"/>
          <w:kern w:val="0"/>
          <w:sz w:val="18"/>
          <w:szCs w:val="18"/>
          <w:lang w:bidi="ar"/>
        </w:rPr>
        <w:t>15  液力客土喷播和厚层基材喷播厚度                     单位</w:t>
      </w:r>
      <w:r>
        <w:rPr>
          <w:rFonts w:hint="eastAsia" w:ascii="Times New Roman" w:hAnsi="Times New Roman" w:eastAsia="黑体" w:cs="Times New Roman"/>
          <w:kern w:val="0"/>
          <w:sz w:val="18"/>
          <w:szCs w:val="18"/>
          <w:lang w:bidi="ar"/>
        </w:rPr>
        <w:t>：</w:t>
      </w:r>
      <w:r>
        <w:rPr>
          <w:rFonts w:ascii="Times New Roman" w:hAnsi="Times New Roman" w:eastAsia="黑体" w:cs="Times New Roman"/>
          <w:kern w:val="0"/>
          <w:sz w:val="18"/>
          <w:szCs w:val="18"/>
          <w:lang w:bidi="ar"/>
        </w:rPr>
        <w:t>cm</w:t>
      </w:r>
    </w:p>
    <w:tbl>
      <w:tblPr>
        <w:tblStyle w:val="1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05"/>
        <w:gridCol w:w="2957"/>
        <w:gridCol w:w="2957"/>
      </w:tblGrid>
      <w:tr w14:paraId="5CE094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2605" w:type="dxa"/>
            <w:tcBorders>
              <w:tl2br w:val="nil"/>
              <w:tr2bl w:val="nil"/>
            </w:tcBorders>
            <w:vAlign w:val="center"/>
          </w:tcPr>
          <w:p w14:paraId="63FAF57F">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边坡类型</w:t>
            </w:r>
          </w:p>
        </w:tc>
        <w:tc>
          <w:tcPr>
            <w:tcW w:w="2957" w:type="dxa"/>
            <w:tcBorders>
              <w:tl2br w:val="nil"/>
              <w:tr2bl w:val="nil"/>
            </w:tcBorders>
            <w:vAlign w:val="center"/>
          </w:tcPr>
          <w:p w14:paraId="07E9958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液力客土喷播厚度</w:t>
            </w:r>
          </w:p>
        </w:tc>
        <w:tc>
          <w:tcPr>
            <w:tcW w:w="2957" w:type="dxa"/>
            <w:tcBorders>
              <w:tl2br w:val="nil"/>
              <w:tr2bl w:val="nil"/>
            </w:tcBorders>
            <w:vAlign w:val="center"/>
          </w:tcPr>
          <w:p w14:paraId="4E5D6AE7">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厚层基材喷播厚度</w:t>
            </w:r>
          </w:p>
        </w:tc>
      </w:tr>
      <w:tr w14:paraId="4DC8D8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05" w:type="dxa"/>
            <w:tcBorders>
              <w:tl2br w:val="nil"/>
              <w:tr2bl w:val="nil"/>
            </w:tcBorders>
            <w:vAlign w:val="center"/>
          </w:tcPr>
          <w:p w14:paraId="27EB78C7">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硬质岩边坡</w:t>
            </w:r>
          </w:p>
        </w:tc>
        <w:tc>
          <w:tcPr>
            <w:tcW w:w="2957" w:type="dxa"/>
            <w:tcBorders>
              <w:tl2br w:val="nil"/>
              <w:tr2bl w:val="nil"/>
            </w:tcBorders>
            <w:vAlign w:val="center"/>
          </w:tcPr>
          <w:p w14:paraId="51BB509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8</w:t>
            </w:r>
          </w:p>
        </w:tc>
        <w:tc>
          <w:tcPr>
            <w:tcW w:w="2957" w:type="dxa"/>
            <w:tcBorders>
              <w:tl2br w:val="nil"/>
              <w:tr2bl w:val="nil"/>
            </w:tcBorders>
            <w:vAlign w:val="center"/>
          </w:tcPr>
          <w:p w14:paraId="54BA47A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10</w:t>
            </w:r>
          </w:p>
        </w:tc>
      </w:tr>
      <w:tr w14:paraId="68FB3C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05" w:type="dxa"/>
            <w:tcBorders>
              <w:tl2br w:val="nil"/>
              <w:tr2bl w:val="nil"/>
            </w:tcBorders>
            <w:vAlign w:val="center"/>
          </w:tcPr>
          <w:p w14:paraId="6E02025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软质岩边坡</w:t>
            </w:r>
          </w:p>
        </w:tc>
        <w:tc>
          <w:tcPr>
            <w:tcW w:w="2957" w:type="dxa"/>
            <w:tcBorders>
              <w:tl2br w:val="nil"/>
              <w:tr2bl w:val="nil"/>
            </w:tcBorders>
            <w:vAlign w:val="center"/>
          </w:tcPr>
          <w:p w14:paraId="5EDC2A6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6</w:t>
            </w:r>
          </w:p>
        </w:tc>
        <w:tc>
          <w:tcPr>
            <w:tcW w:w="2957" w:type="dxa"/>
            <w:tcBorders>
              <w:tl2br w:val="nil"/>
              <w:tr2bl w:val="nil"/>
            </w:tcBorders>
            <w:vAlign w:val="center"/>
          </w:tcPr>
          <w:p w14:paraId="5111DF3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8</w:t>
            </w:r>
          </w:p>
        </w:tc>
      </w:tr>
      <w:tr w14:paraId="55A5C4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05" w:type="dxa"/>
            <w:tcBorders>
              <w:tl2br w:val="nil"/>
              <w:tr2bl w:val="nil"/>
            </w:tcBorders>
            <w:vAlign w:val="center"/>
          </w:tcPr>
          <w:p w14:paraId="2A1C6AE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土石混合边坡</w:t>
            </w:r>
          </w:p>
        </w:tc>
        <w:tc>
          <w:tcPr>
            <w:tcW w:w="2957" w:type="dxa"/>
            <w:tcBorders>
              <w:tl2br w:val="nil"/>
              <w:tr2bl w:val="nil"/>
            </w:tcBorders>
            <w:vAlign w:val="center"/>
          </w:tcPr>
          <w:p w14:paraId="5E7A5882">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5</w:t>
            </w:r>
          </w:p>
        </w:tc>
        <w:tc>
          <w:tcPr>
            <w:tcW w:w="2957" w:type="dxa"/>
            <w:tcBorders>
              <w:tl2br w:val="nil"/>
              <w:tr2bl w:val="nil"/>
            </w:tcBorders>
            <w:vAlign w:val="center"/>
          </w:tcPr>
          <w:p w14:paraId="418A7A1C">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6</w:t>
            </w:r>
          </w:p>
        </w:tc>
      </w:tr>
      <w:tr w14:paraId="263776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605" w:type="dxa"/>
            <w:tcBorders>
              <w:tl2br w:val="nil"/>
              <w:tr2bl w:val="nil"/>
            </w:tcBorders>
            <w:vAlign w:val="center"/>
          </w:tcPr>
          <w:p w14:paraId="6E1088F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瘠薄土质边坡</w:t>
            </w:r>
          </w:p>
        </w:tc>
        <w:tc>
          <w:tcPr>
            <w:tcW w:w="2957" w:type="dxa"/>
            <w:tcBorders>
              <w:tl2br w:val="nil"/>
              <w:tr2bl w:val="nil"/>
            </w:tcBorders>
            <w:vAlign w:val="center"/>
          </w:tcPr>
          <w:p w14:paraId="2AE795B4">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3</w:t>
            </w:r>
          </w:p>
        </w:tc>
        <w:tc>
          <w:tcPr>
            <w:tcW w:w="2957" w:type="dxa"/>
            <w:tcBorders>
              <w:tl2br w:val="nil"/>
              <w:tr2bl w:val="nil"/>
            </w:tcBorders>
            <w:vAlign w:val="center"/>
          </w:tcPr>
          <w:p w14:paraId="34C0B37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4</w:t>
            </w:r>
          </w:p>
        </w:tc>
      </w:tr>
    </w:tbl>
    <w:p w14:paraId="1DD33F68">
      <w:pPr>
        <w:pBdr>
          <w:top w:val="none" w:color="000000" w:sz="0" w:space="0"/>
          <w:left w:val="none" w:color="000000" w:sz="0" w:space="1"/>
          <w:bottom w:val="none" w:color="000000" w:sz="0" w:space="0"/>
          <w:right w:val="none" w:color="000000" w:sz="0" w:space="0"/>
        </w:pBdr>
        <w:autoSpaceDE w:val="0"/>
        <w:autoSpaceDN w:val="0"/>
        <w:adjustRightInd w:val="0"/>
        <w:spacing w:line="360" w:lineRule="auto"/>
        <w:ind w:firstLine="422" w:firstLineChars="200"/>
        <w:rPr>
          <w:rFonts w:ascii="Times New Roman" w:hAnsi="Times New Roman" w:eastAsia="黑体" w:cs="Times New Roman"/>
          <w:sz w:val="21"/>
        </w:rPr>
      </w:pPr>
      <w:r>
        <w:rPr>
          <w:rFonts w:ascii="Times New Roman" w:hAnsi="Times New Roman" w:eastAsia="黑体" w:cs="Times New Roman"/>
          <w:b/>
          <w:sz w:val="21"/>
        </w:rPr>
        <w:t xml:space="preserve">7 </w:t>
      </w:r>
      <w:r>
        <w:rPr>
          <w:rFonts w:ascii="Times New Roman" w:hAnsi="Times New Roman" w:eastAsia="黑体" w:cs="Times New Roman"/>
          <w:sz w:val="21"/>
        </w:rPr>
        <w:t xml:space="preserve"> </w:t>
      </w:r>
      <w:r>
        <w:rPr>
          <w:rFonts w:ascii="Times New Roman" w:hAnsi="Times New Roman" w:cs="Times New Roman"/>
          <w:sz w:val="21"/>
        </w:rPr>
        <w:t>年降水量800mm以下地区或边坡保水能力不足，不具备持续供给植物所需水分和养分的，应配套灌溉设施。灌溉类型宜以滴灌或微喷灌为主，并满足喷播基材抗冲刷要求，灌溉设施应符合现行国家标准《喷灌工程技术规范》GB/T 50085、《微灌工程技术规范》GB/T 50485的规定。</w:t>
      </w:r>
      <w:r>
        <w:rPr>
          <w:rFonts w:ascii="Times New Roman" w:hAnsi="Times New Roman" w:eastAsia="黑体" w:cs="Times New Roman"/>
          <w:sz w:val="21"/>
        </w:rPr>
        <w:t xml:space="preserve"> </w:t>
      </w:r>
    </w:p>
    <w:p w14:paraId="19E7A626">
      <w:pPr>
        <w:pBdr>
          <w:top w:val="none" w:color="000000" w:sz="0" w:space="0"/>
          <w:left w:val="none" w:color="000000" w:sz="0" w:space="1"/>
          <w:bottom w:val="none" w:color="000000" w:sz="0" w:space="0"/>
          <w:right w:val="none" w:color="000000" w:sz="0" w:space="0"/>
        </w:pBd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 xml:space="preserve">8 </w:t>
      </w:r>
      <w:r>
        <w:rPr>
          <w:rFonts w:ascii="Times New Roman" w:hAnsi="Times New Roman" w:eastAsia="黑体" w:cs="Times New Roman"/>
          <w:sz w:val="21"/>
        </w:rPr>
        <w:t xml:space="preserve"> </w:t>
      </w:r>
      <w:r>
        <w:rPr>
          <w:rFonts w:ascii="Times New Roman" w:hAnsi="Times New Roman" w:cs="Times New Roman"/>
          <w:sz w:val="21"/>
        </w:rPr>
        <w:t>喷播绿化可与钢筋混凝土框架、预应力锚索、预应力锚索框架地梁等边坡治理工程相结合。</w:t>
      </w:r>
    </w:p>
    <w:p w14:paraId="13165197">
      <w:pPr>
        <w:pBdr>
          <w:top w:val="none" w:color="000000" w:sz="0" w:space="0"/>
          <w:left w:val="none" w:color="000000" w:sz="0" w:space="1"/>
          <w:bottom w:val="none" w:color="000000" w:sz="0" w:space="0"/>
          <w:right w:val="none" w:color="000000" w:sz="0" w:space="0"/>
        </w:pBdr>
        <w:autoSpaceDE w:val="0"/>
        <w:autoSpaceDN w:val="0"/>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6</w:t>
      </w:r>
      <w:r>
        <w:rPr>
          <w:rFonts w:ascii="Times New Roman" w:hAnsi="Times New Roman" w:cs="Times New Roman"/>
          <w:b/>
          <w:sz w:val="21"/>
        </w:rPr>
        <w:t>.</w:t>
      </w:r>
      <w:r>
        <w:rPr>
          <w:rFonts w:ascii="Times New Roman" w:hAnsi="Times New Roman" w:eastAsia="黑体" w:cs="Times New Roman"/>
          <w:b/>
          <w:sz w:val="21"/>
        </w:rPr>
        <w:t>16</w:t>
      </w:r>
      <w:r>
        <w:rPr>
          <w:rFonts w:ascii="Times New Roman" w:hAnsi="Times New Roman" w:cs="Times New Roman"/>
          <w:sz w:val="21"/>
        </w:rPr>
        <w:t xml:space="preserve">  生态材料砌筑护坡设计应符合下列规定：</w:t>
      </w:r>
    </w:p>
    <w:p w14:paraId="710DC8E2">
      <w:pPr>
        <w:pBdr>
          <w:top w:val="none" w:color="000000" w:sz="0" w:space="0"/>
          <w:left w:val="none" w:color="000000" w:sz="0" w:space="1"/>
          <w:bottom w:val="none" w:color="000000" w:sz="0" w:space="0"/>
          <w:right w:val="none" w:color="000000" w:sz="0" w:space="0"/>
        </w:pBd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1 </w:t>
      </w:r>
      <w:r>
        <w:rPr>
          <w:rFonts w:ascii="Times New Roman" w:hAnsi="Times New Roman" w:cs="Times New Roman"/>
          <w:sz w:val="21"/>
        </w:rPr>
        <w:t xml:space="preserve"> 生态植生袋可在坡比缓于1</w:t>
      </w:r>
      <w:r>
        <w:rPr>
          <w:rFonts w:hint="eastAsia" w:ascii="Times New Roman" w:hAnsi="Times New Roman" w:cs="Times New Roman"/>
          <w:sz w:val="21"/>
        </w:rPr>
        <w:t>:</w:t>
      </w:r>
      <w:r>
        <w:rPr>
          <w:rFonts w:ascii="Times New Roman" w:hAnsi="Times New Roman" w:cs="Times New Roman"/>
          <w:sz w:val="21"/>
        </w:rPr>
        <w:t>1的坡面采用连接扣（件）固定后直接码放，坡比陡于1</w:t>
      </w:r>
      <w:r>
        <w:rPr>
          <w:rFonts w:hint="eastAsia" w:ascii="Times New Roman" w:hAnsi="Times New Roman" w:cs="Times New Roman"/>
          <w:sz w:val="21"/>
        </w:rPr>
        <w:t>:</w:t>
      </w:r>
      <w:r>
        <w:rPr>
          <w:rFonts w:ascii="Times New Roman" w:hAnsi="Times New Roman" w:cs="Times New Roman"/>
          <w:sz w:val="21"/>
        </w:rPr>
        <w:t>1时还应采用钢筋骨架、钢索拦挡固定或与格状框条、钢筋混凝土框架结合。边坡绿化困难时，可采用生态植生袋与喷播绿化相结合的方式。</w:t>
      </w:r>
    </w:p>
    <w:p w14:paraId="5B74E0C1">
      <w:pPr>
        <w:pBdr>
          <w:top w:val="none" w:color="000000" w:sz="0" w:space="0"/>
          <w:left w:val="none" w:color="000000" w:sz="0" w:space="1"/>
          <w:bottom w:val="none" w:color="000000" w:sz="0" w:space="0"/>
          <w:right w:val="none" w:color="000000" w:sz="0" w:space="0"/>
        </w:pBd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采用现浇生态混凝土护坡的，生态混凝土厚度应为10cm</w:t>
      </w:r>
      <w:r>
        <w:rPr>
          <w:rFonts w:ascii="Times New Roman" w:hAnsi="Times New Roman" w:cs="Times New Roman"/>
          <w:sz w:val="21"/>
          <w:szCs w:val="21"/>
          <w:lang w:bidi="ar"/>
        </w:rPr>
        <w:t>～15cm，</w:t>
      </w:r>
      <w:r>
        <w:rPr>
          <w:rFonts w:ascii="Times New Roman" w:hAnsi="Times New Roman" w:cs="Times New Roman"/>
          <w:sz w:val="21"/>
        </w:rPr>
        <w:t>坡面应设置反滤层，</w:t>
      </w:r>
      <w:r>
        <w:rPr>
          <w:rFonts w:ascii="Times New Roman" w:hAnsi="Times New Roman" w:cs="Times New Roman"/>
          <w:sz w:val="21"/>
          <w:szCs w:val="21"/>
          <w:lang w:bidi="ar"/>
        </w:rPr>
        <w:t>表层可采用种植土、植物纤维、肥料、添加剂等填充空隙。</w:t>
      </w:r>
    </w:p>
    <w:p w14:paraId="5AD50AD6">
      <w:pPr>
        <w:pBdr>
          <w:top w:val="none" w:color="000000" w:sz="0" w:space="0"/>
          <w:left w:val="none" w:color="000000" w:sz="0" w:space="1"/>
          <w:bottom w:val="none" w:color="000000" w:sz="0" w:space="0"/>
          <w:right w:val="none" w:color="000000" w:sz="0" w:space="0"/>
        </w:pBd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采用生态格网石笼护坡的，格网钢丝表面应采取镀层或覆塑等防锈措施，网箱内应采用毛石、块石或卵石密实填充，不得使用风化石料，表层应平整美观，各网片用扎丝绑扎固定。填料粒径、网面强度和网片间绑扎数量应满足石笼结构强度的要求。生态格网石笼可结合填土后直接种植或喷播绿化。</w:t>
      </w:r>
    </w:p>
    <w:p w14:paraId="699430C5">
      <w:pPr>
        <w:pBdr>
          <w:top w:val="none" w:color="000000" w:sz="0" w:space="0"/>
          <w:left w:val="none" w:color="000000" w:sz="0" w:space="1"/>
          <w:bottom w:val="none" w:color="000000" w:sz="0" w:space="0"/>
          <w:right w:val="none" w:color="000000" w:sz="0" w:space="0"/>
        </w:pBd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4 </w:t>
      </w:r>
      <w:r>
        <w:rPr>
          <w:rFonts w:ascii="Times New Roman" w:hAnsi="Times New Roman" w:cs="Times New Roman"/>
          <w:sz w:val="21"/>
        </w:rPr>
        <w:t xml:space="preserve"> 采用生态砌块护坡的，应采用互嵌结构，错缝搭接，可采用钢筋等连接件增强整体稳定性。填料需满足植物生长要求，兼顾硬质护坡稳定性与生态功能。砌块与边坡之间应设置反滤层避免积水。</w:t>
      </w:r>
    </w:p>
    <w:p w14:paraId="2752E35E">
      <w:pPr>
        <w:keepNext/>
        <w:keepLines/>
        <w:spacing w:before="260" w:after="260" w:line="416" w:lineRule="auto"/>
        <w:jc w:val="center"/>
        <w:outlineLvl w:val="1"/>
        <w:rPr>
          <w:rFonts w:ascii="Times New Roman" w:hAnsi="Times New Roman" w:eastAsia="黑体" w:cs="Times New Roman"/>
          <w:bCs/>
          <w:sz w:val="30"/>
          <w:szCs w:val="32"/>
        </w:rPr>
      </w:pPr>
      <w:bookmarkStart w:id="546" w:name="_Toc808"/>
      <w:bookmarkStart w:id="547" w:name="_Toc27293"/>
      <w:r>
        <w:rPr>
          <w:rFonts w:ascii="Times New Roman" w:hAnsi="Times New Roman" w:eastAsia="黑体" w:cs="Times New Roman"/>
          <w:bCs/>
          <w:sz w:val="30"/>
          <w:szCs w:val="32"/>
        </w:rPr>
        <w:t>5</w:t>
      </w:r>
      <w:r>
        <w:rPr>
          <w:rFonts w:ascii="Times New Roman" w:hAnsi="Times New Roman" w:cs="Times New Roman"/>
          <w:bCs/>
          <w:sz w:val="30"/>
          <w:szCs w:val="32"/>
        </w:rPr>
        <w:t>.</w:t>
      </w:r>
      <w:r>
        <w:rPr>
          <w:rFonts w:ascii="Times New Roman" w:hAnsi="Times New Roman" w:eastAsia="黑体" w:cs="Times New Roman"/>
          <w:bCs/>
          <w:sz w:val="30"/>
          <w:szCs w:val="32"/>
        </w:rPr>
        <w:t>7 降水蓄渗工程</w:t>
      </w:r>
      <w:bookmarkEnd w:id="546"/>
      <w:bookmarkEnd w:id="547"/>
    </w:p>
    <w:p w14:paraId="6BFEC8A8">
      <w:pPr>
        <w:keepNext/>
        <w:keepLines/>
        <w:spacing w:before="260" w:after="260" w:line="416" w:lineRule="auto"/>
        <w:jc w:val="center"/>
        <w:outlineLvl w:val="2"/>
        <w:rPr>
          <w:rFonts w:ascii="Times New Roman" w:hAnsi="Times New Roman" w:eastAsia="黑体" w:cs="Times New Roman"/>
          <w:bCs/>
          <w:sz w:val="24"/>
          <w:szCs w:val="24"/>
        </w:rPr>
      </w:pPr>
      <w:r>
        <w:rPr>
          <w:rFonts w:ascii="Times New Roman" w:hAnsi="Times New Roman" w:cs="Times New Roman"/>
          <w:bCs/>
          <w:sz w:val="24"/>
          <w:szCs w:val="24"/>
        </w:rPr>
        <w:t xml:space="preserve">Ⅰ </w:t>
      </w:r>
      <w:r>
        <w:rPr>
          <w:rFonts w:ascii="Times New Roman" w:hAnsi="Times New Roman" w:eastAsia="黑体" w:cs="Times New Roman"/>
          <w:bCs/>
          <w:sz w:val="24"/>
          <w:szCs w:val="24"/>
        </w:rPr>
        <w:t>一般规定</w:t>
      </w:r>
    </w:p>
    <w:p w14:paraId="651F2872">
      <w:pPr>
        <w:spacing w:line="360" w:lineRule="auto"/>
        <w:jc w:val="left"/>
        <w:rPr>
          <w:rFonts w:ascii="Times New Roman" w:hAnsi="Times New Roman" w:cs="Times New Roman"/>
          <w:sz w:val="21"/>
        </w:rPr>
      </w:pPr>
      <w:r>
        <w:rPr>
          <w:rFonts w:ascii="Times New Roman" w:hAnsi="Times New Roman" w:cs="Times New Roman"/>
          <w:b/>
          <w:sz w:val="21"/>
        </w:rPr>
        <w:t>5.7.1</w:t>
      </w:r>
      <w:r>
        <w:rPr>
          <w:rFonts w:ascii="Times New Roman" w:hAnsi="Times New Roman" w:cs="Times New Roman"/>
          <w:sz w:val="21"/>
        </w:rPr>
        <w:t xml:space="preserve">  根据项目建设情况和所在区域特点，降水蓄渗工程包括雨水集蓄利用、雨水收集回用和雨水入渗等。</w:t>
      </w:r>
    </w:p>
    <w:p w14:paraId="796C2620">
      <w:pPr>
        <w:spacing w:line="360" w:lineRule="auto"/>
        <w:jc w:val="left"/>
        <w:rPr>
          <w:rFonts w:ascii="Times New Roman" w:hAnsi="Times New Roman" w:cs="Times New Roman"/>
          <w:sz w:val="21"/>
        </w:rPr>
      </w:pPr>
      <w:r>
        <w:rPr>
          <w:rFonts w:ascii="Times New Roman" w:hAnsi="Times New Roman" w:cs="Times New Roman"/>
          <w:b/>
          <w:sz w:val="21"/>
        </w:rPr>
        <w:t>5.7.2</w:t>
      </w:r>
      <w:r>
        <w:rPr>
          <w:rFonts w:ascii="Times New Roman" w:hAnsi="Times New Roman" w:cs="Times New Roman"/>
          <w:sz w:val="21"/>
        </w:rPr>
        <w:t xml:space="preserve">  雨水集蓄利用工程主要用于项目管理区内植被种植、养护用水的收集利用，确需雨水收集回用且有水质要求时，还应符合城市建设、环境保护等有关规定。</w:t>
      </w:r>
    </w:p>
    <w:p w14:paraId="55520978">
      <w:pPr>
        <w:spacing w:line="360" w:lineRule="auto"/>
        <w:jc w:val="left"/>
        <w:rPr>
          <w:rFonts w:ascii="Times New Roman" w:hAnsi="Times New Roman" w:cs="Times New Roman"/>
          <w:sz w:val="21"/>
        </w:rPr>
      </w:pPr>
      <w:r>
        <w:rPr>
          <w:rFonts w:ascii="Times New Roman" w:hAnsi="Times New Roman" w:cs="Times New Roman"/>
          <w:b/>
          <w:sz w:val="21"/>
        </w:rPr>
        <w:t>5.7.3</w:t>
      </w:r>
      <w:r>
        <w:rPr>
          <w:rFonts w:ascii="Times New Roman" w:hAnsi="Times New Roman" w:cs="Times New Roman"/>
          <w:sz w:val="21"/>
        </w:rPr>
        <w:t xml:space="preserve">  多年平均降水量小于600mm的北方地区，云南、贵州、四川、广西、重庆等南方石漠化严重地区，海岛和沿海等水资源短缺地区，应根据地表水资源利用和植被生长需水要求，布设雨水集蓄利用工程。</w:t>
      </w:r>
    </w:p>
    <w:p w14:paraId="4F6657B8">
      <w:pPr>
        <w:spacing w:line="360" w:lineRule="auto"/>
        <w:jc w:val="left"/>
        <w:rPr>
          <w:rFonts w:ascii="Times New Roman" w:hAnsi="Times New Roman" w:cs="Times New Roman"/>
          <w:sz w:val="21"/>
        </w:rPr>
      </w:pPr>
      <w:r>
        <w:rPr>
          <w:rFonts w:ascii="Times New Roman" w:hAnsi="Times New Roman" w:cs="Times New Roman"/>
          <w:b/>
          <w:sz w:val="21"/>
        </w:rPr>
        <w:t>5.7.4</w:t>
      </w:r>
      <w:r>
        <w:rPr>
          <w:rFonts w:ascii="Times New Roman" w:hAnsi="Times New Roman" w:cs="Times New Roman"/>
          <w:sz w:val="21"/>
        </w:rPr>
        <w:t xml:space="preserve">  多年平均降水量小于600mm，且位于城镇区域内的建设项目可根据项目运行管理和城镇规划要求，布设雨水收集回用、雨水入渗设施。</w:t>
      </w:r>
    </w:p>
    <w:p w14:paraId="293BA747">
      <w:pPr>
        <w:spacing w:line="360" w:lineRule="auto"/>
        <w:jc w:val="left"/>
        <w:rPr>
          <w:rFonts w:ascii="Times New Roman" w:hAnsi="Times New Roman" w:cs="Times New Roman"/>
          <w:sz w:val="21"/>
        </w:rPr>
      </w:pPr>
      <w:r>
        <w:rPr>
          <w:rFonts w:ascii="Times New Roman" w:hAnsi="Times New Roman" w:cs="Times New Roman"/>
          <w:b/>
          <w:sz w:val="21"/>
        </w:rPr>
        <w:t>5.7.</w:t>
      </w:r>
      <w:r>
        <w:rPr>
          <w:rFonts w:hint="eastAsia" w:ascii="Times New Roman" w:hAnsi="Times New Roman" w:cs="Times New Roman"/>
          <w:b/>
          <w:sz w:val="21"/>
        </w:rPr>
        <w:t>5</w:t>
      </w:r>
      <w:r>
        <w:rPr>
          <w:rFonts w:ascii="Times New Roman" w:hAnsi="Times New Roman" w:cs="Times New Roman"/>
          <w:sz w:val="21"/>
        </w:rPr>
        <w:t xml:space="preserve">  降水蓄渗工程的布置和设计应满足下列要求：</w:t>
      </w:r>
    </w:p>
    <w:p w14:paraId="46BBB08E">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 xml:space="preserve">1  </w:t>
      </w:r>
      <w:r>
        <w:rPr>
          <w:rFonts w:ascii="Times New Roman" w:hAnsi="Times New Roman" w:cs="Times New Roman"/>
          <w:sz w:val="21"/>
        </w:rPr>
        <w:t>应根据项目区地面硬化面积、林草覆盖率要求、植被恢复与建设面积、后期养护管理需水要求以及可能的其他用水统筹布置。</w:t>
      </w:r>
    </w:p>
    <w:p w14:paraId="746D28C9">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 xml:space="preserve">2  </w:t>
      </w:r>
      <w:r>
        <w:rPr>
          <w:rFonts w:ascii="Times New Roman" w:hAnsi="Times New Roman" w:cs="Times New Roman"/>
          <w:sz w:val="21"/>
        </w:rPr>
        <w:t>位于城镇区域的建设项目还应根据市政规划要求进行降水蓄渗与利用。</w:t>
      </w:r>
    </w:p>
    <w:p w14:paraId="6B0AF0D1">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条件允许时，可利用其他水源作为雨水集蓄及回用工程蓄水设施的补充水源。</w:t>
      </w:r>
    </w:p>
    <w:p w14:paraId="443FB9E7">
      <w:pPr>
        <w:spacing w:line="360" w:lineRule="auto"/>
        <w:jc w:val="left"/>
        <w:rPr>
          <w:rFonts w:ascii="Times New Roman" w:hAnsi="Times New Roman" w:cs="Times New Roman"/>
          <w:sz w:val="21"/>
        </w:rPr>
      </w:pPr>
      <w:r>
        <w:rPr>
          <w:rFonts w:ascii="Times New Roman" w:hAnsi="Times New Roman" w:cs="Times New Roman"/>
          <w:b/>
          <w:sz w:val="21"/>
        </w:rPr>
        <w:t>5.7.</w:t>
      </w:r>
      <w:r>
        <w:rPr>
          <w:rFonts w:hint="eastAsia" w:ascii="Times New Roman" w:hAnsi="Times New Roman" w:cs="Times New Roman"/>
          <w:b/>
          <w:sz w:val="21"/>
        </w:rPr>
        <w:t>6</w:t>
      </w:r>
      <w:r>
        <w:rPr>
          <w:rFonts w:ascii="Times New Roman" w:hAnsi="Times New Roman" w:cs="Times New Roman"/>
          <w:b/>
          <w:sz w:val="21"/>
        </w:rPr>
        <w:t xml:space="preserve">  </w:t>
      </w:r>
      <w:r>
        <w:rPr>
          <w:rFonts w:ascii="Times New Roman" w:hAnsi="Times New Roman" w:cs="Times New Roman"/>
          <w:sz w:val="21"/>
        </w:rPr>
        <w:t xml:space="preserve">降水蓄渗工程设计所需基本资料应包括下列内容： </w:t>
      </w:r>
    </w:p>
    <w:p w14:paraId="3B91CF2D">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 xml:space="preserve">1  </w:t>
      </w:r>
      <w:r>
        <w:rPr>
          <w:rFonts w:ascii="Times New Roman" w:hAnsi="Times New Roman" w:cs="Times New Roman"/>
          <w:sz w:val="21"/>
        </w:rPr>
        <w:t>气象水文资料，主要包括实测系列资料、当地水文手册、当地市政暴雨强度计算公式，雨水入渗工程应有相关区域滞水层及地下水分布、土壤类型及渗透系数等方面的资料。</w:t>
      </w:r>
    </w:p>
    <w:p w14:paraId="58F7D5A3">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项目建设区地形资料（地形图1:500～1:1000），雨水收集回用、入渗工程还应具备区域周边管线网连接资料。</w:t>
      </w:r>
    </w:p>
    <w:p w14:paraId="369BCE5A">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 xml:space="preserve">3  </w:t>
      </w:r>
      <w:r>
        <w:rPr>
          <w:rFonts w:ascii="Times New Roman" w:hAnsi="Times New Roman" w:cs="Times New Roman"/>
          <w:sz w:val="21"/>
        </w:rPr>
        <w:t>其他资料，包括项目区周边已建或工程设计的各类雨水集流面性质、面积、蓄水设施的种类、数量及容积；需灌溉养护的植被类型及其面积的相关资料及数据，以及相关植被类型耗水定额。</w:t>
      </w:r>
    </w:p>
    <w:p w14:paraId="60C0365B">
      <w:pPr>
        <w:keepNext/>
        <w:keepLines/>
        <w:spacing w:before="260" w:after="260" w:line="416" w:lineRule="auto"/>
        <w:jc w:val="center"/>
        <w:outlineLvl w:val="2"/>
        <w:rPr>
          <w:rFonts w:ascii="Times New Roman" w:hAnsi="Times New Roman" w:eastAsia="黑体" w:cs="Times New Roman"/>
          <w:bCs/>
          <w:sz w:val="24"/>
          <w:szCs w:val="24"/>
        </w:rPr>
      </w:pPr>
      <w:r>
        <w:rPr>
          <w:rFonts w:ascii="Times New Roman" w:hAnsi="Times New Roman" w:cs="Times New Roman"/>
          <w:bCs/>
          <w:sz w:val="24"/>
          <w:szCs w:val="24"/>
        </w:rPr>
        <w:t xml:space="preserve">Ⅱ </w:t>
      </w:r>
      <w:r>
        <w:rPr>
          <w:rFonts w:ascii="Times New Roman" w:hAnsi="Times New Roman" w:eastAsia="黑体" w:cs="Times New Roman"/>
          <w:bCs/>
          <w:sz w:val="24"/>
          <w:szCs w:val="24"/>
        </w:rPr>
        <w:t>雨水集蓄利用工程</w:t>
      </w:r>
    </w:p>
    <w:p w14:paraId="44B56FAB">
      <w:pPr>
        <w:spacing w:line="360" w:lineRule="auto"/>
        <w:jc w:val="left"/>
        <w:rPr>
          <w:rFonts w:ascii="Times New Roman" w:hAnsi="Times New Roman" w:cs="Times New Roman"/>
          <w:sz w:val="21"/>
        </w:rPr>
      </w:pPr>
      <w:r>
        <w:rPr>
          <w:rFonts w:ascii="Times New Roman" w:hAnsi="Times New Roman" w:cs="Times New Roman"/>
          <w:b/>
          <w:sz w:val="21"/>
        </w:rPr>
        <w:t>5.7.</w:t>
      </w:r>
      <w:r>
        <w:rPr>
          <w:rFonts w:hint="eastAsia" w:ascii="Times New Roman" w:hAnsi="Times New Roman" w:cs="Times New Roman"/>
          <w:b/>
          <w:sz w:val="21"/>
        </w:rPr>
        <w:t>7</w:t>
      </w:r>
      <w:r>
        <w:rPr>
          <w:rFonts w:ascii="Times New Roman" w:hAnsi="Times New Roman" w:cs="Times New Roman"/>
          <w:sz w:val="21"/>
        </w:rPr>
        <w:t xml:space="preserve">  雨水集蓄利用工程布置应符合下列规定：</w:t>
      </w:r>
    </w:p>
    <w:p w14:paraId="49A2A514">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应采用集流、存储、输水和供水利用等系统设施，统一布设，并与不同利用方向相结合。</w:t>
      </w:r>
    </w:p>
    <w:p w14:paraId="25822A88">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 xml:space="preserve">2  </w:t>
      </w:r>
      <w:r>
        <w:rPr>
          <w:rFonts w:ascii="Times New Roman" w:hAnsi="Times New Roman" w:cs="Times New Roman"/>
          <w:sz w:val="21"/>
        </w:rPr>
        <w:t>蓄水规模应根据降水量、集流面类型及面积、林草植被的灌水定额，按50%～75%的供水保证率确定。灌水定额应根据不同的灌溉方式和林草植被的种类，并参照有关规范和地区经验确定。全年灌溉水量可按现行《雨水集蓄利用工程技术规范》GB/T 50596的规定执行。</w:t>
      </w:r>
    </w:p>
    <w:p w14:paraId="1054E138">
      <w:pPr>
        <w:spacing w:line="360" w:lineRule="auto"/>
        <w:jc w:val="left"/>
        <w:rPr>
          <w:rFonts w:ascii="Times New Roman" w:hAnsi="Times New Roman" w:cs="Times New Roman"/>
          <w:sz w:val="21"/>
        </w:rPr>
      </w:pPr>
      <w:r>
        <w:rPr>
          <w:rFonts w:ascii="Times New Roman" w:hAnsi="Times New Roman" w:cs="Times New Roman"/>
          <w:b/>
          <w:sz w:val="21"/>
        </w:rPr>
        <w:t>5.7.</w:t>
      </w:r>
      <w:r>
        <w:rPr>
          <w:rFonts w:hint="eastAsia" w:ascii="Times New Roman" w:hAnsi="Times New Roman" w:cs="Times New Roman"/>
          <w:b/>
          <w:sz w:val="21"/>
        </w:rPr>
        <w:t>8</w:t>
      </w:r>
      <w:r>
        <w:rPr>
          <w:rFonts w:ascii="Times New Roman" w:hAnsi="Times New Roman" w:cs="Times New Roman"/>
          <w:b/>
          <w:sz w:val="21"/>
        </w:rPr>
        <w:t xml:space="preserve">  </w:t>
      </w:r>
      <w:r>
        <w:rPr>
          <w:rFonts w:ascii="Times New Roman" w:hAnsi="Times New Roman" w:cs="Times New Roman"/>
          <w:sz w:val="21"/>
        </w:rPr>
        <w:t>集流系统应设集流面、汇流沟和输水设施，并满足下列要求：</w:t>
      </w:r>
    </w:p>
    <w:p w14:paraId="4D1734D0">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集流面应利用建设区透水性较低的道路、停车场、厂房及管理用房屋顶等人工设施或坡面。</w:t>
      </w:r>
    </w:p>
    <w:p w14:paraId="48BE098B">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应修建汇流沟，集流坡面较宽时，宜修建截流沟拦截降雨径流并引入汇流沟。</w:t>
      </w:r>
    </w:p>
    <w:p w14:paraId="730CFD13">
      <w:pPr>
        <w:spacing w:line="360" w:lineRule="auto"/>
        <w:ind w:firstLine="422" w:firstLineChars="200"/>
        <w:jc w:val="left"/>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雨水集蓄利用工程的可集水量可按式（5.7.</w:t>
      </w:r>
      <w:r>
        <w:rPr>
          <w:rFonts w:hint="eastAsia" w:ascii="Times New Roman" w:hAnsi="Times New Roman" w:cs="Times New Roman"/>
          <w:sz w:val="21"/>
        </w:rPr>
        <w:t>8-1</w:t>
      </w:r>
      <w:r>
        <w:rPr>
          <w:rFonts w:ascii="Times New Roman" w:hAnsi="Times New Roman" w:cs="Times New Roman"/>
          <w:sz w:val="21"/>
        </w:rPr>
        <w:t>）计算。</w:t>
      </w:r>
    </w:p>
    <w:p w14:paraId="6F3E3926">
      <w:pPr>
        <w:spacing w:line="360" w:lineRule="auto"/>
        <w:ind w:firstLine="2240" w:firstLineChars="800"/>
        <w:jc w:val="left"/>
        <w:rPr>
          <w:rFonts w:ascii="Times New Roman" w:hAnsi="Times New Roman" w:cs="Times New Roman"/>
          <w:sz w:val="21"/>
        </w:rPr>
      </w:pPr>
      <m:oMath>
        <m:r>
          <m:rPr>
            <m:nor/>
          </m:rPr>
          <w:rPr>
            <w:rFonts w:ascii="Times New Roman" w:hAnsi="Times New Roman" w:cs="Times New Roman"/>
            <w:i/>
          </w:rPr>
          <m:t>W</m:t>
        </m:r>
        <m:r>
          <m:rPr>
            <m:nor/>
            <m:sty m:val="p"/>
          </m:rPr>
          <w:rPr>
            <w:rFonts w:ascii="Times New Roman" w:hAnsi="Times New Roman" w:cs="Times New Roman"/>
            <w:b w:val="0"/>
            <w:i w:val="0"/>
          </w:rPr>
          <m:t>=</m:t>
        </m:r>
        <m:nary>
          <m:naryPr>
            <m:chr m:val="∑"/>
            <m:grow m:val="1"/>
            <m:limLoc m:val="undOvr"/>
            <m:ctrlPr>
              <w:rPr>
                <w:rFonts w:ascii="Cambria Math" w:hAnsi="Cambria Math" w:cs="Times New Roman"/>
                <w:i/>
              </w:rPr>
            </m:ctrlPr>
          </m:naryPr>
          <m:sub>
            <m:r>
              <m:rPr>
                <m:nor/>
              </m:rPr>
              <w:rPr>
                <w:rFonts w:ascii="Times New Roman" w:hAnsi="Times New Roman" w:cs="Times New Roman"/>
                <w:i/>
              </w:rPr>
              <m:t>i</m:t>
            </m:r>
            <m:r>
              <m:rPr>
                <m:nor/>
                <m:sty m:val="p"/>
              </m:rPr>
              <w:rPr>
                <w:rFonts w:ascii="Times New Roman" w:hAnsi="Times New Roman" w:cs="Times New Roman"/>
                <w:b w:val="0"/>
                <w:i w:val="0"/>
              </w:rPr>
              <m:t>=0</m:t>
            </m:r>
            <m:ctrlPr>
              <w:rPr>
                <w:rFonts w:ascii="Cambria Math" w:hAnsi="Cambria Math" w:cs="Times New Roman"/>
                <w:i/>
              </w:rPr>
            </m:ctrlPr>
          </m:sub>
          <m:sup>
            <m:r>
              <m:rPr>
                <m:nor/>
              </m:rPr>
              <w:rPr>
                <w:rFonts w:ascii="Times New Roman" w:hAnsi="Times New Roman" w:cs="Times New Roman"/>
                <w:i/>
              </w:rPr>
              <m:t>n</m:t>
            </m:r>
            <m:ctrlPr>
              <w:rPr>
                <w:rFonts w:ascii="Cambria Math" w:hAnsi="Cambria Math" w:cs="Times New Roman"/>
                <w:i/>
              </w:rPr>
            </m:ctrlPr>
          </m:sup>
          <m:e>
            <m:sSub>
              <m:sSubPr>
                <m:ctrlPr>
                  <w:rPr>
                    <w:rFonts w:ascii="Cambria Math" w:hAnsi="Cambria Math" w:cs="Times New Roman"/>
                    <w:i/>
                  </w:rPr>
                </m:ctrlPr>
              </m:sSubPr>
              <m:e>
                <m:r>
                  <m:rPr>
                    <m:nor/>
                  </m:rPr>
                  <w:rPr>
                    <w:rFonts w:ascii="Times New Roman" w:hAnsi="Times New Roman" w:cs="Times New Roman"/>
                    <w:i/>
                  </w:rPr>
                  <m:t>S</m:t>
                </m:r>
                <m:ctrlPr>
                  <w:rPr>
                    <w:rFonts w:ascii="Cambria Math" w:hAnsi="Cambria Math" w:cs="Times New Roman"/>
                    <w:i/>
                  </w:rPr>
                </m:ctrlPr>
              </m:e>
              <m:sub>
                <m:r>
                  <m:rPr>
                    <m:nor/>
                  </m:rPr>
                  <w:rPr>
                    <w:rFonts w:ascii="Times New Roman" w:hAnsi="Times New Roman" w:cs="Times New Roman"/>
                    <w:i/>
                  </w:rPr>
                  <m:t>i</m:t>
                </m:r>
                <m:ctrlPr>
                  <w:rPr>
                    <w:rFonts w:ascii="Cambria Math" w:hAnsi="Cambria Math" w:cs="Times New Roman"/>
                    <w:i/>
                  </w:rPr>
                </m:ctrlPr>
              </m:sub>
            </m:sSub>
            <m:sSub>
              <m:sSubPr>
                <m:ctrlPr>
                  <w:rPr>
                    <w:rFonts w:ascii="Cambria Math" w:hAnsi="Cambria Math" w:cs="Times New Roman"/>
                    <w:i/>
                  </w:rPr>
                </m:ctrlPr>
              </m:sSubPr>
              <m:e>
                <m:r>
                  <m:rPr>
                    <m:nor/>
                  </m:rPr>
                  <w:rPr>
                    <w:rFonts w:ascii="Times New Roman" w:hAnsi="Times New Roman" w:cs="Times New Roman"/>
                    <w:i/>
                  </w:rPr>
                  <m:t>k</m:t>
                </m:r>
                <m:ctrlPr>
                  <w:rPr>
                    <w:rFonts w:ascii="Cambria Math" w:hAnsi="Cambria Math" w:cs="Times New Roman"/>
                    <w:i/>
                  </w:rPr>
                </m:ctrlPr>
              </m:e>
              <m:sub>
                <m:r>
                  <m:rPr>
                    <m:nor/>
                  </m:rPr>
                  <w:rPr>
                    <w:rFonts w:ascii="Times New Roman" w:hAnsi="Times New Roman" w:cs="Times New Roman"/>
                    <w:i/>
                  </w:rPr>
                  <m:t>i</m:t>
                </m:r>
                <m:ctrlPr>
                  <w:rPr>
                    <w:rFonts w:ascii="Cambria Math" w:hAnsi="Cambria Math" w:cs="Times New Roman"/>
                    <w:i/>
                  </w:rPr>
                </m:ctrlPr>
              </m:sub>
            </m:sSub>
            <m:sSub>
              <m:sSubPr>
                <m:ctrlPr>
                  <w:rPr>
                    <w:rFonts w:ascii="Cambria Math" w:hAnsi="Cambria Math" w:cs="Times New Roman"/>
                    <w:i/>
                  </w:rPr>
                </m:ctrlPr>
              </m:sSubPr>
              <m:e>
                <m:r>
                  <m:rPr>
                    <m:nor/>
                  </m:rPr>
                  <w:rPr>
                    <w:rFonts w:ascii="Times New Roman" w:hAnsi="Times New Roman" w:cs="Times New Roman"/>
                    <w:i/>
                  </w:rPr>
                  <m:t>P</m:t>
                </m:r>
                <m:ctrlPr>
                  <w:rPr>
                    <w:rFonts w:ascii="Cambria Math" w:hAnsi="Cambria Math" w:cs="Times New Roman"/>
                    <w:i/>
                  </w:rPr>
                </m:ctrlPr>
              </m:e>
              <m:sub>
                <m:r>
                  <m:rPr>
                    <m:nor/>
                  </m:rPr>
                  <w:rPr>
                    <w:rFonts w:ascii="Times New Roman" w:hAnsi="Times New Roman" w:cs="Times New Roman"/>
                    <w:i/>
                  </w:rPr>
                  <m:t>P</m:t>
                </m:r>
                <m:ctrlPr>
                  <w:rPr>
                    <w:rFonts w:ascii="Cambria Math" w:hAnsi="Cambria Math" w:cs="Times New Roman"/>
                    <w:i/>
                  </w:rPr>
                </m:ctrlPr>
              </m:sub>
            </m:sSub>
            <m:r>
              <m:rPr>
                <m:nor/>
                <m:sty m:val="p"/>
              </m:rPr>
              <w:rPr>
                <w:rFonts w:ascii="Times New Roman" w:hAnsi="Times New Roman" w:cs="Times New Roman"/>
                <w:b w:val="0"/>
                <w:i w:val="0"/>
              </w:rPr>
              <m:t>/1000</m:t>
            </m:r>
            <m:ctrlPr>
              <w:rPr>
                <w:rFonts w:ascii="Cambria Math" w:hAnsi="Cambria Math" w:cs="Times New Roman"/>
                <w:i/>
              </w:rPr>
            </m:ctrlPr>
          </m:e>
        </m:nary>
      </m:oMath>
      <w:r>
        <w:rPr>
          <w:rFonts w:ascii="Times New Roman" w:hAnsi="Times New Roman" w:cs="Times New Roman"/>
          <w:sz w:val="21"/>
        </w:rPr>
        <w:t xml:space="preserve">                   </w:t>
      </w:r>
      <w:r>
        <w:rPr>
          <w:rFonts w:hint="eastAsia" w:ascii="Times New Roman" w:hAnsi="Times New Roman" w:cs="Times New Roman"/>
          <w:sz w:val="21"/>
        </w:rPr>
        <w:t xml:space="preserve"> </w:t>
      </w:r>
      <w:r>
        <w:rPr>
          <w:rFonts w:ascii="Times New Roman" w:hAnsi="Times New Roman" w:cs="Times New Roman"/>
          <w:sz w:val="21"/>
        </w:rPr>
        <w:t xml:space="preserve"> </w:t>
      </w:r>
      <w:r>
        <w:rPr>
          <w:rFonts w:hint="eastAsia" w:ascii="Times New Roman" w:hAnsi="Times New Roman" w:cs="Times New Roman"/>
          <w:sz w:val="21"/>
        </w:rPr>
        <w:t xml:space="preserve">      </w:t>
      </w:r>
      <w:r>
        <w:rPr>
          <w:rFonts w:ascii="Times New Roman" w:hAnsi="Times New Roman" w:cs="Times New Roman"/>
          <w:sz w:val="21"/>
        </w:rPr>
        <w:t>（5.7.</w:t>
      </w:r>
      <w:r>
        <w:rPr>
          <w:rFonts w:hint="eastAsia" w:ascii="Times New Roman" w:hAnsi="Times New Roman" w:cs="Times New Roman"/>
          <w:sz w:val="21"/>
        </w:rPr>
        <w:t>8-1</w:t>
      </w:r>
      <w:r>
        <w:rPr>
          <w:rFonts w:ascii="Times New Roman" w:hAnsi="Times New Roman" w:cs="Times New Roman"/>
          <w:sz w:val="21"/>
        </w:rPr>
        <w:t>）</w:t>
      </w:r>
    </w:p>
    <w:p w14:paraId="78CFDB93">
      <w:pPr>
        <w:spacing w:line="360" w:lineRule="auto"/>
        <w:jc w:val="left"/>
        <w:rPr>
          <w:rFonts w:ascii="Times New Roman" w:hAnsi="Times New Roman" w:cs="Times New Roman"/>
          <w:sz w:val="21"/>
        </w:rPr>
      </w:pPr>
      <w:r>
        <w:rPr>
          <w:rFonts w:ascii="Times New Roman" w:hAnsi="Times New Roman" w:cs="Times New Roman"/>
          <w:sz w:val="21"/>
        </w:rPr>
        <w:t xml:space="preserve">其中                              </w:t>
      </w:r>
      <m:oMath>
        <m:sSub>
          <m:sSubPr>
            <m:ctrlPr>
              <w:rPr>
                <w:rFonts w:ascii="Cambria Math" w:hAnsi="Cambria Math" w:cs="Times New Roman"/>
                <w:i/>
              </w:rPr>
            </m:ctrlPr>
          </m:sSubPr>
          <m:e>
            <m:r>
              <m:rPr>
                <m:nor/>
              </m:rPr>
              <w:rPr>
                <w:rFonts w:ascii="Times New Roman" w:hAnsi="Times New Roman" w:cs="Times New Roman"/>
                <w:i/>
              </w:rPr>
              <m:t>P</m:t>
            </m:r>
            <m:ctrlPr>
              <w:rPr>
                <w:rFonts w:ascii="Cambria Math" w:hAnsi="Cambria Math" w:cs="Times New Roman"/>
                <w:i/>
              </w:rPr>
            </m:ctrlPr>
          </m:e>
          <m:sub>
            <m:r>
              <m:rPr>
                <m:nor/>
              </m:rPr>
              <w:rPr>
                <w:rFonts w:ascii="Times New Roman" w:hAnsi="Times New Roman" w:cs="Times New Roman"/>
                <w:i/>
              </w:rPr>
              <m:t>P</m:t>
            </m:r>
            <m:ctrlPr>
              <w:rPr>
                <w:rFonts w:ascii="Cambria Math" w:hAnsi="Cambria Math" w:cs="Times New Roman"/>
                <w:i/>
              </w:rPr>
            </m:ctrlPr>
          </m:sub>
        </m:sSub>
        <m:r>
          <m:rPr>
            <m:nor/>
            <m:sty m:val="p"/>
          </m:rPr>
          <w:rPr>
            <w:rFonts w:ascii="Times New Roman" w:hAnsi="Times New Roman" w:cs="Times New Roman"/>
            <w:b w:val="0"/>
            <w:i w:val="0"/>
          </w:rPr>
          <m:t>=</m:t>
        </m:r>
        <m:sSub>
          <m:sSubPr>
            <m:ctrlPr>
              <w:rPr>
                <w:rFonts w:ascii="Cambria Math" w:hAnsi="Cambria Math" w:cs="Times New Roman"/>
                <w:i/>
              </w:rPr>
            </m:ctrlPr>
          </m:sSubPr>
          <m:e>
            <m:r>
              <m:rPr>
                <m:nor/>
              </m:rPr>
              <w:rPr>
                <w:rFonts w:ascii="Times New Roman" w:hAnsi="Times New Roman" w:cs="Times New Roman"/>
                <w:i/>
              </w:rPr>
              <m:t>k</m:t>
            </m:r>
            <m:ctrlPr>
              <w:rPr>
                <w:rFonts w:ascii="Cambria Math" w:hAnsi="Cambria Math" w:cs="Times New Roman"/>
                <w:i/>
              </w:rPr>
            </m:ctrlPr>
          </m:e>
          <m:sub>
            <m:r>
              <m:rPr>
                <m:nor/>
              </m:rPr>
              <w:rPr>
                <w:rFonts w:ascii="Times New Roman" w:hAnsi="Times New Roman" w:cs="Times New Roman"/>
                <w:i/>
              </w:rPr>
              <m:t>P</m:t>
            </m:r>
            <m:ctrlPr>
              <w:rPr>
                <w:rFonts w:ascii="Cambria Math" w:hAnsi="Cambria Math" w:cs="Times New Roman"/>
                <w:i/>
              </w:rPr>
            </m:ctrlPr>
          </m:sub>
        </m:sSub>
        <m:sSub>
          <m:sSubPr>
            <m:ctrlPr>
              <w:rPr>
                <w:rFonts w:ascii="Cambria Math" w:hAnsi="Cambria Math" w:cs="Times New Roman"/>
                <w:i/>
              </w:rPr>
            </m:ctrlPr>
          </m:sSubPr>
          <m:e>
            <m:r>
              <m:rPr>
                <m:nor/>
              </m:rPr>
              <w:rPr>
                <w:rFonts w:ascii="Times New Roman" w:hAnsi="Times New Roman" w:cs="Times New Roman"/>
                <w:i/>
              </w:rPr>
              <m:t>P</m:t>
            </m:r>
            <m:ctrlPr>
              <w:rPr>
                <w:rFonts w:ascii="Cambria Math" w:hAnsi="Cambria Math" w:cs="Times New Roman"/>
                <w:i/>
              </w:rPr>
            </m:ctrlPr>
          </m:e>
          <m:sub>
            <m:r>
              <m:rPr>
                <m:nor/>
                <m:sty m:val="p"/>
              </m:rPr>
              <w:rPr>
                <w:rFonts w:ascii="Times New Roman" w:hAnsi="Times New Roman" w:cs="Times New Roman"/>
                <w:b w:val="0"/>
                <w:i w:val="0"/>
              </w:rPr>
              <m:t>0</m:t>
            </m:r>
            <m:ctrlPr>
              <w:rPr>
                <w:rFonts w:ascii="Cambria Math" w:hAnsi="Cambria Math" w:cs="Times New Roman"/>
                <w:i/>
              </w:rPr>
            </m:ctrlPr>
          </m:sub>
        </m:sSub>
      </m:oMath>
      <w:r>
        <w:rPr>
          <w:rFonts w:ascii="Times New Roman" w:hAnsi="Times New Roman" w:cs="Times New Roman"/>
        </w:rPr>
        <w:t xml:space="preserve">             </w:t>
      </w:r>
      <w:r>
        <w:rPr>
          <w:rFonts w:hint="eastAsia" w:ascii="Times New Roman" w:hAnsi="Times New Roman" w:cs="Times New Roman"/>
        </w:rPr>
        <w:t xml:space="preserve">   </w:t>
      </w:r>
      <w:r>
        <w:rPr>
          <w:rFonts w:ascii="Times New Roman" w:hAnsi="Times New Roman" w:cs="Times New Roman"/>
        </w:rPr>
        <w:t xml:space="preserve"> </w:t>
      </w:r>
      <w:r>
        <w:rPr>
          <w:rFonts w:hint="eastAsia"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sz w:val="21"/>
        </w:rPr>
        <w:t>（5.7.</w:t>
      </w:r>
      <w:r>
        <w:rPr>
          <w:rFonts w:hint="eastAsia" w:ascii="Times New Roman" w:hAnsi="Times New Roman" w:cs="Times New Roman"/>
          <w:sz w:val="21"/>
        </w:rPr>
        <w:t>8-2</w:t>
      </w:r>
      <w:r>
        <w:rPr>
          <w:rFonts w:ascii="Times New Roman" w:hAnsi="Times New Roman" w:cs="Times New Roman"/>
          <w:sz w:val="21"/>
        </w:rPr>
        <w:t>）</w:t>
      </w:r>
    </w:p>
    <w:p w14:paraId="1938E926">
      <w:pPr>
        <w:spacing w:line="360" w:lineRule="auto"/>
        <w:jc w:val="left"/>
        <w:rPr>
          <w:rFonts w:ascii="Times New Roman" w:hAnsi="Times New Roman" w:cs="Times New Roman"/>
          <w:sz w:val="21"/>
        </w:rPr>
      </w:pPr>
      <w:r>
        <w:rPr>
          <w:rFonts w:ascii="Times New Roman" w:hAnsi="Times New Roman" w:cs="Times New Roman"/>
          <w:sz w:val="21"/>
        </w:rPr>
        <w:t>式中：</w:t>
      </w:r>
      <w:r>
        <w:rPr>
          <w:rFonts w:hint="eastAsia" w:ascii="Times New Roman" w:hAnsi="Times New Roman" w:cs="Times New Roman"/>
          <w:sz w:val="21"/>
        </w:rPr>
        <w:t xml:space="preserve">  </w:t>
      </w:r>
      <m:oMath>
        <m:r>
          <m:rPr>
            <m:nor/>
          </m:rPr>
          <w:rPr>
            <w:rFonts w:ascii="Times New Roman" w:hAnsi="Times New Roman" w:cs="Times New Roman"/>
            <w:i/>
          </w:rPr>
          <m:t>W</m:t>
        </m:r>
      </m:oMath>
      <w:r>
        <w:rPr>
          <w:rFonts w:ascii="Times New Roman" w:hAnsi="Times New Roman" w:cs="Times New Roman"/>
          <w:sz w:val="21"/>
        </w:rPr>
        <w:t>——年可集水量</w:t>
      </w:r>
      <w:r>
        <w:rPr>
          <w:rFonts w:hint="eastAsia" w:ascii="Times New Roman" w:hAnsi="Times New Roman" w:cs="Times New Roman"/>
          <w:sz w:val="21"/>
        </w:rPr>
        <w:t>（</w:t>
      </w:r>
      <w:r>
        <w:rPr>
          <w:rFonts w:ascii="Times New Roman" w:hAnsi="Times New Roman" w:cs="Times New Roman"/>
          <w:sz w:val="21"/>
        </w:rPr>
        <w:t>m</w:t>
      </w:r>
      <w:r>
        <w:rPr>
          <w:rFonts w:ascii="Times New Roman" w:hAnsi="Times New Roman" w:cs="Times New Roman"/>
          <w:sz w:val="21"/>
          <w:vertAlign w:val="superscript"/>
        </w:rPr>
        <w:t>3</w:t>
      </w:r>
      <w:r>
        <w:rPr>
          <w:rFonts w:hint="eastAsia" w:ascii="Times New Roman" w:hAnsi="Times New Roman" w:cs="Times New Roman"/>
          <w:sz w:val="21"/>
        </w:rPr>
        <w:t>）</w:t>
      </w:r>
      <w:r>
        <w:rPr>
          <w:rFonts w:ascii="Times New Roman" w:hAnsi="Times New Roman" w:cs="Times New Roman"/>
          <w:sz w:val="21"/>
        </w:rPr>
        <w:t>；</w:t>
      </w:r>
    </w:p>
    <w:p w14:paraId="6CAE81E6">
      <w:pPr>
        <w:spacing w:line="360" w:lineRule="auto"/>
        <w:ind w:firstLine="840" w:firstLineChars="300"/>
        <w:jc w:val="left"/>
        <w:rPr>
          <w:rFonts w:ascii="Times New Roman" w:hAnsi="Times New Roman" w:cs="Times New Roman"/>
          <w:sz w:val="21"/>
        </w:rPr>
      </w:pPr>
      <m:oMath>
        <m:sSub>
          <m:sSubPr>
            <m:ctrlPr>
              <w:rPr>
                <w:rFonts w:ascii="Cambria Math" w:hAnsi="Cambria Math" w:cs="Times New Roman"/>
                <w:i/>
              </w:rPr>
            </m:ctrlPr>
          </m:sSubPr>
          <m:e>
            <m:r>
              <m:rPr>
                <m:nor/>
              </m:rPr>
              <w:rPr>
                <w:rFonts w:ascii="Times New Roman" w:hAnsi="Times New Roman" w:cs="Times New Roman"/>
                <w:i/>
              </w:rPr>
              <m:t>S</m:t>
            </m:r>
            <m:ctrlPr>
              <w:rPr>
                <w:rFonts w:ascii="Cambria Math" w:hAnsi="Cambria Math" w:cs="Times New Roman"/>
                <w:i/>
              </w:rPr>
            </m:ctrlPr>
          </m:e>
          <m:sub>
            <m:r>
              <m:rPr>
                <m:nor/>
              </m:rPr>
              <w:rPr>
                <w:rFonts w:ascii="Times New Roman" w:hAnsi="Times New Roman" w:cs="Times New Roman"/>
                <w:i/>
              </w:rPr>
              <m:t>i</m:t>
            </m:r>
            <m:ctrlPr>
              <w:rPr>
                <w:rFonts w:ascii="Cambria Math" w:hAnsi="Cambria Math" w:cs="Times New Roman"/>
                <w:i/>
              </w:rPr>
            </m:ctrlPr>
          </m:sub>
        </m:sSub>
      </m:oMath>
      <w:r>
        <w:rPr>
          <w:rFonts w:ascii="Times New Roman" w:hAnsi="Times New Roman" w:cs="Times New Roman"/>
          <w:sz w:val="21"/>
        </w:rPr>
        <w:t>——第</w:t>
      </w:r>
      <w:r>
        <w:rPr>
          <w:rFonts w:ascii="Times New Roman" w:hAnsi="Times New Roman" w:cs="Times New Roman"/>
          <w:i/>
          <w:iCs/>
          <w:sz w:val="21"/>
        </w:rPr>
        <w:t>i</w:t>
      </w:r>
      <w:r>
        <w:rPr>
          <w:rFonts w:ascii="Times New Roman" w:hAnsi="Times New Roman" w:cs="Times New Roman"/>
          <w:sz w:val="21"/>
        </w:rPr>
        <w:t>种材料的集流面面积</w:t>
      </w:r>
      <w:r>
        <w:rPr>
          <w:rFonts w:hint="eastAsia" w:ascii="Times New Roman" w:hAnsi="Times New Roman" w:cs="Times New Roman"/>
          <w:sz w:val="21"/>
        </w:rPr>
        <w:t>（</w:t>
      </w:r>
      <w:r>
        <w:rPr>
          <w:rFonts w:ascii="Times New Roman" w:hAnsi="Times New Roman" w:cs="Times New Roman"/>
          <w:sz w:val="21"/>
        </w:rPr>
        <w:t>m</w:t>
      </w:r>
      <w:r>
        <w:rPr>
          <w:rFonts w:ascii="Times New Roman" w:hAnsi="Times New Roman" w:cs="Times New Roman"/>
          <w:sz w:val="21"/>
          <w:vertAlign w:val="superscript"/>
        </w:rPr>
        <w:t>2</w:t>
      </w:r>
      <w:r>
        <w:rPr>
          <w:rFonts w:hint="eastAsia" w:ascii="Times New Roman" w:hAnsi="Times New Roman" w:cs="Times New Roman"/>
          <w:sz w:val="21"/>
        </w:rPr>
        <w:t>）</w:t>
      </w:r>
      <w:r>
        <w:rPr>
          <w:rFonts w:ascii="Times New Roman" w:hAnsi="Times New Roman" w:cs="Times New Roman"/>
          <w:sz w:val="21"/>
        </w:rPr>
        <w:t>；</w:t>
      </w:r>
    </w:p>
    <w:p w14:paraId="36CF77D1">
      <w:pPr>
        <w:spacing w:line="360" w:lineRule="auto"/>
        <w:ind w:firstLine="840" w:firstLineChars="300"/>
        <w:jc w:val="left"/>
        <w:rPr>
          <w:rFonts w:ascii="Times New Roman" w:hAnsi="Times New Roman" w:cs="Times New Roman"/>
          <w:sz w:val="21"/>
        </w:rPr>
      </w:pPr>
      <m:oMath>
        <m:sSub>
          <m:sSubPr>
            <m:ctrlPr>
              <w:rPr>
                <w:rFonts w:ascii="Cambria Math" w:hAnsi="Cambria Math" w:cs="Times New Roman"/>
                <w:i/>
              </w:rPr>
            </m:ctrlPr>
          </m:sSubPr>
          <m:e>
            <m:r>
              <m:rPr>
                <m:nor/>
              </m:rPr>
              <w:rPr>
                <w:rFonts w:ascii="Times New Roman" w:hAnsi="Times New Roman" w:cs="Times New Roman"/>
                <w:i/>
              </w:rPr>
              <m:t>P</m:t>
            </m:r>
            <m:ctrlPr>
              <w:rPr>
                <w:rFonts w:ascii="Cambria Math" w:hAnsi="Cambria Math" w:cs="Times New Roman"/>
                <w:i/>
              </w:rPr>
            </m:ctrlPr>
          </m:e>
          <m:sub>
            <m:r>
              <m:rPr>
                <m:nor/>
              </m:rPr>
              <w:rPr>
                <w:rFonts w:ascii="Times New Roman" w:hAnsi="Times New Roman" w:cs="Times New Roman"/>
                <w:i/>
              </w:rPr>
              <m:t>P</m:t>
            </m:r>
            <m:ctrlPr>
              <w:rPr>
                <w:rFonts w:ascii="Cambria Math" w:hAnsi="Cambria Math" w:cs="Times New Roman"/>
                <w:i/>
              </w:rPr>
            </m:ctrlPr>
          </m:sub>
        </m:sSub>
      </m:oMath>
      <w:r>
        <w:rPr>
          <w:rFonts w:ascii="Times New Roman" w:hAnsi="Times New Roman" w:cs="Times New Roman"/>
          <w:sz w:val="21"/>
        </w:rPr>
        <w:t>——保证率为P时的年降雨量</w:t>
      </w:r>
      <w:r>
        <w:rPr>
          <w:rFonts w:hint="eastAsia" w:ascii="Times New Roman" w:hAnsi="Times New Roman" w:cs="Times New Roman"/>
          <w:sz w:val="21"/>
        </w:rPr>
        <w:t>（</w:t>
      </w:r>
      <w:r>
        <w:rPr>
          <w:rFonts w:ascii="Times New Roman" w:hAnsi="Times New Roman" w:cs="Times New Roman"/>
          <w:sz w:val="21"/>
        </w:rPr>
        <w:t>mm</w:t>
      </w:r>
      <w:r>
        <w:rPr>
          <w:rFonts w:hint="eastAsia" w:ascii="Times New Roman" w:hAnsi="Times New Roman" w:cs="Times New Roman"/>
          <w:sz w:val="21"/>
        </w:rPr>
        <w:t>）</w:t>
      </w:r>
      <w:r>
        <w:rPr>
          <w:rFonts w:ascii="Times New Roman" w:hAnsi="Times New Roman" w:cs="Times New Roman"/>
          <w:sz w:val="21"/>
        </w:rPr>
        <w:t>；</w:t>
      </w:r>
    </w:p>
    <w:p w14:paraId="42E42378">
      <w:pPr>
        <w:spacing w:line="360" w:lineRule="auto"/>
        <w:ind w:firstLine="840" w:firstLineChars="300"/>
        <w:jc w:val="left"/>
        <w:rPr>
          <w:rFonts w:ascii="Times New Roman" w:hAnsi="Times New Roman" w:cs="Times New Roman"/>
          <w:sz w:val="21"/>
        </w:rPr>
      </w:pPr>
      <m:oMath>
        <m:sSub>
          <m:sSubPr>
            <m:ctrlPr>
              <w:rPr>
                <w:rFonts w:ascii="Cambria Math" w:hAnsi="Cambria Math" w:cs="Times New Roman"/>
                <w:i/>
              </w:rPr>
            </m:ctrlPr>
          </m:sSubPr>
          <m:e>
            <m:r>
              <m:rPr>
                <m:nor/>
              </m:rPr>
              <w:rPr>
                <w:rFonts w:ascii="Times New Roman" w:hAnsi="Times New Roman" w:cs="Times New Roman"/>
                <w:i/>
              </w:rPr>
              <m:t>k</m:t>
            </m:r>
            <m:ctrlPr>
              <w:rPr>
                <w:rFonts w:ascii="Cambria Math" w:hAnsi="Cambria Math" w:cs="Times New Roman"/>
                <w:i/>
              </w:rPr>
            </m:ctrlPr>
          </m:e>
          <m:sub>
            <m:r>
              <m:rPr>
                <m:nor/>
              </m:rPr>
              <w:rPr>
                <w:rFonts w:ascii="Times New Roman" w:hAnsi="Times New Roman" w:cs="Times New Roman"/>
                <w:i/>
              </w:rPr>
              <m:t>i</m:t>
            </m:r>
            <m:ctrlPr>
              <w:rPr>
                <w:rFonts w:ascii="Cambria Math" w:hAnsi="Cambria Math" w:cs="Times New Roman"/>
                <w:i/>
              </w:rPr>
            </m:ctrlPr>
          </m:sub>
        </m:sSub>
      </m:oMath>
      <w:r>
        <w:rPr>
          <w:rFonts w:ascii="Times New Roman" w:hAnsi="Times New Roman" w:cs="Times New Roman"/>
          <w:sz w:val="21"/>
        </w:rPr>
        <w:t>——第i种材料的径流系数，可参考表5.7.</w:t>
      </w:r>
      <w:r>
        <w:rPr>
          <w:rFonts w:hint="eastAsia" w:ascii="Times New Roman" w:hAnsi="Times New Roman" w:cs="Times New Roman"/>
          <w:sz w:val="21"/>
        </w:rPr>
        <w:t>9</w:t>
      </w:r>
      <w:r>
        <w:rPr>
          <w:rFonts w:ascii="Times New Roman" w:hAnsi="Times New Roman" w:cs="Times New Roman"/>
          <w:sz w:val="21"/>
        </w:rPr>
        <w:t>确定；</w:t>
      </w:r>
    </w:p>
    <w:p w14:paraId="20460FD4">
      <w:pPr>
        <w:spacing w:line="360" w:lineRule="auto"/>
        <w:ind w:firstLine="840" w:firstLineChars="400"/>
        <w:jc w:val="left"/>
        <w:rPr>
          <w:rFonts w:ascii="Times New Roman" w:hAnsi="Times New Roman" w:cs="Times New Roman"/>
          <w:sz w:val="21"/>
        </w:rPr>
      </w:pPr>
      <w:r>
        <w:rPr>
          <w:rFonts w:ascii="Times New Roman" w:hAnsi="Times New Roman" w:cs="Times New Roman"/>
          <w:i/>
          <w:iCs/>
          <w:sz w:val="21"/>
        </w:rPr>
        <w:t>n</w:t>
      </w:r>
      <w:r>
        <w:rPr>
          <w:rFonts w:ascii="Times New Roman" w:hAnsi="Times New Roman" w:cs="Times New Roman"/>
          <w:sz w:val="21"/>
        </w:rPr>
        <w:t>——材料种类数；</w:t>
      </w:r>
    </w:p>
    <w:p w14:paraId="33AA541E">
      <w:pPr>
        <w:spacing w:line="360" w:lineRule="auto"/>
        <w:ind w:firstLine="840" w:firstLineChars="300"/>
        <w:jc w:val="left"/>
        <w:rPr>
          <w:rFonts w:ascii="Times New Roman" w:hAnsi="Times New Roman" w:cs="Times New Roman"/>
          <w:sz w:val="21"/>
        </w:rPr>
      </w:pPr>
      <m:oMath>
        <m:sSub>
          <m:sSubPr>
            <m:ctrlPr>
              <w:rPr>
                <w:rFonts w:ascii="Cambria Math" w:hAnsi="Cambria Math" w:cs="Times New Roman"/>
                <w:i/>
              </w:rPr>
            </m:ctrlPr>
          </m:sSubPr>
          <m:e>
            <m:r>
              <m:rPr>
                <m:nor/>
              </m:rPr>
              <w:rPr>
                <w:rFonts w:ascii="Times New Roman" w:hAnsi="Times New Roman" w:cs="Times New Roman"/>
                <w:i/>
              </w:rPr>
              <m:t>P</m:t>
            </m:r>
            <m:ctrlPr>
              <w:rPr>
                <w:rFonts w:ascii="Cambria Math" w:hAnsi="Cambria Math" w:cs="Times New Roman"/>
                <w:i/>
              </w:rPr>
            </m:ctrlPr>
          </m:e>
          <m:sub>
            <m:r>
              <m:rPr>
                <m:nor/>
                <m:sty m:val="p"/>
              </m:rPr>
              <w:rPr>
                <w:rFonts w:ascii="Times New Roman" w:hAnsi="Times New Roman" w:cs="Times New Roman"/>
                <w:b w:val="0"/>
                <w:i w:val="0"/>
              </w:rPr>
              <m:t>0</m:t>
            </m:r>
            <m:ctrlPr>
              <w:rPr>
                <w:rFonts w:ascii="Cambria Math" w:hAnsi="Cambria Math" w:cs="Times New Roman"/>
                <w:i/>
              </w:rPr>
            </m:ctrlPr>
          </m:sub>
        </m:sSub>
      </m:oMath>
      <w:r>
        <w:rPr>
          <w:rFonts w:ascii="Times New Roman" w:hAnsi="Times New Roman" w:cs="Times New Roman"/>
          <w:sz w:val="21"/>
        </w:rPr>
        <w:t>——多年平均降水量</w:t>
      </w:r>
      <w:r>
        <w:rPr>
          <w:rFonts w:hint="eastAsia" w:ascii="Times New Roman" w:hAnsi="Times New Roman" w:cs="Times New Roman"/>
          <w:sz w:val="21"/>
        </w:rPr>
        <w:t>（</w:t>
      </w:r>
      <w:r>
        <w:rPr>
          <w:rFonts w:ascii="Times New Roman" w:hAnsi="Times New Roman" w:cs="Times New Roman"/>
          <w:sz w:val="21"/>
        </w:rPr>
        <w:t>mm</w:t>
      </w:r>
      <w:r>
        <w:rPr>
          <w:rFonts w:hint="eastAsia" w:ascii="Times New Roman" w:hAnsi="Times New Roman" w:cs="Times New Roman"/>
          <w:sz w:val="21"/>
        </w:rPr>
        <w:t>），</w:t>
      </w:r>
      <w:r>
        <w:rPr>
          <w:rFonts w:ascii="Times New Roman" w:hAnsi="Times New Roman" w:cs="Times New Roman"/>
          <w:sz w:val="21"/>
        </w:rPr>
        <w:t>根据气象资料确定；</w:t>
      </w:r>
    </w:p>
    <w:p w14:paraId="52EF9EA7">
      <w:pPr>
        <w:spacing w:line="360" w:lineRule="auto"/>
        <w:ind w:firstLine="840" w:firstLineChars="300"/>
        <w:jc w:val="left"/>
        <w:rPr>
          <w:rFonts w:ascii="Times New Roman" w:hAnsi="Times New Roman" w:cs="Times New Roman"/>
          <w:sz w:val="21"/>
        </w:rPr>
      </w:pPr>
      <m:oMath>
        <m:sSub>
          <m:sSubPr>
            <m:ctrlPr>
              <w:rPr>
                <w:rFonts w:ascii="Cambria Math" w:hAnsi="Cambria Math" w:cs="Times New Roman"/>
                <w:i/>
              </w:rPr>
            </m:ctrlPr>
          </m:sSubPr>
          <m:e>
            <m:r>
              <m:rPr>
                <m:nor/>
              </m:rPr>
              <w:rPr>
                <w:rFonts w:ascii="Times New Roman" w:hAnsi="Times New Roman" w:cs="Times New Roman"/>
                <w:i/>
              </w:rPr>
              <m:t>k</m:t>
            </m:r>
            <m:ctrlPr>
              <w:rPr>
                <w:rFonts w:ascii="Cambria Math" w:hAnsi="Cambria Math" w:cs="Times New Roman"/>
                <w:i/>
              </w:rPr>
            </m:ctrlPr>
          </m:e>
          <m:sub>
            <m:r>
              <m:rPr>
                <m:nor/>
              </m:rPr>
              <w:rPr>
                <w:rFonts w:ascii="Times New Roman" w:hAnsi="Times New Roman" w:cs="Times New Roman"/>
                <w:i/>
              </w:rPr>
              <m:t>P</m:t>
            </m:r>
            <m:ctrlPr>
              <w:rPr>
                <w:rFonts w:ascii="Cambria Math" w:hAnsi="Cambria Math" w:cs="Times New Roman"/>
                <w:i/>
              </w:rPr>
            </m:ctrlPr>
          </m:sub>
        </m:sSub>
      </m:oMath>
      <w:r>
        <w:rPr>
          <w:rFonts w:ascii="Times New Roman" w:hAnsi="Times New Roman" w:cs="Times New Roman"/>
          <w:sz w:val="21"/>
        </w:rPr>
        <w:t>——保证率为</w:t>
      </w:r>
      <w:r>
        <w:rPr>
          <w:rFonts w:ascii="Times New Roman" w:hAnsi="Times New Roman" w:cs="Times New Roman"/>
          <w:i/>
          <w:iCs/>
          <w:sz w:val="21"/>
        </w:rPr>
        <w:t>p</w:t>
      </w:r>
      <w:r>
        <w:rPr>
          <w:rFonts w:ascii="Times New Roman" w:hAnsi="Times New Roman" w:cs="Times New Roman"/>
          <w:sz w:val="21"/>
        </w:rPr>
        <w:t>时的全年降雨量与降水量之比值，根据保证率及</w:t>
      </w:r>
      <w:r>
        <w:rPr>
          <w:rFonts w:ascii="Times New Roman" w:hAnsi="Times New Roman" w:cs="Times New Roman"/>
          <w:i/>
          <w:iCs/>
          <w:sz w:val="21"/>
        </w:rPr>
        <w:t>C</w:t>
      </w:r>
      <w:r>
        <w:rPr>
          <w:rFonts w:ascii="Times New Roman" w:hAnsi="Times New Roman" w:cs="Times New Roman"/>
          <w:sz w:val="21"/>
          <w:vertAlign w:val="subscript"/>
        </w:rPr>
        <w:t>V</w:t>
      </w:r>
      <w:r>
        <w:rPr>
          <w:rFonts w:ascii="Times New Roman" w:hAnsi="Times New Roman" w:cs="Times New Roman"/>
          <w:sz w:val="21"/>
        </w:rPr>
        <w:t>值由工程所在区域的图表查得。</w:t>
      </w:r>
    </w:p>
    <w:p w14:paraId="07D92C67">
      <w:pPr>
        <w:jc w:val="center"/>
        <w:rPr>
          <w:rFonts w:ascii="Times New Roman" w:hAnsi="Times New Roman" w:eastAsia="黑体" w:cs="Times New Roman"/>
          <w:sz w:val="18"/>
          <w:szCs w:val="18"/>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7</w:t>
      </w:r>
      <w:r>
        <w:rPr>
          <w:rFonts w:ascii="Times New Roman" w:hAnsi="Times New Roman" w:cs="Times New Roman"/>
          <w:sz w:val="18"/>
          <w:szCs w:val="18"/>
        </w:rPr>
        <w:t>.</w:t>
      </w:r>
      <w:r>
        <w:rPr>
          <w:rFonts w:hint="eastAsia" w:ascii="Times New Roman" w:hAnsi="Times New Roman" w:eastAsia="黑体" w:cs="Times New Roman"/>
          <w:sz w:val="18"/>
          <w:szCs w:val="18"/>
        </w:rPr>
        <w:t>8</w:t>
      </w:r>
      <w:r>
        <w:rPr>
          <w:rFonts w:ascii="Times New Roman" w:hAnsi="Times New Roman" w:eastAsia="黑体" w:cs="Times New Roman"/>
          <w:sz w:val="18"/>
          <w:szCs w:val="18"/>
        </w:rPr>
        <w:t xml:space="preserve">  不同材料集流面在不同年降雨量地区的径流系数</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6"/>
        <w:gridCol w:w="2062"/>
        <w:gridCol w:w="2063"/>
        <w:gridCol w:w="2063"/>
      </w:tblGrid>
      <w:tr w14:paraId="605D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2056" w:type="dxa"/>
            <w:vMerge w:val="restart"/>
            <w:vAlign w:val="center"/>
          </w:tcPr>
          <w:p w14:paraId="0F45BA71">
            <w:pPr>
              <w:spacing w:line="360" w:lineRule="auto"/>
              <w:jc w:val="center"/>
              <w:rPr>
                <w:rFonts w:ascii="Times New Roman" w:hAnsi="Times New Roman" w:cs="Times New Roman"/>
                <w:sz w:val="15"/>
                <w:szCs w:val="15"/>
              </w:rPr>
            </w:pPr>
            <w:r>
              <w:rPr>
                <w:rFonts w:ascii="Times New Roman" w:hAnsi="Times New Roman" w:cs="Times New Roman"/>
                <w:sz w:val="15"/>
                <w:szCs w:val="15"/>
              </w:rPr>
              <w:t>集流面材料</w:t>
            </w:r>
          </w:p>
        </w:tc>
        <w:tc>
          <w:tcPr>
            <w:tcW w:w="6188" w:type="dxa"/>
            <w:gridSpan w:val="3"/>
            <w:vAlign w:val="center"/>
          </w:tcPr>
          <w:p w14:paraId="5239750B">
            <w:pPr>
              <w:spacing w:line="360" w:lineRule="auto"/>
              <w:jc w:val="center"/>
              <w:rPr>
                <w:rFonts w:ascii="Times New Roman" w:hAnsi="Times New Roman" w:cs="Times New Roman"/>
                <w:sz w:val="15"/>
                <w:szCs w:val="15"/>
              </w:rPr>
            </w:pPr>
            <w:r>
              <w:rPr>
                <w:rFonts w:ascii="Times New Roman" w:hAnsi="Times New Roman" w:cs="Times New Roman"/>
                <w:sz w:val="15"/>
                <w:szCs w:val="15"/>
              </w:rPr>
              <w:t>径流系数</w:t>
            </w:r>
          </w:p>
        </w:tc>
      </w:tr>
      <w:tr w14:paraId="064D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2056" w:type="dxa"/>
            <w:vMerge w:val="continue"/>
            <w:vAlign w:val="center"/>
          </w:tcPr>
          <w:p w14:paraId="31CB083E">
            <w:pPr>
              <w:spacing w:line="360" w:lineRule="auto"/>
              <w:jc w:val="center"/>
              <w:rPr>
                <w:rFonts w:ascii="Times New Roman" w:hAnsi="Times New Roman" w:cs="Times New Roman"/>
                <w:sz w:val="15"/>
                <w:szCs w:val="15"/>
              </w:rPr>
            </w:pPr>
          </w:p>
        </w:tc>
        <w:tc>
          <w:tcPr>
            <w:tcW w:w="2062" w:type="dxa"/>
            <w:vAlign w:val="center"/>
          </w:tcPr>
          <w:p w14:paraId="658B1173">
            <w:pPr>
              <w:spacing w:line="360" w:lineRule="auto"/>
              <w:jc w:val="center"/>
              <w:rPr>
                <w:rFonts w:ascii="Times New Roman" w:hAnsi="Times New Roman" w:cs="Times New Roman"/>
                <w:sz w:val="15"/>
                <w:szCs w:val="15"/>
              </w:rPr>
            </w:pPr>
            <w:r>
              <w:rPr>
                <w:rFonts w:ascii="Times New Roman" w:hAnsi="Times New Roman" w:cs="Times New Roman"/>
                <w:sz w:val="15"/>
                <w:szCs w:val="15"/>
              </w:rPr>
              <w:t>250～500mm</w:t>
            </w:r>
          </w:p>
        </w:tc>
        <w:tc>
          <w:tcPr>
            <w:tcW w:w="2063" w:type="dxa"/>
            <w:vAlign w:val="center"/>
          </w:tcPr>
          <w:p w14:paraId="65218B22">
            <w:pPr>
              <w:spacing w:line="360" w:lineRule="auto"/>
              <w:jc w:val="center"/>
              <w:rPr>
                <w:rFonts w:ascii="Times New Roman" w:hAnsi="Times New Roman" w:cs="Times New Roman"/>
                <w:sz w:val="15"/>
                <w:szCs w:val="15"/>
              </w:rPr>
            </w:pPr>
            <w:r>
              <w:rPr>
                <w:rFonts w:ascii="Times New Roman" w:hAnsi="Times New Roman" w:cs="Times New Roman"/>
                <w:sz w:val="15"/>
                <w:szCs w:val="15"/>
              </w:rPr>
              <w:t>500～1000mm</w:t>
            </w:r>
          </w:p>
        </w:tc>
        <w:tc>
          <w:tcPr>
            <w:tcW w:w="2063" w:type="dxa"/>
            <w:vAlign w:val="center"/>
          </w:tcPr>
          <w:p w14:paraId="08662CCC">
            <w:pPr>
              <w:spacing w:line="360" w:lineRule="auto"/>
              <w:jc w:val="center"/>
              <w:rPr>
                <w:rFonts w:ascii="Times New Roman" w:hAnsi="Times New Roman" w:cs="Times New Roman"/>
                <w:sz w:val="15"/>
                <w:szCs w:val="15"/>
              </w:rPr>
            </w:pPr>
            <w:r>
              <w:rPr>
                <w:rFonts w:ascii="Times New Roman" w:hAnsi="Times New Roman" w:cs="Times New Roman"/>
                <w:sz w:val="15"/>
                <w:szCs w:val="15"/>
              </w:rPr>
              <w:t>1000～1500mm</w:t>
            </w:r>
          </w:p>
        </w:tc>
      </w:tr>
      <w:tr w14:paraId="2104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56" w:type="dxa"/>
            <w:vAlign w:val="center"/>
          </w:tcPr>
          <w:p w14:paraId="087EB6A0">
            <w:pPr>
              <w:spacing w:line="360" w:lineRule="auto"/>
              <w:jc w:val="center"/>
              <w:rPr>
                <w:rFonts w:ascii="Times New Roman" w:hAnsi="Times New Roman" w:cs="Times New Roman"/>
                <w:sz w:val="15"/>
                <w:szCs w:val="15"/>
              </w:rPr>
            </w:pPr>
            <w:r>
              <w:rPr>
                <w:rFonts w:ascii="Times New Roman" w:hAnsi="Times New Roman" w:cs="Times New Roman"/>
                <w:sz w:val="15"/>
                <w:szCs w:val="15"/>
              </w:rPr>
              <w:t>混凝土</w:t>
            </w:r>
          </w:p>
        </w:tc>
        <w:tc>
          <w:tcPr>
            <w:tcW w:w="2062" w:type="dxa"/>
            <w:vAlign w:val="center"/>
          </w:tcPr>
          <w:p w14:paraId="414FED0F">
            <w:pPr>
              <w:spacing w:line="360" w:lineRule="auto"/>
              <w:jc w:val="center"/>
              <w:rPr>
                <w:rFonts w:ascii="Times New Roman" w:hAnsi="Times New Roman" w:cs="Times New Roman"/>
                <w:sz w:val="15"/>
                <w:szCs w:val="15"/>
              </w:rPr>
            </w:pPr>
            <w:r>
              <w:rPr>
                <w:rFonts w:ascii="Times New Roman" w:hAnsi="Times New Roman" w:cs="Times New Roman"/>
                <w:sz w:val="15"/>
                <w:szCs w:val="15"/>
              </w:rPr>
              <w:t>0.75～0.85</w:t>
            </w:r>
          </w:p>
        </w:tc>
        <w:tc>
          <w:tcPr>
            <w:tcW w:w="2063" w:type="dxa"/>
            <w:vAlign w:val="center"/>
          </w:tcPr>
          <w:p w14:paraId="170E70D0">
            <w:pPr>
              <w:spacing w:line="360" w:lineRule="auto"/>
              <w:jc w:val="center"/>
              <w:rPr>
                <w:rFonts w:ascii="Times New Roman" w:hAnsi="Times New Roman" w:cs="Times New Roman"/>
                <w:sz w:val="15"/>
                <w:szCs w:val="15"/>
              </w:rPr>
            </w:pPr>
            <w:r>
              <w:rPr>
                <w:rFonts w:ascii="Times New Roman" w:hAnsi="Times New Roman" w:cs="Times New Roman"/>
                <w:sz w:val="15"/>
                <w:szCs w:val="15"/>
              </w:rPr>
              <w:t>0.75～0.90</w:t>
            </w:r>
          </w:p>
        </w:tc>
        <w:tc>
          <w:tcPr>
            <w:tcW w:w="2063" w:type="dxa"/>
            <w:vAlign w:val="center"/>
          </w:tcPr>
          <w:p w14:paraId="232C382D">
            <w:pPr>
              <w:spacing w:line="360" w:lineRule="auto"/>
              <w:jc w:val="center"/>
              <w:rPr>
                <w:rFonts w:ascii="Times New Roman" w:hAnsi="Times New Roman" w:cs="Times New Roman"/>
                <w:sz w:val="15"/>
                <w:szCs w:val="15"/>
              </w:rPr>
            </w:pPr>
            <w:r>
              <w:rPr>
                <w:rFonts w:ascii="Times New Roman" w:hAnsi="Times New Roman" w:cs="Times New Roman"/>
                <w:sz w:val="15"/>
                <w:szCs w:val="15"/>
              </w:rPr>
              <w:t>0.80～0.90</w:t>
            </w:r>
          </w:p>
        </w:tc>
      </w:tr>
      <w:tr w14:paraId="247A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56" w:type="dxa"/>
            <w:vAlign w:val="center"/>
          </w:tcPr>
          <w:p w14:paraId="039B16FE">
            <w:pPr>
              <w:spacing w:line="360" w:lineRule="auto"/>
              <w:jc w:val="center"/>
              <w:rPr>
                <w:rFonts w:ascii="Times New Roman" w:hAnsi="Times New Roman" w:cs="Times New Roman"/>
                <w:sz w:val="15"/>
                <w:szCs w:val="15"/>
              </w:rPr>
            </w:pPr>
            <w:r>
              <w:rPr>
                <w:rFonts w:ascii="Times New Roman" w:hAnsi="Times New Roman" w:cs="Times New Roman"/>
                <w:sz w:val="15"/>
                <w:szCs w:val="15"/>
              </w:rPr>
              <w:t>水泥瓦</w:t>
            </w:r>
          </w:p>
        </w:tc>
        <w:tc>
          <w:tcPr>
            <w:tcW w:w="2062" w:type="dxa"/>
            <w:vAlign w:val="center"/>
          </w:tcPr>
          <w:p w14:paraId="54E3767F">
            <w:pPr>
              <w:spacing w:line="360" w:lineRule="auto"/>
              <w:jc w:val="center"/>
              <w:rPr>
                <w:rFonts w:ascii="Times New Roman" w:hAnsi="Times New Roman" w:cs="Times New Roman"/>
                <w:sz w:val="15"/>
                <w:szCs w:val="15"/>
              </w:rPr>
            </w:pPr>
            <w:r>
              <w:rPr>
                <w:rFonts w:ascii="Times New Roman" w:hAnsi="Times New Roman" w:cs="Times New Roman"/>
                <w:sz w:val="15"/>
                <w:szCs w:val="15"/>
              </w:rPr>
              <w:t>0.75～0.80</w:t>
            </w:r>
          </w:p>
        </w:tc>
        <w:tc>
          <w:tcPr>
            <w:tcW w:w="2063" w:type="dxa"/>
            <w:vAlign w:val="center"/>
          </w:tcPr>
          <w:p w14:paraId="209E4E46">
            <w:pPr>
              <w:spacing w:line="360" w:lineRule="auto"/>
              <w:jc w:val="center"/>
              <w:rPr>
                <w:rFonts w:ascii="Times New Roman" w:hAnsi="Times New Roman" w:cs="Times New Roman"/>
                <w:sz w:val="15"/>
                <w:szCs w:val="15"/>
              </w:rPr>
            </w:pPr>
            <w:r>
              <w:rPr>
                <w:rFonts w:ascii="Times New Roman" w:hAnsi="Times New Roman" w:cs="Times New Roman"/>
                <w:sz w:val="15"/>
                <w:szCs w:val="15"/>
              </w:rPr>
              <w:t>0.70～0.85</w:t>
            </w:r>
          </w:p>
        </w:tc>
        <w:tc>
          <w:tcPr>
            <w:tcW w:w="2063" w:type="dxa"/>
            <w:vAlign w:val="center"/>
          </w:tcPr>
          <w:p w14:paraId="60E934C2">
            <w:pPr>
              <w:spacing w:line="360" w:lineRule="auto"/>
              <w:jc w:val="center"/>
              <w:rPr>
                <w:rFonts w:ascii="Times New Roman" w:hAnsi="Times New Roman" w:cs="Times New Roman"/>
                <w:sz w:val="15"/>
                <w:szCs w:val="15"/>
              </w:rPr>
            </w:pPr>
            <w:r>
              <w:rPr>
                <w:rFonts w:ascii="Times New Roman" w:hAnsi="Times New Roman" w:cs="Times New Roman"/>
                <w:sz w:val="15"/>
                <w:szCs w:val="15"/>
              </w:rPr>
              <w:t>0.80～0.90</w:t>
            </w:r>
          </w:p>
        </w:tc>
      </w:tr>
      <w:tr w14:paraId="1809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56" w:type="dxa"/>
            <w:vAlign w:val="center"/>
          </w:tcPr>
          <w:p w14:paraId="21B43497">
            <w:pPr>
              <w:spacing w:line="360" w:lineRule="auto"/>
              <w:jc w:val="center"/>
              <w:rPr>
                <w:rFonts w:ascii="Times New Roman" w:hAnsi="Times New Roman" w:cs="Times New Roman"/>
                <w:sz w:val="15"/>
                <w:szCs w:val="15"/>
              </w:rPr>
            </w:pPr>
            <w:r>
              <w:rPr>
                <w:rFonts w:ascii="Times New Roman" w:hAnsi="Times New Roman" w:cs="Times New Roman"/>
                <w:sz w:val="15"/>
                <w:szCs w:val="15"/>
              </w:rPr>
              <w:t>机瓦</w:t>
            </w:r>
          </w:p>
        </w:tc>
        <w:tc>
          <w:tcPr>
            <w:tcW w:w="2062" w:type="dxa"/>
            <w:vAlign w:val="center"/>
          </w:tcPr>
          <w:p w14:paraId="43930145">
            <w:pPr>
              <w:spacing w:line="360" w:lineRule="auto"/>
              <w:jc w:val="center"/>
              <w:rPr>
                <w:rFonts w:ascii="Times New Roman" w:hAnsi="Times New Roman" w:cs="Times New Roman"/>
                <w:sz w:val="15"/>
                <w:szCs w:val="15"/>
              </w:rPr>
            </w:pPr>
            <w:r>
              <w:rPr>
                <w:rFonts w:ascii="Times New Roman" w:hAnsi="Times New Roman" w:cs="Times New Roman"/>
                <w:sz w:val="15"/>
                <w:szCs w:val="15"/>
              </w:rPr>
              <w:t>0.40～0.55</w:t>
            </w:r>
          </w:p>
        </w:tc>
        <w:tc>
          <w:tcPr>
            <w:tcW w:w="2063" w:type="dxa"/>
            <w:vAlign w:val="center"/>
          </w:tcPr>
          <w:p w14:paraId="23DEC29B">
            <w:pPr>
              <w:spacing w:line="360" w:lineRule="auto"/>
              <w:jc w:val="center"/>
              <w:rPr>
                <w:rFonts w:ascii="Times New Roman" w:hAnsi="Times New Roman" w:cs="Times New Roman"/>
                <w:sz w:val="15"/>
                <w:szCs w:val="15"/>
              </w:rPr>
            </w:pPr>
            <w:r>
              <w:rPr>
                <w:rFonts w:ascii="Times New Roman" w:hAnsi="Times New Roman" w:cs="Times New Roman"/>
                <w:sz w:val="15"/>
                <w:szCs w:val="15"/>
              </w:rPr>
              <w:t>0.45～0.60</w:t>
            </w:r>
          </w:p>
        </w:tc>
        <w:tc>
          <w:tcPr>
            <w:tcW w:w="2063" w:type="dxa"/>
            <w:vAlign w:val="center"/>
          </w:tcPr>
          <w:p w14:paraId="42071751">
            <w:pPr>
              <w:spacing w:line="360" w:lineRule="auto"/>
              <w:jc w:val="center"/>
              <w:rPr>
                <w:rFonts w:ascii="Times New Roman" w:hAnsi="Times New Roman" w:cs="Times New Roman"/>
                <w:sz w:val="15"/>
                <w:szCs w:val="15"/>
              </w:rPr>
            </w:pPr>
            <w:r>
              <w:rPr>
                <w:rFonts w:ascii="Times New Roman" w:hAnsi="Times New Roman" w:cs="Times New Roman"/>
                <w:sz w:val="15"/>
                <w:szCs w:val="15"/>
              </w:rPr>
              <w:t>0.50～0.65</w:t>
            </w:r>
          </w:p>
        </w:tc>
      </w:tr>
      <w:tr w14:paraId="0449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56" w:type="dxa"/>
            <w:vAlign w:val="center"/>
          </w:tcPr>
          <w:p w14:paraId="12F30650">
            <w:pPr>
              <w:spacing w:line="360" w:lineRule="auto"/>
              <w:jc w:val="center"/>
              <w:rPr>
                <w:rFonts w:ascii="Times New Roman" w:hAnsi="Times New Roman" w:cs="Times New Roman"/>
                <w:sz w:val="15"/>
                <w:szCs w:val="15"/>
              </w:rPr>
            </w:pPr>
            <w:r>
              <w:rPr>
                <w:rFonts w:ascii="Times New Roman" w:hAnsi="Times New Roman" w:cs="Times New Roman"/>
                <w:sz w:val="15"/>
                <w:szCs w:val="15"/>
              </w:rPr>
              <w:t>手工制瓦</w:t>
            </w:r>
          </w:p>
        </w:tc>
        <w:tc>
          <w:tcPr>
            <w:tcW w:w="2062" w:type="dxa"/>
            <w:vAlign w:val="center"/>
          </w:tcPr>
          <w:p w14:paraId="26C9C863">
            <w:pPr>
              <w:spacing w:line="360" w:lineRule="auto"/>
              <w:jc w:val="center"/>
              <w:rPr>
                <w:rFonts w:ascii="Times New Roman" w:hAnsi="Times New Roman" w:cs="Times New Roman"/>
                <w:sz w:val="15"/>
                <w:szCs w:val="15"/>
              </w:rPr>
            </w:pPr>
            <w:r>
              <w:rPr>
                <w:rFonts w:ascii="Times New Roman" w:hAnsi="Times New Roman" w:cs="Times New Roman"/>
                <w:sz w:val="15"/>
                <w:szCs w:val="15"/>
              </w:rPr>
              <w:t>0.30～0.40</w:t>
            </w:r>
          </w:p>
        </w:tc>
        <w:tc>
          <w:tcPr>
            <w:tcW w:w="2063" w:type="dxa"/>
            <w:vAlign w:val="center"/>
          </w:tcPr>
          <w:p w14:paraId="3831DB6C">
            <w:pPr>
              <w:spacing w:line="360" w:lineRule="auto"/>
              <w:jc w:val="center"/>
              <w:rPr>
                <w:rFonts w:ascii="Times New Roman" w:hAnsi="Times New Roman" w:cs="Times New Roman"/>
                <w:sz w:val="15"/>
                <w:szCs w:val="15"/>
              </w:rPr>
            </w:pPr>
            <w:r>
              <w:rPr>
                <w:rFonts w:ascii="Times New Roman" w:hAnsi="Times New Roman" w:cs="Times New Roman"/>
                <w:sz w:val="15"/>
                <w:szCs w:val="15"/>
              </w:rPr>
              <w:t>0.35～0.45</w:t>
            </w:r>
          </w:p>
        </w:tc>
        <w:tc>
          <w:tcPr>
            <w:tcW w:w="2063" w:type="dxa"/>
            <w:vAlign w:val="center"/>
          </w:tcPr>
          <w:p w14:paraId="1ADB438B">
            <w:pPr>
              <w:spacing w:line="360" w:lineRule="auto"/>
              <w:jc w:val="center"/>
              <w:rPr>
                <w:rFonts w:ascii="Times New Roman" w:hAnsi="Times New Roman" w:cs="Times New Roman"/>
                <w:sz w:val="15"/>
                <w:szCs w:val="15"/>
              </w:rPr>
            </w:pPr>
            <w:r>
              <w:rPr>
                <w:rFonts w:ascii="Times New Roman" w:hAnsi="Times New Roman" w:cs="Times New Roman"/>
                <w:sz w:val="15"/>
                <w:szCs w:val="15"/>
              </w:rPr>
              <w:t>0.45～0.60</w:t>
            </w:r>
          </w:p>
        </w:tc>
      </w:tr>
      <w:tr w14:paraId="3C0B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56" w:type="dxa"/>
            <w:vAlign w:val="center"/>
          </w:tcPr>
          <w:p w14:paraId="314E67FE">
            <w:pPr>
              <w:spacing w:line="360" w:lineRule="auto"/>
              <w:jc w:val="center"/>
              <w:rPr>
                <w:rFonts w:ascii="Times New Roman" w:hAnsi="Times New Roman" w:cs="Times New Roman"/>
                <w:sz w:val="15"/>
                <w:szCs w:val="15"/>
              </w:rPr>
            </w:pPr>
            <w:r>
              <w:rPr>
                <w:rFonts w:ascii="Times New Roman" w:hAnsi="Times New Roman" w:cs="Times New Roman"/>
                <w:sz w:val="15"/>
                <w:szCs w:val="15"/>
              </w:rPr>
              <w:t>浆砌石</w:t>
            </w:r>
          </w:p>
        </w:tc>
        <w:tc>
          <w:tcPr>
            <w:tcW w:w="2062" w:type="dxa"/>
            <w:vAlign w:val="center"/>
          </w:tcPr>
          <w:p w14:paraId="088C29C9">
            <w:pPr>
              <w:spacing w:line="360" w:lineRule="auto"/>
              <w:jc w:val="center"/>
              <w:rPr>
                <w:rFonts w:ascii="Times New Roman" w:hAnsi="Times New Roman" w:cs="Times New Roman"/>
                <w:sz w:val="15"/>
                <w:szCs w:val="15"/>
              </w:rPr>
            </w:pPr>
            <w:r>
              <w:rPr>
                <w:rFonts w:ascii="Times New Roman" w:hAnsi="Times New Roman" w:cs="Times New Roman"/>
                <w:sz w:val="15"/>
                <w:szCs w:val="15"/>
              </w:rPr>
              <w:t>0.70～0.80</w:t>
            </w:r>
          </w:p>
        </w:tc>
        <w:tc>
          <w:tcPr>
            <w:tcW w:w="2063" w:type="dxa"/>
            <w:vAlign w:val="center"/>
          </w:tcPr>
          <w:p w14:paraId="7A251D6F">
            <w:pPr>
              <w:spacing w:line="360" w:lineRule="auto"/>
              <w:jc w:val="center"/>
              <w:rPr>
                <w:rFonts w:ascii="Times New Roman" w:hAnsi="Times New Roman" w:cs="Times New Roman"/>
                <w:sz w:val="15"/>
                <w:szCs w:val="15"/>
              </w:rPr>
            </w:pPr>
            <w:r>
              <w:rPr>
                <w:rFonts w:ascii="Times New Roman" w:hAnsi="Times New Roman" w:cs="Times New Roman"/>
                <w:sz w:val="15"/>
                <w:szCs w:val="15"/>
              </w:rPr>
              <w:t>0.70～0.85</w:t>
            </w:r>
          </w:p>
        </w:tc>
        <w:tc>
          <w:tcPr>
            <w:tcW w:w="2063" w:type="dxa"/>
            <w:vAlign w:val="center"/>
          </w:tcPr>
          <w:p w14:paraId="4B144305">
            <w:pPr>
              <w:spacing w:line="360" w:lineRule="auto"/>
              <w:jc w:val="center"/>
              <w:rPr>
                <w:rFonts w:ascii="Times New Roman" w:hAnsi="Times New Roman" w:cs="Times New Roman"/>
                <w:sz w:val="15"/>
                <w:szCs w:val="15"/>
              </w:rPr>
            </w:pPr>
            <w:r>
              <w:rPr>
                <w:rFonts w:ascii="Times New Roman" w:hAnsi="Times New Roman" w:cs="Times New Roman"/>
                <w:sz w:val="15"/>
                <w:szCs w:val="15"/>
              </w:rPr>
              <w:t>0.75～0.85</w:t>
            </w:r>
          </w:p>
        </w:tc>
      </w:tr>
      <w:tr w14:paraId="73D9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56" w:type="dxa"/>
            <w:vAlign w:val="center"/>
          </w:tcPr>
          <w:p w14:paraId="0F4B52D7">
            <w:pPr>
              <w:spacing w:line="360" w:lineRule="auto"/>
              <w:jc w:val="center"/>
              <w:rPr>
                <w:rFonts w:ascii="Times New Roman" w:hAnsi="Times New Roman" w:cs="Times New Roman"/>
                <w:sz w:val="15"/>
                <w:szCs w:val="15"/>
              </w:rPr>
            </w:pPr>
            <w:r>
              <w:rPr>
                <w:rFonts w:ascii="Times New Roman" w:hAnsi="Times New Roman" w:cs="Times New Roman"/>
                <w:sz w:val="15"/>
                <w:szCs w:val="15"/>
              </w:rPr>
              <w:t>良好的沥青路面</w:t>
            </w:r>
          </w:p>
        </w:tc>
        <w:tc>
          <w:tcPr>
            <w:tcW w:w="2062" w:type="dxa"/>
            <w:vAlign w:val="center"/>
          </w:tcPr>
          <w:p w14:paraId="0527362C">
            <w:pPr>
              <w:spacing w:line="360" w:lineRule="auto"/>
              <w:jc w:val="center"/>
              <w:rPr>
                <w:rFonts w:ascii="Times New Roman" w:hAnsi="Times New Roman" w:cs="Times New Roman"/>
                <w:sz w:val="15"/>
                <w:szCs w:val="15"/>
              </w:rPr>
            </w:pPr>
            <w:r>
              <w:rPr>
                <w:rFonts w:ascii="Times New Roman" w:hAnsi="Times New Roman" w:cs="Times New Roman"/>
                <w:sz w:val="15"/>
                <w:szCs w:val="15"/>
              </w:rPr>
              <w:t>0.70～0.80</w:t>
            </w:r>
          </w:p>
        </w:tc>
        <w:tc>
          <w:tcPr>
            <w:tcW w:w="2063" w:type="dxa"/>
            <w:vAlign w:val="center"/>
          </w:tcPr>
          <w:p w14:paraId="624F44F0">
            <w:pPr>
              <w:spacing w:line="360" w:lineRule="auto"/>
              <w:jc w:val="center"/>
              <w:rPr>
                <w:rFonts w:ascii="Times New Roman" w:hAnsi="Times New Roman" w:cs="Times New Roman"/>
                <w:sz w:val="15"/>
                <w:szCs w:val="15"/>
              </w:rPr>
            </w:pPr>
            <w:r>
              <w:rPr>
                <w:rFonts w:ascii="Times New Roman" w:hAnsi="Times New Roman" w:cs="Times New Roman"/>
                <w:sz w:val="15"/>
                <w:szCs w:val="15"/>
              </w:rPr>
              <w:t>0.70～0.85</w:t>
            </w:r>
          </w:p>
        </w:tc>
        <w:tc>
          <w:tcPr>
            <w:tcW w:w="2063" w:type="dxa"/>
            <w:vAlign w:val="center"/>
          </w:tcPr>
          <w:p w14:paraId="65802FC7">
            <w:pPr>
              <w:spacing w:line="360" w:lineRule="auto"/>
              <w:jc w:val="center"/>
              <w:rPr>
                <w:rFonts w:ascii="Times New Roman" w:hAnsi="Times New Roman" w:cs="Times New Roman"/>
                <w:sz w:val="15"/>
                <w:szCs w:val="15"/>
              </w:rPr>
            </w:pPr>
            <w:r>
              <w:rPr>
                <w:rFonts w:ascii="Times New Roman" w:hAnsi="Times New Roman" w:cs="Times New Roman"/>
                <w:sz w:val="15"/>
                <w:szCs w:val="15"/>
              </w:rPr>
              <w:t>0.75～0.85</w:t>
            </w:r>
          </w:p>
        </w:tc>
      </w:tr>
      <w:tr w14:paraId="3402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56" w:type="dxa"/>
            <w:vAlign w:val="center"/>
          </w:tcPr>
          <w:p w14:paraId="705BC63B">
            <w:pPr>
              <w:spacing w:line="360" w:lineRule="auto"/>
              <w:jc w:val="center"/>
              <w:rPr>
                <w:rFonts w:ascii="Times New Roman" w:hAnsi="Times New Roman" w:cs="Times New Roman"/>
                <w:sz w:val="15"/>
                <w:szCs w:val="15"/>
              </w:rPr>
            </w:pPr>
            <w:r>
              <w:rPr>
                <w:rFonts w:ascii="Times New Roman" w:hAnsi="Times New Roman" w:cs="Times New Roman"/>
                <w:sz w:val="15"/>
                <w:szCs w:val="15"/>
              </w:rPr>
              <w:t>乡村常用的土路</w:t>
            </w:r>
          </w:p>
        </w:tc>
        <w:tc>
          <w:tcPr>
            <w:tcW w:w="2062" w:type="dxa"/>
            <w:vAlign w:val="center"/>
          </w:tcPr>
          <w:p w14:paraId="23B26DD9">
            <w:pPr>
              <w:spacing w:line="360" w:lineRule="auto"/>
              <w:jc w:val="center"/>
              <w:rPr>
                <w:rFonts w:ascii="Times New Roman" w:hAnsi="Times New Roman" w:cs="Times New Roman"/>
                <w:sz w:val="15"/>
                <w:szCs w:val="15"/>
              </w:rPr>
            </w:pPr>
            <w:r>
              <w:rPr>
                <w:rFonts w:ascii="Times New Roman" w:hAnsi="Times New Roman" w:cs="Times New Roman"/>
                <w:sz w:val="15"/>
                <w:szCs w:val="15"/>
              </w:rPr>
              <w:t>0.15～0.30</w:t>
            </w:r>
          </w:p>
        </w:tc>
        <w:tc>
          <w:tcPr>
            <w:tcW w:w="2063" w:type="dxa"/>
            <w:vAlign w:val="center"/>
          </w:tcPr>
          <w:p w14:paraId="3C2A1519">
            <w:pPr>
              <w:spacing w:line="360" w:lineRule="auto"/>
              <w:jc w:val="center"/>
              <w:rPr>
                <w:rFonts w:ascii="Times New Roman" w:hAnsi="Times New Roman" w:cs="Times New Roman"/>
                <w:sz w:val="15"/>
                <w:szCs w:val="15"/>
              </w:rPr>
            </w:pPr>
            <w:r>
              <w:rPr>
                <w:rFonts w:ascii="Times New Roman" w:hAnsi="Times New Roman" w:cs="Times New Roman"/>
                <w:sz w:val="15"/>
                <w:szCs w:val="15"/>
              </w:rPr>
              <w:t>0.25～0.40</w:t>
            </w:r>
          </w:p>
        </w:tc>
        <w:tc>
          <w:tcPr>
            <w:tcW w:w="2063" w:type="dxa"/>
            <w:vAlign w:val="center"/>
          </w:tcPr>
          <w:p w14:paraId="2BFDE1D2">
            <w:pPr>
              <w:spacing w:line="360" w:lineRule="auto"/>
              <w:jc w:val="center"/>
              <w:rPr>
                <w:rFonts w:ascii="Times New Roman" w:hAnsi="Times New Roman" w:cs="Times New Roman"/>
                <w:sz w:val="15"/>
                <w:szCs w:val="15"/>
              </w:rPr>
            </w:pPr>
            <w:r>
              <w:rPr>
                <w:rFonts w:ascii="Times New Roman" w:hAnsi="Times New Roman" w:cs="Times New Roman"/>
                <w:sz w:val="15"/>
                <w:szCs w:val="15"/>
              </w:rPr>
              <w:t>0.35～0.55</w:t>
            </w:r>
          </w:p>
        </w:tc>
      </w:tr>
      <w:tr w14:paraId="43A9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56" w:type="dxa"/>
            <w:vAlign w:val="center"/>
          </w:tcPr>
          <w:p w14:paraId="13A88E40">
            <w:pPr>
              <w:spacing w:line="360" w:lineRule="auto"/>
              <w:jc w:val="center"/>
              <w:rPr>
                <w:rFonts w:ascii="Times New Roman" w:hAnsi="Times New Roman" w:cs="Times New Roman"/>
                <w:sz w:val="15"/>
                <w:szCs w:val="15"/>
              </w:rPr>
            </w:pPr>
            <w:r>
              <w:rPr>
                <w:rFonts w:ascii="Times New Roman" w:hAnsi="Times New Roman" w:cs="Times New Roman"/>
                <w:sz w:val="15"/>
                <w:szCs w:val="15"/>
              </w:rPr>
              <w:t>水泥土</w:t>
            </w:r>
          </w:p>
        </w:tc>
        <w:tc>
          <w:tcPr>
            <w:tcW w:w="2062" w:type="dxa"/>
            <w:vAlign w:val="center"/>
          </w:tcPr>
          <w:p w14:paraId="5A1683BE">
            <w:pPr>
              <w:spacing w:line="360" w:lineRule="auto"/>
              <w:jc w:val="center"/>
              <w:rPr>
                <w:rFonts w:ascii="Times New Roman" w:hAnsi="Times New Roman" w:cs="Times New Roman"/>
                <w:sz w:val="15"/>
                <w:szCs w:val="15"/>
              </w:rPr>
            </w:pPr>
            <w:r>
              <w:rPr>
                <w:rFonts w:ascii="Times New Roman" w:hAnsi="Times New Roman" w:cs="Times New Roman"/>
                <w:sz w:val="15"/>
                <w:szCs w:val="15"/>
              </w:rPr>
              <w:t>0.40～0.55</w:t>
            </w:r>
          </w:p>
        </w:tc>
        <w:tc>
          <w:tcPr>
            <w:tcW w:w="2063" w:type="dxa"/>
            <w:vAlign w:val="center"/>
          </w:tcPr>
          <w:p w14:paraId="5F229E89">
            <w:pPr>
              <w:spacing w:line="360" w:lineRule="auto"/>
              <w:jc w:val="center"/>
              <w:rPr>
                <w:rFonts w:ascii="Times New Roman" w:hAnsi="Times New Roman" w:cs="Times New Roman"/>
                <w:sz w:val="15"/>
                <w:szCs w:val="15"/>
              </w:rPr>
            </w:pPr>
            <w:r>
              <w:rPr>
                <w:rFonts w:ascii="Times New Roman" w:hAnsi="Times New Roman" w:cs="Times New Roman"/>
                <w:sz w:val="15"/>
                <w:szCs w:val="15"/>
              </w:rPr>
              <w:t>0.45～0.60</w:t>
            </w:r>
          </w:p>
        </w:tc>
        <w:tc>
          <w:tcPr>
            <w:tcW w:w="2063" w:type="dxa"/>
            <w:vAlign w:val="center"/>
          </w:tcPr>
          <w:p w14:paraId="1ADC2BCE">
            <w:pPr>
              <w:spacing w:line="360" w:lineRule="auto"/>
              <w:jc w:val="center"/>
              <w:rPr>
                <w:rFonts w:ascii="Times New Roman" w:hAnsi="Times New Roman" w:cs="Times New Roman"/>
                <w:sz w:val="15"/>
                <w:szCs w:val="15"/>
              </w:rPr>
            </w:pPr>
            <w:r>
              <w:rPr>
                <w:rFonts w:ascii="Times New Roman" w:hAnsi="Times New Roman" w:cs="Times New Roman"/>
                <w:sz w:val="15"/>
                <w:szCs w:val="15"/>
              </w:rPr>
              <w:t>0.50～0.65</w:t>
            </w:r>
          </w:p>
        </w:tc>
      </w:tr>
      <w:tr w14:paraId="4335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56" w:type="dxa"/>
            <w:vAlign w:val="center"/>
          </w:tcPr>
          <w:p w14:paraId="6AF24223">
            <w:pPr>
              <w:spacing w:line="360" w:lineRule="auto"/>
              <w:jc w:val="center"/>
              <w:rPr>
                <w:rFonts w:ascii="Times New Roman" w:hAnsi="Times New Roman" w:cs="Times New Roman"/>
                <w:sz w:val="15"/>
                <w:szCs w:val="15"/>
              </w:rPr>
            </w:pPr>
            <w:r>
              <w:rPr>
                <w:rFonts w:ascii="Times New Roman" w:hAnsi="Times New Roman" w:cs="Times New Roman"/>
                <w:sz w:val="15"/>
                <w:szCs w:val="15"/>
              </w:rPr>
              <w:t>自然土坡（植被稀少）</w:t>
            </w:r>
          </w:p>
        </w:tc>
        <w:tc>
          <w:tcPr>
            <w:tcW w:w="2062" w:type="dxa"/>
            <w:vAlign w:val="center"/>
          </w:tcPr>
          <w:p w14:paraId="07D0220D">
            <w:pPr>
              <w:spacing w:line="360" w:lineRule="auto"/>
              <w:jc w:val="center"/>
              <w:rPr>
                <w:rFonts w:ascii="Times New Roman" w:hAnsi="Times New Roman" w:cs="Times New Roman"/>
                <w:sz w:val="15"/>
                <w:szCs w:val="15"/>
              </w:rPr>
            </w:pPr>
            <w:r>
              <w:rPr>
                <w:rFonts w:ascii="Times New Roman" w:hAnsi="Times New Roman" w:cs="Times New Roman"/>
                <w:sz w:val="15"/>
                <w:szCs w:val="15"/>
              </w:rPr>
              <w:t>0.08～0.15</w:t>
            </w:r>
          </w:p>
        </w:tc>
        <w:tc>
          <w:tcPr>
            <w:tcW w:w="2063" w:type="dxa"/>
            <w:vAlign w:val="center"/>
          </w:tcPr>
          <w:p w14:paraId="781DB084">
            <w:pPr>
              <w:spacing w:line="360" w:lineRule="auto"/>
              <w:jc w:val="center"/>
              <w:rPr>
                <w:rFonts w:ascii="Times New Roman" w:hAnsi="Times New Roman" w:cs="Times New Roman"/>
                <w:sz w:val="15"/>
                <w:szCs w:val="15"/>
              </w:rPr>
            </w:pPr>
            <w:r>
              <w:rPr>
                <w:rFonts w:ascii="Times New Roman" w:hAnsi="Times New Roman" w:cs="Times New Roman"/>
                <w:sz w:val="15"/>
                <w:szCs w:val="15"/>
              </w:rPr>
              <w:t>0.15～0.30</w:t>
            </w:r>
          </w:p>
        </w:tc>
        <w:tc>
          <w:tcPr>
            <w:tcW w:w="2063" w:type="dxa"/>
            <w:vAlign w:val="center"/>
          </w:tcPr>
          <w:p w14:paraId="6EEDE89B">
            <w:pPr>
              <w:spacing w:line="360" w:lineRule="auto"/>
              <w:jc w:val="center"/>
              <w:rPr>
                <w:rFonts w:ascii="Times New Roman" w:hAnsi="Times New Roman" w:cs="Times New Roman"/>
                <w:sz w:val="15"/>
                <w:szCs w:val="15"/>
              </w:rPr>
            </w:pPr>
            <w:r>
              <w:rPr>
                <w:rFonts w:ascii="Times New Roman" w:hAnsi="Times New Roman" w:cs="Times New Roman"/>
                <w:sz w:val="15"/>
                <w:szCs w:val="15"/>
              </w:rPr>
              <w:t>0.30～0.50</w:t>
            </w:r>
          </w:p>
        </w:tc>
      </w:tr>
      <w:tr w14:paraId="1601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056" w:type="dxa"/>
            <w:vAlign w:val="center"/>
          </w:tcPr>
          <w:p w14:paraId="2D263993">
            <w:pPr>
              <w:spacing w:line="360" w:lineRule="auto"/>
              <w:jc w:val="center"/>
              <w:rPr>
                <w:rFonts w:ascii="Times New Roman" w:hAnsi="Times New Roman" w:cs="Times New Roman"/>
                <w:sz w:val="15"/>
                <w:szCs w:val="15"/>
              </w:rPr>
            </w:pPr>
            <w:r>
              <w:rPr>
                <w:rFonts w:ascii="Times New Roman" w:hAnsi="Times New Roman" w:cs="Times New Roman"/>
                <w:sz w:val="15"/>
                <w:szCs w:val="15"/>
              </w:rPr>
              <w:t>自然土坡（林草地）</w:t>
            </w:r>
          </w:p>
        </w:tc>
        <w:tc>
          <w:tcPr>
            <w:tcW w:w="2062" w:type="dxa"/>
            <w:vAlign w:val="center"/>
          </w:tcPr>
          <w:p w14:paraId="54101D11">
            <w:pPr>
              <w:spacing w:line="360" w:lineRule="auto"/>
              <w:jc w:val="center"/>
              <w:rPr>
                <w:rFonts w:ascii="Times New Roman" w:hAnsi="Times New Roman" w:cs="Times New Roman"/>
                <w:sz w:val="15"/>
                <w:szCs w:val="15"/>
              </w:rPr>
            </w:pPr>
            <w:r>
              <w:rPr>
                <w:rFonts w:ascii="Times New Roman" w:hAnsi="Times New Roman" w:cs="Times New Roman"/>
                <w:sz w:val="15"/>
                <w:szCs w:val="15"/>
              </w:rPr>
              <w:t>0.06～0.15</w:t>
            </w:r>
          </w:p>
        </w:tc>
        <w:tc>
          <w:tcPr>
            <w:tcW w:w="2063" w:type="dxa"/>
            <w:vAlign w:val="center"/>
          </w:tcPr>
          <w:p w14:paraId="392BCB7C">
            <w:pPr>
              <w:spacing w:line="360" w:lineRule="auto"/>
              <w:jc w:val="center"/>
              <w:rPr>
                <w:rFonts w:ascii="Times New Roman" w:hAnsi="Times New Roman" w:cs="Times New Roman"/>
                <w:sz w:val="15"/>
                <w:szCs w:val="15"/>
              </w:rPr>
            </w:pPr>
            <w:r>
              <w:rPr>
                <w:rFonts w:ascii="Times New Roman" w:hAnsi="Times New Roman" w:cs="Times New Roman"/>
                <w:sz w:val="15"/>
                <w:szCs w:val="15"/>
              </w:rPr>
              <w:t>0.15～0.25</w:t>
            </w:r>
          </w:p>
        </w:tc>
        <w:tc>
          <w:tcPr>
            <w:tcW w:w="2063" w:type="dxa"/>
            <w:vAlign w:val="center"/>
          </w:tcPr>
          <w:p w14:paraId="14B783DE">
            <w:pPr>
              <w:spacing w:line="360" w:lineRule="auto"/>
              <w:jc w:val="center"/>
              <w:rPr>
                <w:rFonts w:ascii="Times New Roman" w:hAnsi="Times New Roman" w:cs="Times New Roman"/>
                <w:sz w:val="15"/>
                <w:szCs w:val="15"/>
              </w:rPr>
            </w:pPr>
            <w:r>
              <w:rPr>
                <w:rFonts w:ascii="Times New Roman" w:hAnsi="Times New Roman" w:cs="Times New Roman"/>
                <w:sz w:val="15"/>
                <w:szCs w:val="15"/>
              </w:rPr>
              <w:t>0.25～0.45</w:t>
            </w:r>
          </w:p>
        </w:tc>
      </w:tr>
    </w:tbl>
    <w:p w14:paraId="3FE4DAA0">
      <w:pPr>
        <w:spacing w:before="156" w:beforeLines="50" w:line="360" w:lineRule="auto"/>
        <w:jc w:val="left"/>
        <w:rPr>
          <w:rFonts w:ascii="Times New Roman" w:hAnsi="Times New Roman" w:cs="Times New Roman"/>
          <w:sz w:val="21"/>
        </w:rPr>
      </w:pPr>
      <w:r>
        <w:rPr>
          <w:rFonts w:ascii="Times New Roman" w:hAnsi="Times New Roman" w:cs="Times New Roman"/>
          <w:b/>
          <w:sz w:val="21"/>
        </w:rPr>
        <w:t>5.7.</w:t>
      </w:r>
      <w:r>
        <w:rPr>
          <w:rFonts w:hint="eastAsia" w:ascii="Times New Roman" w:hAnsi="Times New Roman" w:cs="Times New Roman"/>
          <w:b/>
          <w:sz w:val="21"/>
        </w:rPr>
        <w:t>9</w:t>
      </w:r>
      <w:r>
        <w:rPr>
          <w:rFonts w:ascii="Times New Roman" w:hAnsi="Times New Roman" w:cs="Times New Roman"/>
          <w:b/>
          <w:sz w:val="21"/>
        </w:rPr>
        <w:t xml:space="preserve">  </w:t>
      </w:r>
      <w:r>
        <w:rPr>
          <w:rFonts w:ascii="Times New Roman" w:hAnsi="Times New Roman" w:cs="Times New Roman"/>
          <w:sz w:val="21"/>
        </w:rPr>
        <w:t>集流设施及辅助构筑物应符合下列标准：</w:t>
      </w:r>
    </w:p>
    <w:p w14:paraId="3D703BAD">
      <w:pPr>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1  </w:t>
      </w:r>
      <w:r>
        <w:rPr>
          <w:rFonts w:ascii="Times New Roman" w:hAnsi="Times New Roman" w:cs="Times New Roman"/>
          <w:sz w:val="21"/>
        </w:rPr>
        <w:t>汇流沟宜采用现浇、预制混凝土或砌体衬砌的矩形、U形沟，汇流沟的纵向坡度可根据地形确定，断面尺寸应按汇流量确定。</w:t>
      </w:r>
    </w:p>
    <w:p w14:paraId="6447E722">
      <w:pPr>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2  </w:t>
      </w:r>
      <w:r>
        <w:rPr>
          <w:rFonts w:ascii="Times New Roman" w:hAnsi="Times New Roman" w:cs="Times New Roman"/>
          <w:sz w:val="21"/>
        </w:rPr>
        <w:t>集流面需设截流沟时，截流沟应与汇流沟相接，必要时应在连接处设置防冲设施。</w:t>
      </w:r>
    </w:p>
    <w:p w14:paraId="0A21CE51">
      <w:pPr>
        <w:spacing w:line="360" w:lineRule="auto"/>
        <w:ind w:firstLine="422" w:firstLineChars="200"/>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蓄集雨水含沙量较大时，应于集流设施输水末端设置沉沙设施，并增设拦污栅。沉沙设施与蓄水构筑物间距应大于3m。</w:t>
      </w:r>
    </w:p>
    <w:p w14:paraId="2EF026A1">
      <w:pPr>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4  </w:t>
      </w:r>
      <w:r>
        <w:rPr>
          <w:rFonts w:ascii="Times New Roman" w:hAnsi="Times New Roman" w:cs="Times New Roman"/>
          <w:sz w:val="21"/>
        </w:rPr>
        <w:t>截流沟的水文计算按附录A.4.1条的规定执行，截流沟、汇流沟、沉沙池、输水设施设计和施工可参照《水土保持综合治理技术规范 小型蓄排引水工程》GB/T 16453.4的规定确定。</w:t>
      </w:r>
    </w:p>
    <w:p w14:paraId="7DAC7366">
      <w:pPr>
        <w:spacing w:line="360" w:lineRule="auto"/>
        <w:rPr>
          <w:rFonts w:ascii="Times New Roman" w:hAnsi="Times New Roman" w:cs="Times New Roman"/>
          <w:sz w:val="21"/>
        </w:rPr>
      </w:pPr>
      <w:r>
        <w:rPr>
          <w:rFonts w:ascii="Times New Roman" w:hAnsi="Times New Roman" w:cs="Times New Roman"/>
          <w:b/>
          <w:sz w:val="21"/>
        </w:rPr>
        <w:t>5.7.</w:t>
      </w:r>
      <w:r>
        <w:rPr>
          <w:rFonts w:hint="eastAsia" w:ascii="Times New Roman" w:hAnsi="Times New Roman" w:cs="Times New Roman"/>
          <w:b/>
          <w:sz w:val="21"/>
        </w:rPr>
        <w:t>10</w:t>
      </w:r>
      <w:r>
        <w:rPr>
          <w:rFonts w:ascii="Times New Roman" w:hAnsi="Times New Roman" w:cs="Times New Roman"/>
          <w:sz w:val="21"/>
        </w:rPr>
        <w:t xml:space="preserve">  蓄水设施设计应符合下列规定：</w:t>
      </w:r>
    </w:p>
    <w:p w14:paraId="0E7C9097">
      <w:pPr>
        <w:spacing w:line="360" w:lineRule="auto"/>
        <w:ind w:firstLine="422" w:firstLineChars="200"/>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蓄水设施的型式应根据地形、土质、用途、建筑材料和经济条件等因素确定，可采用蓄水窖、蓄水池和塘坝等型式。</w:t>
      </w:r>
    </w:p>
    <w:p w14:paraId="28AA15B6">
      <w:pPr>
        <w:spacing w:line="360" w:lineRule="auto"/>
        <w:ind w:right="-263" w:rightChars="-94" w:firstLine="422" w:firstLineChars="200"/>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蓄水设施容积可按式（5.7.1</w:t>
      </w:r>
      <w:r>
        <w:rPr>
          <w:rFonts w:hint="eastAsia" w:ascii="Times New Roman" w:hAnsi="Times New Roman" w:cs="Times New Roman"/>
          <w:sz w:val="21"/>
        </w:rPr>
        <w:t>0</w:t>
      </w:r>
      <w:r>
        <w:rPr>
          <w:rFonts w:ascii="Times New Roman" w:hAnsi="Times New Roman" w:cs="Times New Roman"/>
          <w:sz w:val="21"/>
        </w:rPr>
        <w:t>）计算：</w:t>
      </w:r>
    </w:p>
    <w:p w14:paraId="166B47A3">
      <w:pPr>
        <w:spacing w:line="360" w:lineRule="auto"/>
        <w:ind w:firstLine="3080" w:firstLineChars="1100"/>
        <w:rPr>
          <w:rFonts w:ascii="Times New Roman" w:hAnsi="Times New Roman" w:cs="Times New Roman"/>
          <w:sz w:val="21"/>
        </w:rPr>
      </w:pPr>
      <m:oMath>
        <m:r>
          <m:rPr>
            <m:nor/>
          </m:rPr>
          <w:rPr>
            <w:rFonts w:ascii="Times New Roman" w:hAnsi="Times New Roman" w:cs="Times New Roman"/>
            <w:i/>
          </w:rPr>
          <m:t>V</m:t>
        </m:r>
        <m:r>
          <m:rPr>
            <m:nor/>
            <m:sty m:val="p"/>
          </m:rPr>
          <w:rPr>
            <w:rFonts w:ascii="Times New Roman" w:hAnsi="Times New Roman" w:cs="Times New Roman"/>
            <w:b w:val="0"/>
            <w:i w:val="0"/>
          </w:rPr>
          <m:t>=</m:t>
        </m:r>
        <m:f>
          <m:fPr>
            <m:ctrlPr>
              <w:rPr>
                <w:rFonts w:ascii="Cambria Math" w:hAnsi="Cambria Math" w:cs="Times New Roman"/>
              </w:rPr>
            </m:ctrlPr>
          </m:fPr>
          <m:num>
            <m:r>
              <m:rPr>
                <m:nor/>
              </m:rPr>
              <w:rPr>
                <w:rFonts w:ascii="Times New Roman" w:hAnsi="Times New Roman" w:cs="Times New Roman"/>
                <w:i/>
              </w:rPr>
              <m:t>KW</m:t>
            </m:r>
            <m:ctrlPr>
              <w:rPr>
                <w:rFonts w:ascii="Cambria Math" w:hAnsi="Cambria Math" w:cs="Times New Roman"/>
              </w:rPr>
            </m:ctrlPr>
          </m:num>
          <m:den>
            <m:r>
              <m:rPr>
                <m:nor/>
                <m:sty m:val="p"/>
              </m:rPr>
              <w:rPr>
                <w:rFonts w:ascii="Times New Roman" w:hAnsi="Times New Roman" w:cs="Times New Roman"/>
                <w:b w:val="0"/>
                <w:i w:val="0"/>
              </w:rPr>
              <m:t>1-</m:t>
            </m:r>
            <m:r>
              <m:rPr>
                <m:nor/>
              </m:rPr>
              <w:rPr>
                <w:rFonts w:ascii="Times New Roman" w:hAnsi="Times New Roman" w:cs="Times New Roman"/>
                <w:i/>
              </w:rPr>
              <m:t>α</m:t>
            </m:r>
            <m:ctrlPr>
              <w:rPr>
                <w:rFonts w:ascii="Cambria Math" w:hAnsi="Cambria Math" w:cs="Times New Roman"/>
              </w:rPr>
            </m:ctrlPr>
          </m:den>
        </m:f>
      </m:oMath>
      <w:r>
        <w:rPr>
          <w:rFonts w:ascii="Times New Roman" w:hAnsi="Times New Roman" w:cs="Times New Roman"/>
          <w:sz w:val="21"/>
        </w:rPr>
        <w:t xml:space="preserve">                                （5.7.1</w:t>
      </w:r>
      <w:r>
        <w:rPr>
          <w:rFonts w:hint="eastAsia" w:ascii="Times New Roman" w:hAnsi="Times New Roman" w:cs="Times New Roman"/>
          <w:sz w:val="21"/>
        </w:rPr>
        <w:t>0</w:t>
      </w:r>
      <w:r>
        <w:rPr>
          <w:rFonts w:ascii="Times New Roman" w:hAnsi="Times New Roman" w:cs="Times New Roman"/>
          <w:sz w:val="21"/>
        </w:rPr>
        <w:t>）</w:t>
      </w:r>
    </w:p>
    <w:p w14:paraId="719CF563">
      <w:pPr>
        <w:spacing w:line="360" w:lineRule="auto"/>
        <w:ind w:firstLine="420" w:firstLineChars="200"/>
        <w:rPr>
          <w:rFonts w:ascii="Times New Roman" w:hAnsi="Times New Roman" w:cs="Times New Roman"/>
          <w:sz w:val="21"/>
        </w:rPr>
      </w:pPr>
      <w:r>
        <w:rPr>
          <w:rFonts w:ascii="Times New Roman" w:hAnsi="Times New Roman" w:cs="Times New Roman"/>
          <w:sz w:val="21"/>
        </w:rPr>
        <w:t>式中：</w:t>
      </w:r>
      <w:r>
        <w:rPr>
          <w:rFonts w:hint="eastAsia" w:ascii="Times New Roman" w:hAnsi="Times New Roman" w:cs="Times New Roman"/>
          <w:sz w:val="21"/>
        </w:rPr>
        <w:t xml:space="preserve"> </w:t>
      </w:r>
      <m:oMath>
        <m:r>
          <m:rPr>
            <m:nor/>
          </m:rPr>
          <w:rPr>
            <w:rFonts w:ascii="Times New Roman" w:hAnsi="Times New Roman" w:cs="Times New Roman"/>
            <w:i/>
          </w:rPr>
          <m:t>V</m:t>
        </m:r>
      </m:oMath>
      <w:r>
        <w:rPr>
          <w:rFonts w:ascii="Times New Roman" w:hAnsi="Times New Roman" w:cs="Times New Roman"/>
          <w:sz w:val="21"/>
        </w:rPr>
        <w:t>——蓄水设施容积</w:t>
      </w:r>
      <w:r>
        <w:rPr>
          <w:rFonts w:hint="eastAsia" w:ascii="Times New Roman" w:hAnsi="Times New Roman" w:cs="Times New Roman"/>
          <w:sz w:val="21"/>
        </w:rPr>
        <w:t>（</w:t>
      </w:r>
      <w:r>
        <w:rPr>
          <w:rFonts w:ascii="Times New Roman" w:hAnsi="Times New Roman" w:cs="Times New Roman"/>
          <w:sz w:val="21"/>
        </w:rPr>
        <w:t>m</w:t>
      </w:r>
      <w:r>
        <w:rPr>
          <w:rFonts w:ascii="Times New Roman" w:hAnsi="Times New Roman" w:cs="Times New Roman"/>
          <w:sz w:val="21"/>
          <w:vertAlign w:val="superscript"/>
        </w:rPr>
        <w:t>3</w:t>
      </w:r>
      <w:r>
        <w:rPr>
          <w:rFonts w:hint="eastAsia" w:ascii="Times New Roman" w:hAnsi="Times New Roman" w:cs="Times New Roman"/>
          <w:sz w:val="21"/>
        </w:rPr>
        <w:t>）</w:t>
      </w:r>
      <w:r>
        <w:rPr>
          <w:rFonts w:ascii="Times New Roman" w:hAnsi="Times New Roman" w:cs="Times New Roman"/>
          <w:sz w:val="21"/>
        </w:rPr>
        <w:t>；</w:t>
      </w:r>
    </w:p>
    <w:p w14:paraId="63B5942C">
      <w:pPr>
        <w:spacing w:line="360" w:lineRule="auto"/>
        <w:ind w:left="1797" w:leftChars="400" w:right="-263" w:rightChars="-94" w:hanging="677" w:hangingChars="242"/>
        <w:rPr>
          <w:rFonts w:ascii="Times New Roman" w:hAnsi="Times New Roman" w:cs="Times New Roman"/>
          <w:sz w:val="21"/>
        </w:rPr>
      </w:pPr>
      <m:oMath>
        <m:r>
          <m:rPr>
            <m:nor/>
          </m:rPr>
          <w:rPr>
            <w:rFonts w:ascii="Times New Roman" w:hAnsi="Times New Roman" w:cs="Times New Roman"/>
            <w:i/>
          </w:rPr>
          <m:t>W</m:t>
        </m:r>
      </m:oMath>
      <w:r>
        <w:rPr>
          <w:rFonts w:ascii="Times New Roman" w:hAnsi="Times New Roman" w:cs="Times New Roman"/>
          <w:sz w:val="21"/>
        </w:rPr>
        <w:t>——全年可集水量或需水量，m</w:t>
      </w:r>
      <w:r>
        <w:rPr>
          <w:rFonts w:ascii="Times New Roman" w:hAnsi="Times New Roman" w:cs="Times New Roman"/>
          <w:sz w:val="21"/>
          <w:vertAlign w:val="superscript"/>
        </w:rPr>
        <w:t>3</w:t>
      </w:r>
      <w:r>
        <w:rPr>
          <w:rFonts w:ascii="Times New Roman" w:hAnsi="Times New Roman" w:cs="Times New Roman"/>
          <w:sz w:val="21"/>
        </w:rPr>
        <w:t>，当需水量大于可集水量时，</w:t>
      </w:r>
      <m:oMath>
        <m:r>
          <m:rPr>
            <m:nor/>
          </m:rPr>
          <w:rPr>
            <w:rFonts w:ascii="Times New Roman" w:hAnsi="Times New Roman" w:cs="Times New Roman"/>
            <w:i/>
          </w:rPr>
          <m:t>W</m:t>
        </m:r>
      </m:oMath>
      <w:r>
        <w:rPr>
          <w:rFonts w:ascii="Times New Roman" w:hAnsi="Times New Roman" w:cs="Times New Roman"/>
          <w:sz w:val="21"/>
        </w:rPr>
        <w:t>为可集水量；当需水量小于可集水量时，</w:t>
      </w:r>
      <m:oMath>
        <m:r>
          <m:rPr>
            <m:nor/>
          </m:rPr>
          <w:rPr>
            <w:rFonts w:ascii="Times New Roman" w:hAnsi="Times New Roman" w:cs="Times New Roman"/>
            <w:i/>
          </w:rPr>
          <m:t>W</m:t>
        </m:r>
      </m:oMath>
      <w:r>
        <w:rPr>
          <w:rFonts w:ascii="Times New Roman" w:hAnsi="Times New Roman" w:cs="Times New Roman"/>
          <w:sz w:val="21"/>
        </w:rPr>
        <w:t>为需水量；</w:t>
      </w:r>
    </w:p>
    <w:p w14:paraId="4B831E23">
      <w:pPr>
        <w:spacing w:line="360" w:lineRule="auto"/>
        <w:ind w:firstLine="1120" w:firstLineChars="400"/>
        <w:rPr>
          <w:rFonts w:ascii="Times New Roman" w:hAnsi="Times New Roman" w:cs="Times New Roman"/>
          <w:sz w:val="21"/>
        </w:rPr>
      </w:pPr>
      <m:oMath>
        <m:r>
          <m:rPr>
            <m:nor/>
          </m:rPr>
          <w:rPr>
            <w:rFonts w:ascii="Times New Roman" w:hAnsi="Times New Roman" w:cs="Times New Roman"/>
            <w:i/>
          </w:rPr>
          <m:t>α</m:t>
        </m:r>
      </m:oMath>
      <w:r>
        <w:rPr>
          <w:rFonts w:ascii="Times New Roman" w:hAnsi="Times New Roman" w:cs="Times New Roman"/>
          <w:sz w:val="21"/>
        </w:rPr>
        <w:t>——蓄水工程蒸发、渗漏损失系数，取0.05～0.1；</w:t>
      </w:r>
    </w:p>
    <w:p w14:paraId="6D14F4E0">
      <w:pPr>
        <w:spacing w:line="360" w:lineRule="auto"/>
        <w:ind w:firstLine="1120" w:firstLineChars="400"/>
        <w:rPr>
          <w:rFonts w:ascii="Times New Roman" w:hAnsi="Times New Roman" w:cs="Times New Roman"/>
          <w:sz w:val="21"/>
        </w:rPr>
      </w:pPr>
      <m:oMath>
        <m:r>
          <m:rPr>
            <m:nor/>
          </m:rPr>
          <w:rPr>
            <w:rFonts w:ascii="Times New Roman" w:hAnsi="Times New Roman" w:cs="Times New Roman"/>
            <w:i/>
          </w:rPr>
          <m:t>K</m:t>
        </m:r>
      </m:oMath>
      <w:r>
        <w:rPr>
          <w:rFonts w:ascii="Times New Roman" w:hAnsi="Times New Roman" w:cs="Times New Roman"/>
          <w:sz w:val="21"/>
        </w:rPr>
        <w:t>——容积系数，半干旱地区取0.6～0.9，湿润半湿润地区取0.25～0.4。</w:t>
      </w:r>
    </w:p>
    <w:p w14:paraId="55F6A95C">
      <w:pPr>
        <w:spacing w:line="360" w:lineRule="auto"/>
        <w:ind w:firstLine="422" w:firstLineChars="200"/>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蓄水设施应进行防渗处理；构筑物设计应参照《雨水集蓄利用工程技术规范》GB/T 50596执行。</w:t>
      </w:r>
    </w:p>
    <w:p w14:paraId="1EEF0E73">
      <w:pPr>
        <w:keepNext/>
        <w:keepLines/>
        <w:spacing w:before="260" w:after="260" w:line="415"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Ⅲ </w:t>
      </w:r>
      <w:r>
        <w:rPr>
          <w:rFonts w:ascii="Times New Roman" w:hAnsi="Times New Roman" w:eastAsia="黑体" w:cs="Times New Roman"/>
          <w:bCs/>
          <w:sz w:val="24"/>
          <w:szCs w:val="24"/>
        </w:rPr>
        <w:t>雨水收集回用及入渗工程</w:t>
      </w:r>
    </w:p>
    <w:p w14:paraId="7ECEB2FC">
      <w:pPr>
        <w:spacing w:line="360" w:lineRule="auto"/>
        <w:rPr>
          <w:rFonts w:ascii="Times New Roman" w:hAnsi="Times New Roman" w:cs="Times New Roman"/>
          <w:sz w:val="21"/>
        </w:rPr>
      </w:pPr>
      <w:r>
        <w:rPr>
          <w:rFonts w:ascii="Times New Roman" w:hAnsi="Times New Roman" w:cs="Times New Roman"/>
          <w:b/>
          <w:sz w:val="21"/>
        </w:rPr>
        <w:t>5.7.</w:t>
      </w:r>
      <w:r>
        <w:rPr>
          <w:rFonts w:hint="eastAsia" w:ascii="Times New Roman" w:hAnsi="Times New Roman" w:cs="Times New Roman"/>
          <w:b/>
          <w:sz w:val="21"/>
        </w:rPr>
        <w:t>11</w:t>
      </w:r>
      <w:r>
        <w:rPr>
          <w:rFonts w:ascii="Times New Roman" w:hAnsi="Times New Roman" w:cs="Times New Roman"/>
          <w:b/>
          <w:sz w:val="21"/>
        </w:rPr>
        <w:t xml:space="preserve"> </w:t>
      </w:r>
      <w:r>
        <w:rPr>
          <w:rFonts w:ascii="Times New Roman" w:hAnsi="Times New Roman" w:cs="Times New Roman"/>
          <w:sz w:val="21"/>
        </w:rPr>
        <w:t xml:space="preserve"> 雨水收集回用系统包括雨水收集、存储和回用水管网等设施，其设计应参考《建筑与小区雨水控制及利用工程技术规范》GB</w:t>
      </w:r>
      <w:r>
        <w:rPr>
          <w:rFonts w:hint="eastAsia" w:ascii="Times New Roman" w:hAnsi="Times New Roman" w:cs="Times New Roman"/>
          <w:sz w:val="21"/>
        </w:rPr>
        <w:t xml:space="preserve"> </w:t>
      </w:r>
      <w:r>
        <w:rPr>
          <w:rFonts w:ascii="Times New Roman" w:hAnsi="Times New Roman" w:cs="Times New Roman"/>
          <w:sz w:val="21"/>
        </w:rPr>
        <w:t>50400。</w:t>
      </w:r>
    </w:p>
    <w:p w14:paraId="1BE0143C">
      <w:pPr>
        <w:pBdr>
          <w:top w:val="none" w:color="000000" w:sz="0" w:space="0"/>
          <w:left w:val="none" w:color="000000" w:sz="0" w:space="1"/>
          <w:bottom w:val="none" w:color="000000" w:sz="0" w:space="0"/>
          <w:right w:val="none" w:color="000000" w:sz="0" w:space="0"/>
        </w:pBdr>
        <w:autoSpaceDE w:val="0"/>
        <w:autoSpaceDN w:val="0"/>
        <w:adjustRightInd w:val="0"/>
        <w:spacing w:line="360" w:lineRule="auto"/>
        <w:rPr>
          <w:rFonts w:ascii="Times New Roman" w:hAnsi="Times New Roman" w:cs="Times New Roman"/>
          <w:sz w:val="21"/>
        </w:rPr>
      </w:pPr>
      <w:r>
        <w:rPr>
          <w:rFonts w:ascii="Times New Roman" w:hAnsi="Times New Roman" w:cs="Times New Roman"/>
          <w:b/>
          <w:sz w:val="21"/>
        </w:rPr>
        <w:t>5.7.1</w:t>
      </w:r>
      <w:r>
        <w:rPr>
          <w:rFonts w:hint="eastAsia" w:ascii="Times New Roman" w:hAnsi="Times New Roman" w:cs="Times New Roman"/>
          <w:b/>
          <w:sz w:val="21"/>
        </w:rPr>
        <w:t>2</w:t>
      </w:r>
      <w:r>
        <w:rPr>
          <w:rFonts w:ascii="Times New Roman" w:hAnsi="Times New Roman" w:cs="Times New Roman"/>
          <w:sz w:val="21"/>
        </w:rPr>
        <w:t xml:space="preserve">  雨水入渗工程可采用绿地入渗、透水铺装地面入渗、浅沟入渗、洼地入渗、渗渠入渗、渗透管沟、入渗井、入渗池等及其组合型式。应优先选用绿地、透水铺装地面等地面入渗方式。其设计应参考《建筑与小区雨水控制及利用工程技术规范》GB</w:t>
      </w:r>
      <w:r>
        <w:rPr>
          <w:rFonts w:hint="eastAsia" w:ascii="Times New Roman" w:hAnsi="Times New Roman" w:cs="Times New Roman"/>
          <w:sz w:val="21"/>
        </w:rPr>
        <w:t xml:space="preserve"> </w:t>
      </w:r>
      <w:r>
        <w:rPr>
          <w:rFonts w:ascii="Times New Roman" w:hAnsi="Times New Roman" w:cs="Times New Roman"/>
          <w:sz w:val="21"/>
        </w:rPr>
        <w:t>50400。</w:t>
      </w:r>
    </w:p>
    <w:p w14:paraId="3041E836">
      <w:pPr>
        <w:keepNext/>
        <w:keepLines/>
        <w:spacing w:before="260" w:after="260" w:line="416" w:lineRule="auto"/>
        <w:jc w:val="center"/>
        <w:outlineLvl w:val="1"/>
        <w:rPr>
          <w:rFonts w:ascii="Times New Roman" w:hAnsi="Times New Roman" w:eastAsia="黑体" w:cs="Times New Roman"/>
          <w:bCs/>
          <w:sz w:val="30"/>
          <w:szCs w:val="32"/>
        </w:rPr>
      </w:pPr>
      <w:bookmarkStart w:id="548" w:name="_Toc18548"/>
      <w:bookmarkStart w:id="549" w:name="_Toc24489"/>
      <w:r>
        <w:rPr>
          <w:rFonts w:ascii="Times New Roman" w:hAnsi="Times New Roman" w:eastAsia="黑体" w:cs="Times New Roman"/>
          <w:bCs/>
          <w:sz w:val="30"/>
          <w:szCs w:val="32"/>
        </w:rPr>
        <w:t>5</w:t>
      </w:r>
      <w:r>
        <w:rPr>
          <w:rFonts w:ascii="Times New Roman" w:hAnsi="Times New Roman" w:cs="Times New Roman"/>
          <w:bCs/>
          <w:sz w:val="30"/>
          <w:szCs w:val="32"/>
        </w:rPr>
        <w:t>.</w:t>
      </w:r>
      <w:r>
        <w:rPr>
          <w:rFonts w:ascii="Times New Roman" w:hAnsi="Times New Roman" w:eastAsia="黑体" w:cs="Times New Roman"/>
          <w:bCs/>
          <w:sz w:val="30"/>
          <w:szCs w:val="32"/>
        </w:rPr>
        <w:t>8 土地整治工程</w:t>
      </w:r>
      <w:bookmarkEnd w:id="548"/>
      <w:bookmarkEnd w:id="549"/>
    </w:p>
    <w:p w14:paraId="2003F3BE">
      <w:pPr>
        <w:keepNext/>
        <w:keepLines/>
        <w:spacing w:before="260" w:after="260" w:line="415"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Ⅰ </w:t>
      </w:r>
      <w:r>
        <w:rPr>
          <w:rFonts w:ascii="Times New Roman" w:hAnsi="Times New Roman" w:eastAsia="黑体" w:cs="Times New Roman"/>
          <w:bCs/>
          <w:sz w:val="24"/>
          <w:szCs w:val="24"/>
        </w:rPr>
        <w:t>一般规定</w:t>
      </w:r>
    </w:p>
    <w:p w14:paraId="4B859DEA">
      <w:pPr>
        <w:spacing w:line="360" w:lineRule="auto"/>
        <w:rPr>
          <w:rFonts w:ascii="Times New Roman" w:hAnsi="Times New Roman" w:cs="Times New Roman"/>
          <w:sz w:val="21"/>
          <w:szCs w:val="21"/>
        </w:rPr>
      </w:pPr>
      <w:r>
        <w:rPr>
          <w:rFonts w:ascii="Times New Roman" w:hAnsi="Times New Roman" w:cs="Times New Roman"/>
          <w:b/>
          <w:sz w:val="21"/>
          <w:szCs w:val="21"/>
        </w:rPr>
        <w:t xml:space="preserve">5.8.1  </w:t>
      </w:r>
      <w:r>
        <w:rPr>
          <w:rFonts w:ascii="Times New Roman" w:hAnsi="Times New Roman" w:cs="Times New Roman"/>
          <w:sz w:val="21"/>
          <w:szCs w:val="21"/>
        </w:rPr>
        <w:t>土地整治范围应为工程征占地范围内需要复耕或恢复植被的扰动及裸露土地。</w:t>
      </w:r>
    </w:p>
    <w:p w14:paraId="4957798C">
      <w:pPr>
        <w:spacing w:line="360" w:lineRule="auto"/>
        <w:rPr>
          <w:rFonts w:ascii="Times New Roman" w:hAnsi="Times New Roman" w:cs="Times New Roman"/>
          <w:sz w:val="21"/>
          <w:szCs w:val="21"/>
        </w:rPr>
      </w:pPr>
      <w:r>
        <w:rPr>
          <w:rFonts w:ascii="Times New Roman" w:hAnsi="Times New Roman" w:cs="Times New Roman"/>
          <w:b/>
          <w:sz w:val="21"/>
          <w:szCs w:val="21"/>
        </w:rPr>
        <w:t xml:space="preserve">5.8.2  </w:t>
      </w:r>
      <w:r>
        <w:rPr>
          <w:rFonts w:ascii="Times New Roman" w:hAnsi="Times New Roman" w:cs="Times New Roman"/>
          <w:sz w:val="21"/>
          <w:szCs w:val="21"/>
        </w:rPr>
        <w:t>土地整治内容应根据工程扰动、占压的具体情况以及土地恢复利用方向等选择确定，主要包括土地平整及翻松、</w:t>
      </w:r>
      <w:r>
        <w:rPr>
          <w:rFonts w:ascii="Times New Roman" w:hAnsi="Times New Roman" w:cs="Times New Roman"/>
          <w:sz w:val="21"/>
          <w:szCs w:val="24"/>
        </w:rPr>
        <w:t>表土回覆</w:t>
      </w:r>
      <w:r>
        <w:rPr>
          <w:rFonts w:ascii="Times New Roman" w:hAnsi="Times New Roman" w:cs="Times New Roman"/>
          <w:sz w:val="21"/>
          <w:szCs w:val="21"/>
        </w:rPr>
        <w:t>、田面平整和犁耕、土地改良，以及必要的水系及水利配套设施恢复。涉及地面硬化层的，应于拆除硬化层后再进行土地整治。</w:t>
      </w:r>
    </w:p>
    <w:p w14:paraId="6DC4BA89">
      <w:pPr>
        <w:spacing w:line="360" w:lineRule="auto"/>
        <w:rPr>
          <w:rFonts w:ascii="Times New Roman" w:hAnsi="Times New Roman" w:cs="Times New Roman"/>
          <w:sz w:val="21"/>
          <w:szCs w:val="21"/>
        </w:rPr>
      </w:pPr>
      <w:r>
        <w:rPr>
          <w:rFonts w:ascii="Times New Roman" w:hAnsi="Times New Roman" w:cs="Times New Roman"/>
          <w:b/>
          <w:sz w:val="21"/>
          <w:szCs w:val="21"/>
        </w:rPr>
        <w:t>5.8.3</w:t>
      </w:r>
      <w:r>
        <w:rPr>
          <w:rFonts w:ascii="Times New Roman" w:hAnsi="Times New Roman" w:cs="Times New Roman"/>
          <w:sz w:val="21"/>
          <w:szCs w:val="21"/>
        </w:rPr>
        <w:t xml:space="preserve">  表土回覆所需土来源应优先选择工程自身剥离的表土。</w:t>
      </w:r>
    </w:p>
    <w:p w14:paraId="56EC93C1">
      <w:pPr>
        <w:keepNext/>
        <w:keepLines/>
        <w:spacing w:before="260" w:after="260" w:line="415"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Ⅱ </w:t>
      </w:r>
      <w:r>
        <w:rPr>
          <w:rFonts w:ascii="Times New Roman" w:hAnsi="Times New Roman" w:eastAsia="黑体" w:cs="Times New Roman"/>
          <w:bCs/>
          <w:sz w:val="24"/>
          <w:szCs w:val="24"/>
        </w:rPr>
        <w:t>设计要求</w:t>
      </w:r>
    </w:p>
    <w:p w14:paraId="18B46215">
      <w:pPr>
        <w:spacing w:line="360" w:lineRule="auto"/>
        <w:rPr>
          <w:rFonts w:ascii="Times New Roman" w:hAnsi="Times New Roman" w:cs="Times New Roman"/>
          <w:sz w:val="21"/>
          <w:szCs w:val="24"/>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8</w:t>
      </w:r>
      <w:r>
        <w:rPr>
          <w:rFonts w:ascii="Times New Roman" w:hAnsi="Times New Roman" w:cs="Times New Roman"/>
          <w:b/>
          <w:sz w:val="21"/>
          <w:szCs w:val="24"/>
        </w:rPr>
        <w:t>.</w:t>
      </w:r>
      <w:r>
        <w:rPr>
          <w:rFonts w:ascii="Times New Roman" w:hAnsi="Times New Roman" w:eastAsia="黑体" w:cs="Times New Roman"/>
          <w:b/>
          <w:sz w:val="21"/>
          <w:szCs w:val="24"/>
        </w:rPr>
        <w:t xml:space="preserve">4 </w:t>
      </w:r>
      <w:r>
        <w:rPr>
          <w:rFonts w:ascii="Times New Roman" w:hAnsi="Times New Roman" w:cs="Times New Roman"/>
          <w:sz w:val="21"/>
          <w:szCs w:val="24"/>
        </w:rPr>
        <w:t xml:space="preserve"> 扰动占压土地平整及翻松应符合下列规定：</w:t>
      </w:r>
    </w:p>
    <w:p w14:paraId="4E570BA9">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1</w:t>
      </w:r>
      <w:r>
        <w:rPr>
          <w:rFonts w:ascii="Times New Roman" w:hAnsi="Times New Roman" w:cs="Times New Roman"/>
          <w:sz w:val="21"/>
          <w:szCs w:val="21"/>
        </w:rPr>
        <w:t xml:space="preserve">  扰动后凹凸不平的地面应削凸填凹，进行粗平整。</w:t>
      </w:r>
    </w:p>
    <w:p w14:paraId="6C485D37">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cs="Times New Roman"/>
          <w:sz w:val="21"/>
          <w:szCs w:val="21"/>
        </w:rPr>
        <w:t xml:space="preserve">  扰动后地面相对平整或粗平整后的土地，压实度较高的应予以翻松。</w:t>
      </w:r>
    </w:p>
    <w:p w14:paraId="16C8AE2B">
      <w:pPr>
        <w:spacing w:line="360" w:lineRule="auto"/>
        <w:rPr>
          <w:rFonts w:ascii="Times New Roman" w:hAnsi="Times New Roman" w:cs="Times New Roman"/>
          <w:sz w:val="21"/>
          <w:szCs w:val="24"/>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8</w:t>
      </w:r>
      <w:r>
        <w:rPr>
          <w:rFonts w:ascii="Times New Roman" w:hAnsi="Times New Roman" w:cs="Times New Roman"/>
          <w:b/>
          <w:sz w:val="21"/>
          <w:szCs w:val="24"/>
        </w:rPr>
        <w:t>.</w:t>
      </w:r>
      <w:r>
        <w:rPr>
          <w:rFonts w:ascii="Times New Roman" w:hAnsi="Times New Roman" w:eastAsia="黑体" w:cs="Times New Roman"/>
          <w:b/>
          <w:sz w:val="21"/>
          <w:szCs w:val="24"/>
        </w:rPr>
        <w:t>5</w:t>
      </w:r>
      <w:r>
        <w:rPr>
          <w:rFonts w:ascii="Times New Roman" w:hAnsi="Times New Roman" w:cs="Times New Roman"/>
          <w:b/>
          <w:sz w:val="21"/>
          <w:szCs w:val="24"/>
        </w:rPr>
        <w:t xml:space="preserve"> </w:t>
      </w:r>
      <w:r>
        <w:rPr>
          <w:rFonts w:ascii="Times New Roman" w:hAnsi="Times New Roman" w:cs="Times New Roman"/>
          <w:sz w:val="21"/>
          <w:szCs w:val="24"/>
        </w:rPr>
        <w:t xml:space="preserve"> 表土回覆应符合下列规定：</w:t>
      </w:r>
    </w:p>
    <w:p w14:paraId="39931558">
      <w:pPr>
        <w:spacing w:line="360" w:lineRule="auto"/>
        <w:ind w:firstLine="422" w:firstLineChars="200"/>
        <w:rPr>
          <w:rFonts w:ascii="Times New Roman" w:hAnsi="Times New Roman" w:cs="Times New Roman"/>
          <w:sz w:val="21"/>
          <w:szCs w:val="24"/>
        </w:rPr>
      </w:pPr>
      <w:r>
        <w:rPr>
          <w:rFonts w:ascii="Times New Roman" w:hAnsi="Times New Roman" w:cs="Times New Roman"/>
          <w:b/>
          <w:sz w:val="21"/>
          <w:szCs w:val="24"/>
        </w:rPr>
        <w:t xml:space="preserve">1 </w:t>
      </w:r>
      <w:r>
        <w:rPr>
          <w:rFonts w:ascii="Times New Roman" w:hAnsi="Times New Roman" w:cs="Times New Roman"/>
          <w:sz w:val="21"/>
          <w:szCs w:val="24"/>
        </w:rPr>
        <w:t xml:space="preserve"> 最小覆土厚度应根据土地恢复利用方向参考表5.8.5-1确定。生态景观绿化工程采用全面整地的，表土厚度应能覆盖苗木土球和根系，且不应小于表5.8.5-2的规定。</w:t>
      </w:r>
    </w:p>
    <w:p w14:paraId="34E7CC67">
      <w:pPr>
        <w:jc w:val="center"/>
        <w:rPr>
          <w:rFonts w:ascii="Times New Roman" w:hAnsi="Times New Roman" w:eastAsia="黑体" w:cs="Times New Roman"/>
          <w:sz w:val="18"/>
          <w:szCs w:val="18"/>
          <w:u w:val="single"/>
        </w:rPr>
      </w:pPr>
      <w:r>
        <w:rPr>
          <w:rFonts w:ascii="Times New Roman" w:hAnsi="Times New Roman" w:eastAsia="黑体" w:cs="Times New Roman"/>
          <w:sz w:val="18"/>
          <w:szCs w:val="18"/>
        </w:rPr>
        <w:t>表5</w:t>
      </w:r>
      <w:r>
        <w:rPr>
          <w:rFonts w:ascii="Times New Roman" w:hAnsi="Times New Roman" w:cs="Times New Roman"/>
          <w:sz w:val="18"/>
          <w:szCs w:val="18"/>
        </w:rPr>
        <w:t>.</w:t>
      </w:r>
      <w:r>
        <w:rPr>
          <w:rFonts w:ascii="Times New Roman" w:hAnsi="Times New Roman" w:eastAsia="黑体" w:cs="Times New Roman"/>
          <w:sz w:val="18"/>
          <w:szCs w:val="18"/>
        </w:rPr>
        <w:t>8</w:t>
      </w:r>
      <w:r>
        <w:rPr>
          <w:rFonts w:ascii="Times New Roman" w:hAnsi="Times New Roman" w:cs="Times New Roman"/>
          <w:sz w:val="18"/>
          <w:szCs w:val="18"/>
        </w:rPr>
        <w:t>.</w:t>
      </w:r>
      <w:r>
        <w:rPr>
          <w:rFonts w:ascii="Times New Roman" w:hAnsi="Times New Roman" w:eastAsia="黑体" w:cs="Times New Roman"/>
          <w:sz w:val="18"/>
          <w:szCs w:val="18"/>
        </w:rPr>
        <w:t>5-1  表土回覆分区最小覆土厚度</w:t>
      </w:r>
    </w:p>
    <w:tbl>
      <w:tblPr>
        <w:tblStyle w:val="10"/>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03"/>
        <w:gridCol w:w="1356"/>
        <w:gridCol w:w="1357"/>
        <w:gridCol w:w="1356"/>
        <w:gridCol w:w="1902"/>
      </w:tblGrid>
      <w:tr w14:paraId="34F3BD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1392" w:type="pct"/>
            <w:vMerge w:val="restart"/>
            <w:vAlign w:val="center"/>
          </w:tcPr>
          <w:p w14:paraId="5FC0A2D2">
            <w:pPr>
              <w:jc w:val="center"/>
              <w:rPr>
                <w:rFonts w:ascii="Times New Roman" w:hAnsi="Times New Roman" w:cs="Times New Roman"/>
                <w:kern w:val="0"/>
                <w:sz w:val="15"/>
                <w:szCs w:val="15"/>
              </w:rPr>
            </w:pPr>
            <w:r>
              <w:rPr>
                <w:rFonts w:hint="eastAsia" w:ascii="Times New Roman" w:hAnsi="Times New Roman" w:cs="Times New Roman"/>
                <w:kern w:val="0"/>
                <w:sz w:val="15"/>
                <w:szCs w:val="15"/>
              </w:rPr>
              <w:t>分区</w:t>
            </w:r>
          </w:p>
        </w:tc>
        <w:tc>
          <w:tcPr>
            <w:tcW w:w="3607" w:type="pct"/>
            <w:gridSpan w:val="4"/>
            <w:vAlign w:val="center"/>
          </w:tcPr>
          <w:p w14:paraId="7CF7FD52">
            <w:pPr>
              <w:jc w:val="center"/>
              <w:rPr>
                <w:rFonts w:ascii="Times New Roman" w:hAnsi="Times New Roman" w:cs="Times New Roman"/>
                <w:kern w:val="0"/>
                <w:sz w:val="15"/>
                <w:szCs w:val="15"/>
              </w:rPr>
            </w:pPr>
            <w:r>
              <w:rPr>
                <w:rFonts w:hint="eastAsia" w:ascii="Times New Roman" w:hAnsi="Times New Roman" w:cs="Times New Roman"/>
                <w:kern w:val="0"/>
                <w:sz w:val="15"/>
                <w:szCs w:val="15"/>
              </w:rPr>
              <w:t>最小覆土厚度（</w:t>
            </w:r>
            <w:r>
              <w:rPr>
                <w:rFonts w:ascii="Times New Roman" w:hAnsi="Times New Roman" w:cs="Times New Roman"/>
                <w:kern w:val="0"/>
                <w:sz w:val="15"/>
                <w:szCs w:val="15"/>
              </w:rPr>
              <w:t>m</w:t>
            </w:r>
            <w:r>
              <w:rPr>
                <w:rFonts w:hint="eastAsia" w:ascii="Times New Roman" w:hAnsi="Times New Roman" w:cs="Times New Roman"/>
                <w:kern w:val="0"/>
                <w:sz w:val="15"/>
                <w:szCs w:val="15"/>
              </w:rPr>
              <w:t>）</w:t>
            </w:r>
          </w:p>
        </w:tc>
      </w:tr>
      <w:tr w14:paraId="65965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392" w:type="pct"/>
            <w:vMerge w:val="continue"/>
            <w:vAlign w:val="center"/>
          </w:tcPr>
          <w:p w14:paraId="3B3FB084">
            <w:pPr>
              <w:jc w:val="center"/>
              <w:rPr>
                <w:rFonts w:ascii="Times New Roman" w:hAnsi="Times New Roman" w:cs="Times New Roman"/>
                <w:kern w:val="0"/>
                <w:sz w:val="15"/>
                <w:szCs w:val="15"/>
              </w:rPr>
            </w:pPr>
          </w:p>
        </w:tc>
        <w:tc>
          <w:tcPr>
            <w:tcW w:w="819" w:type="pct"/>
            <w:vAlign w:val="center"/>
          </w:tcPr>
          <w:p w14:paraId="7EA705C2">
            <w:pPr>
              <w:jc w:val="center"/>
              <w:rPr>
                <w:rFonts w:ascii="Times New Roman" w:hAnsi="Times New Roman" w:cs="Times New Roman"/>
                <w:kern w:val="0"/>
                <w:sz w:val="15"/>
                <w:szCs w:val="15"/>
              </w:rPr>
            </w:pPr>
            <w:r>
              <w:rPr>
                <w:rFonts w:hint="eastAsia" w:ascii="Times New Roman" w:hAnsi="Times New Roman" w:cs="Times New Roman"/>
                <w:kern w:val="0"/>
                <w:sz w:val="15"/>
                <w:szCs w:val="15"/>
              </w:rPr>
              <w:t>耕地</w:t>
            </w:r>
          </w:p>
        </w:tc>
        <w:tc>
          <w:tcPr>
            <w:tcW w:w="820" w:type="pct"/>
            <w:vAlign w:val="center"/>
          </w:tcPr>
          <w:p w14:paraId="58783DC0">
            <w:pPr>
              <w:jc w:val="center"/>
              <w:rPr>
                <w:rFonts w:ascii="Times New Roman" w:hAnsi="Times New Roman" w:cs="Times New Roman"/>
                <w:kern w:val="0"/>
                <w:sz w:val="15"/>
                <w:szCs w:val="15"/>
              </w:rPr>
            </w:pPr>
            <w:r>
              <w:rPr>
                <w:rFonts w:hint="eastAsia" w:ascii="Times New Roman" w:hAnsi="Times New Roman" w:cs="Times New Roman"/>
                <w:kern w:val="0"/>
                <w:sz w:val="15"/>
                <w:szCs w:val="15"/>
              </w:rPr>
              <w:t>园地</w:t>
            </w:r>
          </w:p>
        </w:tc>
        <w:tc>
          <w:tcPr>
            <w:tcW w:w="819" w:type="pct"/>
            <w:vAlign w:val="center"/>
          </w:tcPr>
          <w:p w14:paraId="17183E3A">
            <w:pPr>
              <w:jc w:val="center"/>
              <w:rPr>
                <w:rFonts w:ascii="Times New Roman" w:hAnsi="Times New Roman" w:cs="Times New Roman"/>
                <w:kern w:val="0"/>
                <w:sz w:val="15"/>
                <w:szCs w:val="15"/>
              </w:rPr>
            </w:pPr>
            <w:r>
              <w:rPr>
                <w:rFonts w:hint="eastAsia" w:ascii="Times New Roman" w:hAnsi="Times New Roman" w:cs="Times New Roman"/>
                <w:kern w:val="0"/>
                <w:sz w:val="15"/>
                <w:szCs w:val="15"/>
              </w:rPr>
              <w:t>林地</w:t>
            </w:r>
          </w:p>
        </w:tc>
        <w:tc>
          <w:tcPr>
            <w:tcW w:w="1148" w:type="pct"/>
            <w:vAlign w:val="center"/>
          </w:tcPr>
          <w:p w14:paraId="0D69F8C2">
            <w:pPr>
              <w:jc w:val="center"/>
              <w:rPr>
                <w:rFonts w:ascii="Times New Roman" w:hAnsi="Times New Roman" w:cs="Times New Roman"/>
                <w:kern w:val="0"/>
                <w:sz w:val="15"/>
                <w:szCs w:val="15"/>
              </w:rPr>
            </w:pPr>
            <w:r>
              <w:rPr>
                <w:rFonts w:hint="eastAsia" w:ascii="Times New Roman" w:hAnsi="Times New Roman" w:cs="Times New Roman"/>
                <w:kern w:val="0"/>
                <w:sz w:val="15"/>
                <w:szCs w:val="15"/>
              </w:rPr>
              <w:t>草地（不含草坪）</w:t>
            </w:r>
          </w:p>
        </w:tc>
      </w:tr>
      <w:tr w14:paraId="15AF2B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392" w:type="pct"/>
            <w:vAlign w:val="center"/>
          </w:tcPr>
          <w:p w14:paraId="2B799FF9">
            <w:pPr>
              <w:jc w:val="center"/>
              <w:rPr>
                <w:rFonts w:ascii="Times New Roman" w:hAnsi="Times New Roman" w:cs="Times New Roman"/>
                <w:kern w:val="0"/>
                <w:sz w:val="15"/>
                <w:szCs w:val="15"/>
              </w:rPr>
            </w:pPr>
            <w:r>
              <w:rPr>
                <w:rFonts w:hint="eastAsia" w:ascii="Times New Roman" w:hAnsi="Times New Roman" w:cs="Times New Roman"/>
                <w:kern w:val="0"/>
                <w:sz w:val="15"/>
                <w:szCs w:val="15"/>
              </w:rPr>
              <w:t>东北黑土区</w:t>
            </w:r>
          </w:p>
        </w:tc>
        <w:tc>
          <w:tcPr>
            <w:tcW w:w="819" w:type="pct"/>
            <w:vAlign w:val="center"/>
          </w:tcPr>
          <w:p w14:paraId="7D06CC56">
            <w:pPr>
              <w:jc w:val="center"/>
              <w:rPr>
                <w:rFonts w:ascii="Times New Roman" w:hAnsi="Times New Roman" w:cs="Times New Roman"/>
                <w:kern w:val="0"/>
                <w:sz w:val="15"/>
                <w:szCs w:val="15"/>
              </w:rPr>
            </w:pPr>
            <w:r>
              <w:rPr>
                <w:rFonts w:ascii="Times New Roman" w:hAnsi="Times New Roman" w:cs="Times New Roman"/>
                <w:kern w:val="0"/>
                <w:sz w:val="15"/>
                <w:szCs w:val="15"/>
              </w:rPr>
              <w:t>0.5</w:t>
            </w:r>
          </w:p>
        </w:tc>
        <w:tc>
          <w:tcPr>
            <w:tcW w:w="820" w:type="pct"/>
            <w:vAlign w:val="center"/>
          </w:tcPr>
          <w:p w14:paraId="40CCB962">
            <w:pPr>
              <w:jc w:val="center"/>
              <w:rPr>
                <w:rFonts w:ascii="Times New Roman" w:hAnsi="Times New Roman" w:cs="Times New Roman"/>
                <w:kern w:val="0"/>
                <w:sz w:val="15"/>
                <w:szCs w:val="15"/>
              </w:rPr>
            </w:pPr>
            <w:r>
              <w:rPr>
                <w:rFonts w:ascii="Times New Roman" w:hAnsi="Times New Roman" w:cs="Times New Roman"/>
                <w:kern w:val="0"/>
                <w:sz w:val="15"/>
                <w:szCs w:val="15"/>
              </w:rPr>
              <w:t>0.4</w:t>
            </w:r>
          </w:p>
        </w:tc>
        <w:tc>
          <w:tcPr>
            <w:tcW w:w="819" w:type="pct"/>
            <w:vAlign w:val="center"/>
          </w:tcPr>
          <w:p w14:paraId="43DBA647">
            <w:pPr>
              <w:jc w:val="center"/>
              <w:rPr>
                <w:rFonts w:ascii="Times New Roman" w:hAnsi="Times New Roman" w:cs="Times New Roman"/>
                <w:kern w:val="0"/>
                <w:sz w:val="15"/>
                <w:szCs w:val="15"/>
              </w:rPr>
            </w:pPr>
            <w:r>
              <w:rPr>
                <w:rFonts w:ascii="Times New Roman" w:hAnsi="Times New Roman" w:cs="Times New Roman"/>
                <w:kern w:val="0"/>
                <w:sz w:val="15"/>
                <w:szCs w:val="15"/>
              </w:rPr>
              <w:t>0.3</w:t>
            </w:r>
          </w:p>
        </w:tc>
        <w:tc>
          <w:tcPr>
            <w:tcW w:w="1148" w:type="pct"/>
            <w:vAlign w:val="center"/>
          </w:tcPr>
          <w:p w14:paraId="3EA73AAD">
            <w:pPr>
              <w:jc w:val="center"/>
              <w:rPr>
                <w:rFonts w:ascii="Times New Roman" w:hAnsi="Times New Roman" w:cs="Times New Roman"/>
                <w:kern w:val="0"/>
                <w:sz w:val="15"/>
                <w:szCs w:val="15"/>
              </w:rPr>
            </w:pPr>
            <w:r>
              <w:rPr>
                <w:rFonts w:ascii="Times New Roman" w:hAnsi="Times New Roman" w:cs="Times New Roman"/>
                <w:kern w:val="0"/>
                <w:sz w:val="15"/>
                <w:szCs w:val="15"/>
              </w:rPr>
              <w:t>0.3</w:t>
            </w:r>
          </w:p>
        </w:tc>
      </w:tr>
      <w:tr w14:paraId="060606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392" w:type="pct"/>
            <w:vAlign w:val="center"/>
          </w:tcPr>
          <w:p w14:paraId="098CB4DC">
            <w:pPr>
              <w:jc w:val="center"/>
              <w:rPr>
                <w:rFonts w:ascii="Times New Roman" w:hAnsi="Times New Roman" w:cs="Times New Roman"/>
                <w:kern w:val="0"/>
                <w:sz w:val="15"/>
                <w:szCs w:val="15"/>
              </w:rPr>
            </w:pPr>
            <w:r>
              <w:rPr>
                <w:rFonts w:hint="eastAsia" w:ascii="Times New Roman" w:hAnsi="Times New Roman" w:cs="Times New Roman"/>
                <w:kern w:val="0"/>
                <w:sz w:val="15"/>
                <w:szCs w:val="15"/>
              </w:rPr>
              <w:t>北方风沙区</w:t>
            </w:r>
          </w:p>
        </w:tc>
        <w:tc>
          <w:tcPr>
            <w:tcW w:w="819" w:type="pct"/>
            <w:vAlign w:val="center"/>
          </w:tcPr>
          <w:p w14:paraId="4BBE7C96">
            <w:pPr>
              <w:jc w:val="center"/>
              <w:rPr>
                <w:rFonts w:ascii="Times New Roman" w:hAnsi="Times New Roman" w:cs="Times New Roman"/>
                <w:kern w:val="0"/>
                <w:sz w:val="15"/>
                <w:szCs w:val="15"/>
              </w:rPr>
            </w:pPr>
            <w:r>
              <w:rPr>
                <w:rFonts w:ascii="Times New Roman" w:hAnsi="Times New Roman" w:cs="Times New Roman"/>
                <w:kern w:val="0"/>
                <w:sz w:val="15"/>
                <w:szCs w:val="15"/>
              </w:rPr>
              <w:t>0.</w:t>
            </w:r>
            <w:r>
              <w:rPr>
                <w:rFonts w:hint="eastAsia" w:ascii="Times New Roman" w:hAnsi="Times New Roman" w:cs="Times New Roman"/>
                <w:kern w:val="0"/>
                <w:sz w:val="15"/>
                <w:szCs w:val="15"/>
              </w:rPr>
              <w:t>3</w:t>
            </w:r>
          </w:p>
        </w:tc>
        <w:tc>
          <w:tcPr>
            <w:tcW w:w="820" w:type="pct"/>
            <w:vAlign w:val="center"/>
          </w:tcPr>
          <w:p w14:paraId="755B42C5">
            <w:pPr>
              <w:jc w:val="center"/>
              <w:rPr>
                <w:rFonts w:ascii="Times New Roman" w:hAnsi="Times New Roman" w:cs="Times New Roman"/>
                <w:kern w:val="0"/>
                <w:sz w:val="15"/>
                <w:szCs w:val="15"/>
              </w:rPr>
            </w:pPr>
            <w:r>
              <w:rPr>
                <w:rFonts w:ascii="Times New Roman" w:hAnsi="Times New Roman" w:cs="Times New Roman"/>
                <w:kern w:val="0"/>
                <w:sz w:val="15"/>
                <w:szCs w:val="15"/>
              </w:rPr>
              <w:t>0.</w:t>
            </w:r>
            <w:r>
              <w:rPr>
                <w:rFonts w:hint="eastAsia" w:ascii="Times New Roman" w:hAnsi="Times New Roman" w:cs="Times New Roman"/>
                <w:kern w:val="0"/>
                <w:sz w:val="15"/>
                <w:szCs w:val="15"/>
              </w:rPr>
              <w:t>3</w:t>
            </w:r>
          </w:p>
        </w:tc>
        <w:tc>
          <w:tcPr>
            <w:tcW w:w="819" w:type="pct"/>
            <w:vAlign w:val="center"/>
          </w:tcPr>
          <w:p w14:paraId="1F92AB95">
            <w:pPr>
              <w:jc w:val="center"/>
              <w:rPr>
                <w:rFonts w:ascii="Times New Roman" w:hAnsi="Times New Roman" w:cs="Times New Roman"/>
                <w:kern w:val="0"/>
                <w:sz w:val="15"/>
                <w:szCs w:val="15"/>
              </w:rPr>
            </w:pPr>
            <w:r>
              <w:rPr>
                <w:rFonts w:ascii="Times New Roman" w:hAnsi="Times New Roman" w:cs="Times New Roman"/>
                <w:kern w:val="0"/>
                <w:sz w:val="15"/>
                <w:szCs w:val="15"/>
              </w:rPr>
              <w:t>0.</w:t>
            </w:r>
            <w:r>
              <w:rPr>
                <w:rFonts w:hint="eastAsia" w:ascii="Times New Roman" w:hAnsi="Times New Roman" w:cs="Times New Roman"/>
                <w:kern w:val="0"/>
                <w:sz w:val="15"/>
                <w:szCs w:val="15"/>
              </w:rPr>
              <w:t>3</w:t>
            </w:r>
          </w:p>
        </w:tc>
        <w:tc>
          <w:tcPr>
            <w:tcW w:w="1148" w:type="pct"/>
            <w:vAlign w:val="center"/>
          </w:tcPr>
          <w:p w14:paraId="412489F5">
            <w:pPr>
              <w:jc w:val="center"/>
              <w:rPr>
                <w:rFonts w:ascii="Times New Roman" w:hAnsi="Times New Roman" w:cs="Times New Roman"/>
                <w:kern w:val="0"/>
                <w:sz w:val="15"/>
                <w:szCs w:val="15"/>
              </w:rPr>
            </w:pPr>
            <w:r>
              <w:rPr>
                <w:rFonts w:ascii="Times New Roman" w:hAnsi="Times New Roman" w:cs="Times New Roman"/>
                <w:kern w:val="0"/>
                <w:sz w:val="15"/>
                <w:szCs w:val="15"/>
              </w:rPr>
              <w:t>0.</w:t>
            </w:r>
            <w:r>
              <w:rPr>
                <w:rFonts w:hint="eastAsia" w:ascii="Times New Roman" w:hAnsi="Times New Roman" w:cs="Times New Roman"/>
                <w:kern w:val="0"/>
                <w:sz w:val="15"/>
                <w:szCs w:val="15"/>
              </w:rPr>
              <w:t>2</w:t>
            </w:r>
          </w:p>
        </w:tc>
      </w:tr>
      <w:tr w14:paraId="1323A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392" w:type="pct"/>
            <w:vAlign w:val="center"/>
          </w:tcPr>
          <w:p w14:paraId="5745F6D3">
            <w:pPr>
              <w:jc w:val="center"/>
              <w:rPr>
                <w:rFonts w:ascii="Times New Roman" w:hAnsi="Times New Roman" w:cs="Times New Roman"/>
                <w:kern w:val="0"/>
                <w:sz w:val="15"/>
                <w:szCs w:val="15"/>
              </w:rPr>
            </w:pPr>
            <w:r>
              <w:rPr>
                <w:rFonts w:hint="eastAsia" w:ascii="Times New Roman" w:hAnsi="Times New Roman" w:cs="Times New Roman"/>
                <w:kern w:val="0"/>
                <w:sz w:val="15"/>
                <w:szCs w:val="15"/>
              </w:rPr>
              <w:t>北方土石山区</w:t>
            </w:r>
          </w:p>
        </w:tc>
        <w:tc>
          <w:tcPr>
            <w:tcW w:w="819" w:type="pct"/>
            <w:vAlign w:val="center"/>
          </w:tcPr>
          <w:p w14:paraId="46AF6E72">
            <w:pPr>
              <w:jc w:val="center"/>
              <w:rPr>
                <w:rFonts w:ascii="Times New Roman" w:hAnsi="Times New Roman" w:cs="Times New Roman"/>
                <w:kern w:val="0"/>
                <w:sz w:val="15"/>
                <w:szCs w:val="15"/>
              </w:rPr>
            </w:pPr>
            <w:r>
              <w:rPr>
                <w:rFonts w:ascii="Times New Roman" w:hAnsi="Times New Roman" w:cs="Times New Roman"/>
                <w:kern w:val="0"/>
                <w:sz w:val="15"/>
                <w:szCs w:val="15"/>
              </w:rPr>
              <w:t>0.4</w:t>
            </w:r>
          </w:p>
        </w:tc>
        <w:tc>
          <w:tcPr>
            <w:tcW w:w="820" w:type="pct"/>
            <w:vAlign w:val="center"/>
          </w:tcPr>
          <w:p w14:paraId="04300C88">
            <w:pPr>
              <w:jc w:val="center"/>
              <w:rPr>
                <w:rFonts w:ascii="Times New Roman" w:hAnsi="Times New Roman" w:cs="Times New Roman"/>
                <w:kern w:val="0"/>
                <w:sz w:val="15"/>
                <w:szCs w:val="15"/>
              </w:rPr>
            </w:pPr>
            <w:r>
              <w:rPr>
                <w:rFonts w:ascii="Times New Roman" w:hAnsi="Times New Roman" w:cs="Times New Roman"/>
                <w:kern w:val="0"/>
                <w:sz w:val="15"/>
                <w:szCs w:val="15"/>
              </w:rPr>
              <w:t>0.4</w:t>
            </w:r>
          </w:p>
        </w:tc>
        <w:tc>
          <w:tcPr>
            <w:tcW w:w="819" w:type="pct"/>
            <w:vAlign w:val="center"/>
          </w:tcPr>
          <w:p w14:paraId="468799EA">
            <w:pPr>
              <w:jc w:val="center"/>
              <w:rPr>
                <w:rFonts w:ascii="Times New Roman" w:hAnsi="Times New Roman" w:cs="Times New Roman"/>
                <w:kern w:val="0"/>
                <w:sz w:val="15"/>
                <w:szCs w:val="15"/>
              </w:rPr>
            </w:pPr>
            <w:r>
              <w:rPr>
                <w:rFonts w:ascii="Times New Roman" w:hAnsi="Times New Roman" w:cs="Times New Roman"/>
                <w:kern w:val="0"/>
                <w:sz w:val="15"/>
                <w:szCs w:val="15"/>
              </w:rPr>
              <w:t>0.4</w:t>
            </w:r>
          </w:p>
        </w:tc>
        <w:tc>
          <w:tcPr>
            <w:tcW w:w="1148" w:type="pct"/>
            <w:vAlign w:val="center"/>
          </w:tcPr>
          <w:p w14:paraId="33FC8C99">
            <w:pPr>
              <w:jc w:val="center"/>
              <w:rPr>
                <w:rFonts w:ascii="Times New Roman" w:hAnsi="Times New Roman" w:cs="Times New Roman"/>
                <w:kern w:val="0"/>
                <w:sz w:val="15"/>
                <w:szCs w:val="15"/>
              </w:rPr>
            </w:pPr>
            <w:r>
              <w:rPr>
                <w:rFonts w:ascii="Times New Roman" w:hAnsi="Times New Roman" w:cs="Times New Roman"/>
                <w:kern w:val="0"/>
                <w:sz w:val="15"/>
                <w:szCs w:val="15"/>
              </w:rPr>
              <w:t>0.</w:t>
            </w:r>
            <w:r>
              <w:rPr>
                <w:rFonts w:hint="eastAsia" w:ascii="Times New Roman" w:hAnsi="Times New Roman" w:cs="Times New Roman"/>
                <w:kern w:val="0"/>
                <w:sz w:val="15"/>
                <w:szCs w:val="15"/>
              </w:rPr>
              <w:t>2</w:t>
            </w:r>
          </w:p>
        </w:tc>
      </w:tr>
      <w:tr w14:paraId="306F7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392" w:type="pct"/>
            <w:vAlign w:val="center"/>
          </w:tcPr>
          <w:p w14:paraId="707CB837">
            <w:pPr>
              <w:jc w:val="center"/>
              <w:rPr>
                <w:rFonts w:ascii="Times New Roman" w:hAnsi="Times New Roman" w:cs="Times New Roman"/>
                <w:kern w:val="0"/>
                <w:sz w:val="15"/>
                <w:szCs w:val="15"/>
              </w:rPr>
            </w:pPr>
            <w:r>
              <w:rPr>
                <w:rFonts w:hint="eastAsia" w:ascii="Times New Roman" w:hAnsi="Times New Roman" w:cs="Times New Roman"/>
                <w:kern w:val="0"/>
                <w:sz w:val="15"/>
                <w:szCs w:val="15"/>
              </w:rPr>
              <w:t>西北黄土高原区</w:t>
            </w:r>
          </w:p>
        </w:tc>
        <w:tc>
          <w:tcPr>
            <w:tcW w:w="819" w:type="pct"/>
            <w:vAlign w:val="center"/>
          </w:tcPr>
          <w:p w14:paraId="641207F3">
            <w:pPr>
              <w:jc w:val="center"/>
              <w:rPr>
                <w:rFonts w:ascii="Times New Roman" w:hAnsi="Times New Roman" w:cs="Times New Roman"/>
                <w:kern w:val="0"/>
                <w:sz w:val="15"/>
                <w:szCs w:val="15"/>
              </w:rPr>
            </w:pPr>
            <w:r>
              <w:rPr>
                <w:rFonts w:ascii="Times New Roman" w:hAnsi="Times New Roman" w:cs="Times New Roman"/>
                <w:kern w:val="0"/>
                <w:sz w:val="15"/>
                <w:szCs w:val="15"/>
              </w:rPr>
              <w:t>0.3</w:t>
            </w:r>
          </w:p>
        </w:tc>
        <w:tc>
          <w:tcPr>
            <w:tcW w:w="820" w:type="pct"/>
            <w:vAlign w:val="center"/>
          </w:tcPr>
          <w:p w14:paraId="4D2C5F65">
            <w:pPr>
              <w:jc w:val="center"/>
              <w:rPr>
                <w:rFonts w:ascii="Times New Roman" w:hAnsi="Times New Roman" w:cs="Times New Roman"/>
                <w:kern w:val="0"/>
                <w:sz w:val="15"/>
                <w:szCs w:val="15"/>
              </w:rPr>
            </w:pPr>
            <w:r>
              <w:rPr>
                <w:rFonts w:ascii="Times New Roman" w:hAnsi="Times New Roman" w:cs="Times New Roman"/>
                <w:kern w:val="0"/>
                <w:sz w:val="15"/>
                <w:szCs w:val="15"/>
              </w:rPr>
              <w:t>0.3</w:t>
            </w:r>
          </w:p>
        </w:tc>
        <w:tc>
          <w:tcPr>
            <w:tcW w:w="819" w:type="pct"/>
            <w:vAlign w:val="center"/>
          </w:tcPr>
          <w:p w14:paraId="018DE745">
            <w:pPr>
              <w:jc w:val="center"/>
              <w:rPr>
                <w:rFonts w:ascii="Times New Roman" w:hAnsi="Times New Roman" w:cs="Times New Roman"/>
                <w:kern w:val="0"/>
                <w:sz w:val="15"/>
                <w:szCs w:val="15"/>
              </w:rPr>
            </w:pPr>
            <w:r>
              <w:rPr>
                <w:rFonts w:ascii="Times New Roman" w:hAnsi="Times New Roman" w:cs="Times New Roman"/>
                <w:kern w:val="0"/>
                <w:sz w:val="15"/>
                <w:szCs w:val="15"/>
              </w:rPr>
              <w:t>0.3</w:t>
            </w:r>
          </w:p>
        </w:tc>
        <w:tc>
          <w:tcPr>
            <w:tcW w:w="1148" w:type="pct"/>
            <w:vAlign w:val="center"/>
          </w:tcPr>
          <w:p w14:paraId="12C78514">
            <w:pPr>
              <w:jc w:val="center"/>
              <w:rPr>
                <w:rFonts w:ascii="Times New Roman" w:hAnsi="Times New Roman" w:cs="Times New Roman"/>
                <w:kern w:val="0"/>
                <w:sz w:val="15"/>
                <w:szCs w:val="15"/>
              </w:rPr>
            </w:pPr>
            <w:r>
              <w:rPr>
                <w:rFonts w:ascii="Times New Roman" w:hAnsi="Times New Roman" w:cs="Times New Roman"/>
                <w:kern w:val="0"/>
                <w:sz w:val="15"/>
                <w:szCs w:val="15"/>
              </w:rPr>
              <w:t>0.</w:t>
            </w:r>
            <w:r>
              <w:rPr>
                <w:rFonts w:hint="eastAsia" w:ascii="Times New Roman" w:hAnsi="Times New Roman" w:cs="Times New Roman"/>
                <w:kern w:val="0"/>
                <w:sz w:val="15"/>
                <w:szCs w:val="15"/>
              </w:rPr>
              <w:t>2</w:t>
            </w:r>
          </w:p>
        </w:tc>
      </w:tr>
      <w:tr w14:paraId="6E1807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392" w:type="pct"/>
            <w:vAlign w:val="center"/>
          </w:tcPr>
          <w:p w14:paraId="05598B37">
            <w:pPr>
              <w:jc w:val="center"/>
              <w:rPr>
                <w:rFonts w:ascii="Times New Roman" w:hAnsi="Times New Roman" w:cs="Times New Roman"/>
                <w:kern w:val="0"/>
                <w:sz w:val="15"/>
                <w:szCs w:val="15"/>
              </w:rPr>
            </w:pPr>
            <w:r>
              <w:rPr>
                <w:rFonts w:hint="eastAsia" w:ascii="Times New Roman" w:hAnsi="Times New Roman" w:cs="Times New Roman"/>
                <w:kern w:val="0"/>
                <w:sz w:val="15"/>
                <w:szCs w:val="15"/>
              </w:rPr>
              <w:t>南方红壤区</w:t>
            </w:r>
          </w:p>
        </w:tc>
        <w:tc>
          <w:tcPr>
            <w:tcW w:w="819" w:type="pct"/>
            <w:vAlign w:val="center"/>
          </w:tcPr>
          <w:p w14:paraId="4277495D">
            <w:pPr>
              <w:jc w:val="center"/>
              <w:rPr>
                <w:rFonts w:ascii="Times New Roman" w:hAnsi="Times New Roman" w:cs="Times New Roman"/>
                <w:kern w:val="0"/>
                <w:sz w:val="15"/>
                <w:szCs w:val="15"/>
              </w:rPr>
            </w:pPr>
            <w:r>
              <w:rPr>
                <w:rFonts w:ascii="Times New Roman" w:hAnsi="Times New Roman" w:cs="Times New Roman"/>
                <w:kern w:val="0"/>
                <w:sz w:val="15"/>
                <w:szCs w:val="15"/>
              </w:rPr>
              <w:t>0.4</w:t>
            </w:r>
          </w:p>
        </w:tc>
        <w:tc>
          <w:tcPr>
            <w:tcW w:w="820" w:type="pct"/>
            <w:vAlign w:val="center"/>
          </w:tcPr>
          <w:p w14:paraId="72F23742">
            <w:pPr>
              <w:jc w:val="center"/>
              <w:rPr>
                <w:rFonts w:ascii="Times New Roman" w:hAnsi="Times New Roman" w:cs="Times New Roman"/>
                <w:kern w:val="0"/>
                <w:sz w:val="15"/>
                <w:szCs w:val="15"/>
              </w:rPr>
            </w:pPr>
            <w:r>
              <w:rPr>
                <w:rFonts w:ascii="Times New Roman" w:hAnsi="Times New Roman" w:cs="Times New Roman"/>
                <w:kern w:val="0"/>
                <w:sz w:val="15"/>
                <w:szCs w:val="15"/>
              </w:rPr>
              <w:t>0.4</w:t>
            </w:r>
          </w:p>
        </w:tc>
        <w:tc>
          <w:tcPr>
            <w:tcW w:w="819" w:type="pct"/>
            <w:vAlign w:val="center"/>
          </w:tcPr>
          <w:p w14:paraId="376F2295">
            <w:pPr>
              <w:jc w:val="center"/>
              <w:rPr>
                <w:rFonts w:ascii="Times New Roman" w:hAnsi="Times New Roman" w:cs="Times New Roman"/>
                <w:kern w:val="0"/>
                <w:sz w:val="15"/>
                <w:szCs w:val="15"/>
              </w:rPr>
            </w:pPr>
            <w:r>
              <w:rPr>
                <w:rFonts w:ascii="Times New Roman" w:hAnsi="Times New Roman" w:cs="Times New Roman"/>
                <w:kern w:val="0"/>
                <w:sz w:val="15"/>
                <w:szCs w:val="15"/>
              </w:rPr>
              <w:t>0.2</w:t>
            </w:r>
          </w:p>
        </w:tc>
        <w:tc>
          <w:tcPr>
            <w:tcW w:w="1148" w:type="pct"/>
            <w:vAlign w:val="center"/>
          </w:tcPr>
          <w:p w14:paraId="194201A2">
            <w:pPr>
              <w:jc w:val="center"/>
              <w:rPr>
                <w:rFonts w:ascii="Times New Roman" w:hAnsi="Times New Roman" w:cs="Times New Roman"/>
                <w:kern w:val="0"/>
                <w:sz w:val="15"/>
                <w:szCs w:val="15"/>
              </w:rPr>
            </w:pPr>
            <w:r>
              <w:rPr>
                <w:rFonts w:ascii="Times New Roman" w:hAnsi="Times New Roman" w:cs="Times New Roman"/>
                <w:kern w:val="0"/>
                <w:sz w:val="15"/>
                <w:szCs w:val="15"/>
              </w:rPr>
              <w:t>0.2</w:t>
            </w:r>
          </w:p>
        </w:tc>
      </w:tr>
      <w:tr w14:paraId="7A9A12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392" w:type="pct"/>
            <w:vAlign w:val="center"/>
          </w:tcPr>
          <w:p w14:paraId="78620EF5">
            <w:pPr>
              <w:jc w:val="center"/>
              <w:rPr>
                <w:rFonts w:ascii="Times New Roman" w:hAnsi="Times New Roman" w:cs="Times New Roman"/>
                <w:kern w:val="0"/>
                <w:sz w:val="15"/>
                <w:szCs w:val="15"/>
              </w:rPr>
            </w:pPr>
            <w:r>
              <w:rPr>
                <w:rFonts w:hint="eastAsia" w:ascii="Times New Roman" w:hAnsi="Times New Roman" w:cs="Times New Roman"/>
                <w:kern w:val="0"/>
                <w:sz w:val="15"/>
                <w:szCs w:val="15"/>
              </w:rPr>
              <w:t>西南紫色土区</w:t>
            </w:r>
          </w:p>
        </w:tc>
        <w:tc>
          <w:tcPr>
            <w:tcW w:w="819" w:type="pct"/>
            <w:vAlign w:val="center"/>
          </w:tcPr>
          <w:p w14:paraId="53DFEE74">
            <w:pPr>
              <w:jc w:val="center"/>
              <w:rPr>
                <w:rFonts w:ascii="Times New Roman" w:hAnsi="Times New Roman" w:cs="Times New Roman"/>
                <w:kern w:val="0"/>
                <w:sz w:val="15"/>
                <w:szCs w:val="15"/>
              </w:rPr>
            </w:pPr>
            <w:r>
              <w:rPr>
                <w:rFonts w:ascii="Times New Roman" w:hAnsi="Times New Roman" w:cs="Times New Roman"/>
                <w:kern w:val="0"/>
                <w:sz w:val="15"/>
                <w:szCs w:val="15"/>
              </w:rPr>
              <w:t>0.4</w:t>
            </w:r>
          </w:p>
        </w:tc>
        <w:tc>
          <w:tcPr>
            <w:tcW w:w="820" w:type="pct"/>
            <w:vAlign w:val="center"/>
          </w:tcPr>
          <w:p w14:paraId="24E24629">
            <w:pPr>
              <w:jc w:val="center"/>
              <w:rPr>
                <w:rFonts w:ascii="Times New Roman" w:hAnsi="Times New Roman" w:cs="Times New Roman"/>
                <w:kern w:val="0"/>
                <w:sz w:val="15"/>
                <w:szCs w:val="15"/>
              </w:rPr>
            </w:pPr>
            <w:r>
              <w:rPr>
                <w:rFonts w:ascii="Times New Roman" w:hAnsi="Times New Roman" w:cs="Times New Roman"/>
                <w:kern w:val="0"/>
                <w:sz w:val="15"/>
                <w:szCs w:val="15"/>
              </w:rPr>
              <w:t>0.4</w:t>
            </w:r>
          </w:p>
        </w:tc>
        <w:tc>
          <w:tcPr>
            <w:tcW w:w="819" w:type="pct"/>
            <w:vAlign w:val="center"/>
          </w:tcPr>
          <w:p w14:paraId="2BC72852">
            <w:pPr>
              <w:jc w:val="center"/>
              <w:rPr>
                <w:rFonts w:ascii="Times New Roman" w:hAnsi="Times New Roman" w:cs="Times New Roman"/>
                <w:kern w:val="0"/>
                <w:sz w:val="15"/>
                <w:szCs w:val="15"/>
              </w:rPr>
            </w:pPr>
            <w:r>
              <w:rPr>
                <w:rFonts w:ascii="Times New Roman" w:hAnsi="Times New Roman" w:cs="Times New Roman"/>
                <w:kern w:val="0"/>
                <w:sz w:val="15"/>
                <w:szCs w:val="15"/>
              </w:rPr>
              <w:t>0.3</w:t>
            </w:r>
          </w:p>
        </w:tc>
        <w:tc>
          <w:tcPr>
            <w:tcW w:w="1148" w:type="pct"/>
            <w:vAlign w:val="center"/>
          </w:tcPr>
          <w:p w14:paraId="48AC374D">
            <w:pPr>
              <w:jc w:val="center"/>
              <w:rPr>
                <w:rFonts w:ascii="Times New Roman" w:hAnsi="Times New Roman" w:cs="Times New Roman"/>
                <w:kern w:val="0"/>
                <w:sz w:val="15"/>
                <w:szCs w:val="15"/>
              </w:rPr>
            </w:pPr>
            <w:r>
              <w:rPr>
                <w:rFonts w:ascii="Times New Roman" w:hAnsi="Times New Roman" w:cs="Times New Roman"/>
                <w:kern w:val="0"/>
                <w:sz w:val="15"/>
                <w:szCs w:val="15"/>
              </w:rPr>
              <w:t>0.2</w:t>
            </w:r>
          </w:p>
        </w:tc>
      </w:tr>
      <w:tr w14:paraId="10463C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392" w:type="pct"/>
            <w:vAlign w:val="center"/>
          </w:tcPr>
          <w:p w14:paraId="553952AB">
            <w:pPr>
              <w:jc w:val="center"/>
              <w:rPr>
                <w:rFonts w:ascii="Times New Roman" w:hAnsi="Times New Roman" w:cs="Times New Roman"/>
                <w:kern w:val="0"/>
                <w:sz w:val="15"/>
                <w:szCs w:val="15"/>
              </w:rPr>
            </w:pPr>
            <w:r>
              <w:rPr>
                <w:rFonts w:hint="eastAsia" w:ascii="Times New Roman" w:hAnsi="Times New Roman" w:cs="Times New Roman"/>
                <w:kern w:val="0"/>
                <w:sz w:val="15"/>
                <w:szCs w:val="15"/>
              </w:rPr>
              <w:t>西南岩溶区</w:t>
            </w:r>
          </w:p>
        </w:tc>
        <w:tc>
          <w:tcPr>
            <w:tcW w:w="819" w:type="pct"/>
            <w:vAlign w:val="center"/>
          </w:tcPr>
          <w:p w14:paraId="6184B374">
            <w:pPr>
              <w:jc w:val="center"/>
              <w:rPr>
                <w:rFonts w:ascii="Times New Roman" w:hAnsi="Times New Roman" w:cs="Times New Roman"/>
                <w:kern w:val="0"/>
                <w:sz w:val="15"/>
                <w:szCs w:val="15"/>
              </w:rPr>
            </w:pPr>
            <w:r>
              <w:rPr>
                <w:rFonts w:ascii="Times New Roman" w:hAnsi="Times New Roman" w:cs="Times New Roman"/>
                <w:kern w:val="0"/>
                <w:sz w:val="15"/>
                <w:szCs w:val="15"/>
              </w:rPr>
              <w:t>0.</w:t>
            </w:r>
            <w:r>
              <w:rPr>
                <w:rFonts w:hint="eastAsia" w:ascii="Times New Roman" w:hAnsi="Times New Roman" w:cs="Times New Roman"/>
                <w:kern w:val="0"/>
                <w:sz w:val="15"/>
                <w:szCs w:val="15"/>
              </w:rPr>
              <w:t>4</w:t>
            </w:r>
          </w:p>
        </w:tc>
        <w:tc>
          <w:tcPr>
            <w:tcW w:w="820" w:type="pct"/>
            <w:vAlign w:val="center"/>
          </w:tcPr>
          <w:p w14:paraId="12A9EA38">
            <w:pPr>
              <w:jc w:val="center"/>
              <w:rPr>
                <w:rFonts w:ascii="Times New Roman" w:hAnsi="Times New Roman" w:cs="Times New Roman"/>
                <w:kern w:val="0"/>
                <w:sz w:val="15"/>
                <w:szCs w:val="15"/>
              </w:rPr>
            </w:pPr>
            <w:r>
              <w:rPr>
                <w:rFonts w:ascii="Times New Roman" w:hAnsi="Times New Roman" w:cs="Times New Roman"/>
                <w:kern w:val="0"/>
                <w:sz w:val="15"/>
                <w:szCs w:val="15"/>
              </w:rPr>
              <w:t>0.</w:t>
            </w:r>
            <w:r>
              <w:rPr>
                <w:rFonts w:hint="eastAsia" w:ascii="Times New Roman" w:hAnsi="Times New Roman" w:cs="Times New Roman"/>
                <w:kern w:val="0"/>
                <w:sz w:val="15"/>
                <w:szCs w:val="15"/>
              </w:rPr>
              <w:t>4</w:t>
            </w:r>
          </w:p>
        </w:tc>
        <w:tc>
          <w:tcPr>
            <w:tcW w:w="819" w:type="pct"/>
            <w:vAlign w:val="center"/>
          </w:tcPr>
          <w:p w14:paraId="6F1E9522">
            <w:pPr>
              <w:jc w:val="center"/>
              <w:rPr>
                <w:rFonts w:ascii="Times New Roman" w:hAnsi="Times New Roman" w:cs="Times New Roman"/>
                <w:kern w:val="0"/>
                <w:sz w:val="15"/>
                <w:szCs w:val="15"/>
              </w:rPr>
            </w:pPr>
            <w:r>
              <w:rPr>
                <w:rFonts w:ascii="Times New Roman" w:hAnsi="Times New Roman" w:cs="Times New Roman"/>
                <w:kern w:val="0"/>
                <w:sz w:val="15"/>
                <w:szCs w:val="15"/>
              </w:rPr>
              <w:t>0.3</w:t>
            </w:r>
          </w:p>
        </w:tc>
        <w:tc>
          <w:tcPr>
            <w:tcW w:w="1148" w:type="pct"/>
            <w:vAlign w:val="center"/>
          </w:tcPr>
          <w:p w14:paraId="7337A43F">
            <w:pPr>
              <w:jc w:val="center"/>
              <w:rPr>
                <w:rFonts w:ascii="Times New Roman" w:hAnsi="Times New Roman" w:cs="Times New Roman"/>
                <w:kern w:val="0"/>
                <w:sz w:val="15"/>
                <w:szCs w:val="15"/>
              </w:rPr>
            </w:pPr>
            <w:r>
              <w:rPr>
                <w:rFonts w:ascii="Times New Roman" w:hAnsi="Times New Roman" w:cs="Times New Roman"/>
                <w:kern w:val="0"/>
                <w:sz w:val="15"/>
                <w:szCs w:val="15"/>
              </w:rPr>
              <w:t>0.2</w:t>
            </w:r>
          </w:p>
        </w:tc>
      </w:tr>
      <w:tr w14:paraId="5EFF9A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1392" w:type="pct"/>
            <w:vAlign w:val="center"/>
          </w:tcPr>
          <w:p w14:paraId="44FF84FC">
            <w:pPr>
              <w:jc w:val="center"/>
              <w:rPr>
                <w:rFonts w:ascii="Times New Roman" w:hAnsi="Times New Roman" w:cs="Times New Roman"/>
                <w:kern w:val="0"/>
                <w:sz w:val="15"/>
                <w:szCs w:val="15"/>
              </w:rPr>
            </w:pPr>
            <w:r>
              <w:rPr>
                <w:rFonts w:hint="eastAsia" w:ascii="Times New Roman" w:hAnsi="Times New Roman" w:cs="Times New Roman"/>
                <w:kern w:val="0"/>
                <w:sz w:val="15"/>
                <w:szCs w:val="15"/>
              </w:rPr>
              <w:t>青藏高原区</w:t>
            </w:r>
          </w:p>
        </w:tc>
        <w:tc>
          <w:tcPr>
            <w:tcW w:w="819" w:type="pct"/>
            <w:vAlign w:val="center"/>
          </w:tcPr>
          <w:p w14:paraId="65DEA7B7">
            <w:pPr>
              <w:jc w:val="center"/>
              <w:rPr>
                <w:rFonts w:ascii="Times New Roman" w:hAnsi="Times New Roman" w:cs="Times New Roman"/>
                <w:kern w:val="0"/>
                <w:sz w:val="15"/>
                <w:szCs w:val="15"/>
              </w:rPr>
            </w:pPr>
            <w:r>
              <w:rPr>
                <w:rFonts w:ascii="Times New Roman" w:hAnsi="Times New Roman" w:cs="Times New Roman"/>
                <w:kern w:val="0"/>
                <w:sz w:val="15"/>
                <w:szCs w:val="15"/>
              </w:rPr>
              <w:t>0.4</w:t>
            </w:r>
          </w:p>
        </w:tc>
        <w:tc>
          <w:tcPr>
            <w:tcW w:w="820" w:type="pct"/>
            <w:vAlign w:val="center"/>
          </w:tcPr>
          <w:p w14:paraId="648A1DF9">
            <w:pPr>
              <w:jc w:val="center"/>
              <w:rPr>
                <w:rFonts w:ascii="Times New Roman" w:hAnsi="Times New Roman" w:cs="Times New Roman"/>
                <w:kern w:val="0"/>
                <w:sz w:val="15"/>
                <w:szCs w:val="15"/>
              </w:rPr>
            </w:pPr>
            <w:r>
              <w:rPr>
                <w:rFonts w:ascii="Times New Roman" w:hAnsi="Times New Roman" w:cs="Times New Roman"/>
                <w:kern w:val="0"/>
                <w:sz w:val="15"/>
                <w:szCs w:val="15"/>
              </w:rPr>
              <w:t>0.4</w:t>
            </w:r>
          </w:p>
        </w:tc>
        <w:tc>
          <w:tcPr>
            <w:tcW w:w="819" w:type="pct"/>
            <w:vAlign w:val="center"/>
          </w:tcPr>
          <w:p w14:paraId="50F1A1F7">
            <w:pPr>
              <w:jc w:val="center"/>
              <w:rPr>
                <w:rFonts w:ascii="Times New Roman" w:hAnsi="Times New Roman" w:cs="Times New Roman"/>
                <w:kern w:val="0"/>
                <w:sz w:val="15"/>
                <w:szCs w:val="15"/>
              </w:rPr>
            </w:pPr>
            <w:r>
              <w:rPr>
                <w:rFonts w:ascii="Times New Roman" w:hAnsi="Times New Roman" w:cs="Times New Roman"/>
                <w:kern w:val="0"/>
                <w:sz w:val="15"/>
                <w:szCs w:val="15"/>
              </w:rPr>
              <w:t>0.4</w:t>
            </w:r>
          </w:p>
        </w:tc>
        <w:tc>
          <w:tcPr>
            <w:tcW w:w="1148" w:type="pct"/>
            <w:vAlign w:val="center"/>
          </w:tcPr>
          <w:p w14:paraId="52DC29BC">
            <w:pPr>
              <w:jc w:val="center"/>
              <w:rPr>
                <w:rFonts w:ascii="Times New Roman" w:hAnsi="Times New Roman" w:cs="Times New Roman"/>
                <w:kern w:val="0"/>
                <w:sz w:val="15"/>
                <w:szCs w:val="15"/>
              </w:rPr>
            </w:pPr>
            <w:r>
              <w:rPr>
                <w:rFonts w:ascii="Times New Roman" w:hAnsi="Times New Roman" w:cs="Times New Roman"/>
                <w:kern w:val="0"/>
                <w:sz w:val="15"/>
                <w:szCs w:val="15"/>
              </w:rPr>
              <w:t>0.2</w:t>
            </w:r>
          </w:p>
        </w:tc>
      </w:tr>
    </w:tbl>
    <w:p w14:paraId="07995CE8">
      <w:pPr>
        <w:ind w:firstLine="426" w:firstLineChars="284"/>
        <w:jc w:val="left"/>
        <w:rPr>
          <w:rFonts w:ascii="Times New Roman" w:hAnsi="Times New Roman" w:cs="Times New Roman"/>
          <w:kern w:val="0"/>
          <w:sz w:val="15"/>
          <w:szCs w:val="15"/>
        </w:rPr>
      </w:pPr>
      <w:r>
        <w:rPr>
          <w:rFonts w:ascii="Times New Roman" w:hAnsi="Times New Roman" w:cs="Times New Roman"/>
          <w:kern w:val="0"/>
          <w:sz w:val="15"/>
          <w:szCs w:val="15"/>
        </w:rPr>
        <w:t>注：1  采用客土造林、栽植带土球乔灌木、营造灌木林可视情况降低覆土厚度或不覆土；</w:t>
      </w:r>
    </w:p>
    <w:p w14:paraId="34D911F9">
      <w:pPr>
        <w:ind w:firstLine="708" w:firstLineChars="472"/>
        <w:jc w:val="left"/>
        <w:rPr>
          <w:rFonts w:ascii="Times New Roman" w:hAnsi="Times New Roman" w:cs="Times New Roman"/>
          <w:kern w:val="0"/>
          <w:sz w:val="15"/>
          <w:szCs w:val="15"/>
        </w:rPr>
      </w:pPr>
      <w:r>
        <w:rPr>
          <w:rFonts w:ascii="Times New Roman" w:hAnsi="Times New Roman" w:cs="Times New Roman"/>
          <w:kern w:val="0"/>
          <w:sz w:val="15"/>
          <w:szCs w:val="15"/>
        </w:rPr>
        <w:t>2  铺覆草坪时覆土厚度≥0.10m；</w:t>
      </w:r>
    </w:p>
    <w:p w14:paraId="0C90076B">
      <w:pPr>
        <w:ind w:firstLine="708" w:firstLineChars="472"/>
        <w:jc w:val="left"/>
        <w:rPr>
          <w:rFonts w:ascii="Times New Roman" w:hAnsi="Times New Roman" w:cs="Times New Roman"/>
          <w:kern w:val="0"/>
          <w:sz w:val="15"/>
          <w:szCs w:val="15"/>
        </w:rPr>
      </w:pPr>
      <w:r>
        <w:rPr>
          <w:rFonts w:ascii="Times New Roman" w:hAnsi="Times New Roman" w:cs="Times New Roman"/>
          <w:kern w:val="0"/>
          <w:sz w:val="15"/>
          <w:szCs w:val="15"/>
        </w:rPr>
        <w:t>3  表土回覆可视具体情况采用推土机推土或自卸汽车运土与推土机推土结合。</w:t>
      </w:r>
    </w:p>
    <w:p w14:paraId="5477394A">
      <w:pPr>
        <w:widowControl/>
        <w:jc w:val="right"/>
        <w:rPr>
          <w:rFonts w:ascii="Times New Roman" w:hAnsi="Times New Roman" w:eastAsia="黑体" w:cs="Times New Roman"/>
          <w:kern w:val="0"/>
          <w:sz w:val="18"/>
          <w:szCs w:val="18"/>
        </w:rPr>
      </w:pPr>
      <w:r>
        <w:rPr>
          <w:rFonts w:ascii="Times New Roman" w:hAnsi="Times New Roman" w:eastAsia="黑体" w:cs="Times New Roman"/>
          <w:kern w:val="0"/>
          <w:sz w:val="18"/>
          <w:szCs w:val="18"/>
        </w:rPr>
        <w:t>表5</w:t>
      </w:r>
      <w:r>
        <w:rPr>
          <w:rFonts w:ascii="Times New Roman" w:hAnsi="Times New Roman" w:cs="Times New Roman"/>
          <w:kern w:val="0"/>
          <w:sz w:val="18"/>
          <w:szCs w:val="18"/>
        </w:rPr>
        <w:t>.</w:t>
      </w:r>
      <w:r>
        <w:rPr>
          <w:rFonts w:ascii="Times New Roman" w:hAnsi="Times New Roman" w:eastAsia="黑体" w:cs="Times New Roman"/>
          <w:kern w:val="0"/>
          <w:sz w:val="18"/>
          <w:szCs w:val="18"/>
        </w:rPr>
        <w:t>8</w:t>
      </w:r>
      <w:r>
        <w:rPr>
          <w:rFonts w:ascii="Times New Roman" w:hAnsi="Times New Roman" w:cs="Times New Roman"/>
          <w:kern w:val="0"/>
          <w:sz w:val="18"/>
          <w:szCs w:val="18"/>
        </w:rPr>
        <w:t>.</w:t>
      </w:r>
      <w:r>
        <w:rPr>
          <w:rFonts w:ascii="Times New Roman" w:hAnsi="Times New Roman" w:eastAsia="黑体" w:cs="Times New Roman"/>
          <w:kern w:val="0"/>
          <w:sz w:val="18"/>
          <w:szCs w:val="18"/>
        </w:rPr>
        <w:t>5-2</w:t>
      </w:r>
      <w:r>
        <w:rPr>
          <w:rFonts w:ascii="Times New Roman" w:hAnsi="Times New Roman" w:eastAsia="黑体" w:cs="Times New Roman"/>
          <w:b/>
          <w:kern w:val="0"/>
          <w:sz w:val="18"/>
          <w:szCs w:val="18"/>
        </w:rPr>
        <w:t xml:space="preserve"> </w:t>
      </w:r>
      <w:r>
        <w:rPr>
          <w:rFonts w:ascii="Times New Roman" w:hAnsi="Times New Roman" w:eastAsia="黑体" w:cs="Times New Roman"/>
          <w:kern w:val="0"/>
          <w:sz w:val="18"/>
          <w:szCs w:val="18"/>
        </w:rPr>
        <w:t xml:space="preserve"> 景观绿化工程最小覆土厚度 </w:t>
      </w:r>
      <w:r>
        <w:rPr>
          <w:rFonts w:hint="eastAsia" w:ascii="Times New Roman" w:hAnsi="Times New Roman" w:eastAsia="黑体" w:cs="Times New Roman"/>
          <w:kern w:val="0"/>
          <w:sz w:val="18"/>
          <w:szCs w:val="18"/>
        </w:rPr>
        <w:t xml:space="preserve">                    </w:t>
      </w:r>
      <w:r>
        <w:rPr>
          <w:rFonts w:ascii="Times New Roman" w:hAnsi="Times New Roman" w:eastAsia="黑体" w:cs="Times New Roman"/>
          <w:kern w:val="0"/>
          <w:sz w:val="18"/>
          <w:szCs w:val="18"/>
        </w:rPr>
        <w:t>单位</w:t>
      </w:r>
      <w:r>
        <w:rPr>
          <w:rFonts w:hint="eastAsia" w:ascii="Times New Roman" w:hAnsi="Times New Roman" w:eastAsia="黑体" w:cs="Times New Roman"/>
          <w:kern w:val="0"/>
          <w:sz w:val="18"/>
          <w:szCs w:val="18"/>
        </w:rPr>
        <w:t>：</w:t>
      </w:r>
      <w:r>
        <w:rPr>
          <w:rFonts w:ascii="Times New Roman" w:hAnsi="Times New Roman" w:eastAsia="黑体" w:cs="Times New Roman"/>
          <w:kern w:val="0"/>
          <w:sz w:val="18"/>
          <w:szCs w:val="18"/>
        </w:rPr>
        <w:t>m</w:t>
      </w:r>
    </w:p>
    <w:tbl>
      <w:tblPr>
        <w:tblStyle w:val="10"/>
        <w:tblW w:w="8519" w:type="dxa"/>
        <w:tblInd w:w="0" w:type="dxa"/>
        <w:tblLayout w:type="fixed"/>
        <w:tblCellMar>
          <w:top w:w="0" w:type="dxa"/>
          <w:left w:w="108" w:type="dxa"/>
          <w:bottom w:w="0" w:type="dxa"/>
          <w:right w:w="108" w:type="dxa"/>
        </w:tblCellMar>
      </w:tblPr>
      <w:tblGrid>
        <w:gridCol w:w="2904"/>
        <w:gridCol w:w="1871"/>
        <w:gridCol w:w="1871"/>
        <w:gridCol w:w="1873"/>
      </w:tblGrid>
      <w:tr w14:paraId="5E630E6A">
        <w:tblPrEx>
          <w:tblCellMar>
            <w:top w:w="0" w:type="dxa"/>
            <w:left w:w="108" w:type="dxa"/>
            <w:bottom w:w="0" w:type="dxa"/>
            <w:right w:w="108" w:type="dxa"/>
          </w:tblCellMar>
        </w:tblPrEx>
        <w:trPr>
          <w:trHeight w:val="23" w:hRule="atLeast"/>
          <w:tblHeader/>
        </w:trPr>
        <w:tc>
          <w:tcPr>
            <w:tcW w:w="2904" w:type="dxa"/>
            <w:tcBorders>
              <w:top w:val="single" w:color="000000" w:sz="12" w:space="0"/>
              <w:left w:val="single" w:color="000000" w:sz="12" w:space="0"/>
              <w:bottom w:val="single" w:color="000000" w:sz="4" w:space="0"/>
              <w:right w:val="single" w:color="000000" w:sz="4" w:space="0"/>
            </w:tcBorders>
            <w:shd w:val="clear" w:color="auto" w:fill="auto"/>
            <w:vAlign w:val="center"/>
          </w:tcPr>
          <w:p w14:paraId="1B059BAA">
            <w:pPr>
              <w:widowControl/>
              <w:adjustRightInd w:val="0"/>
              <w:jc w:val="center"/>
              <w:rPr>
                <w:rFonts w:ascii="Times New Roman" w:hAnsi="Times New Roman" w:cs="Times New Roman"/>
                <w:sz w:val="15"/>
                <w:szCs w:val="15"/>
              </w:rPr>
            </w:pPr>
            <w:r>
              <w:rPr>
                <w:rFonts w:ascii="Times New Roman" w:hAnsi="Times New Roman" w:cs="Times New Roman"/>
                <w:sz w:val="15"/>
                <w:szCs w:val="15"/>
              </w:rPr>
              <w:t>植物种类及规格</w:t>
            </w:r>
          </w:p>
        </w:tc>
        <w:tc>
          <w:tcPr>
            <w:tcW w:w="1871" w:type="dxa"/>
            <w:tcBorders>
              <w:top w:val="single" w:color="000000" w:sz="12" w:space="0"/>
              <w:left w:val="single" w:color="000000" w:sz="4" w:space="0"/>
              <w:bottom w:val="single" w:color="000000" w:sz="4" w:space="0"/>
              <w:right w:val="single" w:color="000000" w:sz="4" w:space="0"/>
            </w:tcBorders>
            <w:shd w:val="clear" w:color="auto" w:fill="auto"/>
            <w:vAlign w:val="center"/>
          </w:tcPr>
          <w:p w14:paraId="2AB686BD">
            <w:pPr>
              <w:widowControl/>
              <w:adjustRightInd w:val="0"/>
              <w:jc w:val="center"/>
              <w:textAlignment w:val="center"/>
              <w:rPr>
                <w:rFonts w:ascii="Times New Roman" w:hAnsi="Times New Roman" w:cs="Times New Roman"/>
                <w:sz w:val="15"/>
                <w:szCs w:val="15"/>
              </w:rPr>
            </w:pPr>
            <w:r>
              <w:rPr>
                <w:rFonts w:ascii="Times New Roman" w:hAnsi="Times New Roman" w:cs="Times New Roman"/>
                <w:sz w:val="15"/>
                <w:szCs w:val="15"/>
              </w:rPr>
              <w:t>南方地区</w:t>
            </w:r>
          </w:p>
        </w:tc>
        <w:tc>
          <w:tcPr>
            <w:tcW w:w="1871" w:type="dxa"/>
            <w:tcBorders>
              <w:top w:val="single" w:color="000000" w:sz="12" w:space="0"/>
              <w:left w:val="single" w:color="000000" w:sz="4" w:space="0"/>
              <w:bottom w:val="single" w:color="000000" w:sz="4" w:space="0"/>
              <w:right w:val="single" w:color="000000" w:sz="4" w:space="0"/>
            </w:tcBorders>
            <w:shd w:val="clear" w:color="auto" w:fill="auto"/>
            <w:vAlign w:val="center"/>
          </w:tcPr>
          <w:p w14:paraId="5B7C3DC3">
            <w:pPr>
              <w:widowControl/>
              <w:adjustRightInd w:val="0"/>
              <w:jc w:val="center"/>
              <w:textAlignment w:val="center"/>
              <w:rPr>
                <w:rFonts w:ascii="Times New Roman" w:hAnsi="Times New Roman" w:cs="Times New Roman"/>
                <w:sz w:val="15"/>
                <w:szCs w:val="15"/>
              </w:rPr>
            </w:pPr>
            <w:r>
              <w:rPr>
                <w:rFonts w:ascii="Times New Roman" w:hAnsi="Times New Roman" w:cs="Times New Roman"/>
                <w:sz w:val="15"/>
                <w:szCs w:val="15"/>
              </w:rPr>
              <w:t>中部地区</w:t>
            </w:r>
          </w:p>
        </w:tc>
        <w:tc>
          <w:tcPr>
            <w:tcW w:w="1873" w:type="dxa"/>
            <w:tcBorders>
              <w:top w:val="single" w:color="000000" w:sz="12" w:space="0"/>
              <w:left w:val="single" w:color="000000" w:sz="4" w:space="0"/>
              <w:bottom w:val="single" w:color="000000" w:sz="4" w:space="0"/>
              <w:right w:val="single" w:color="000000" w:sz="12" w:space="0"/>
            </w:tcBorders>
            <w:shd w:val="clear" w:color="auto" w:fill="auto"/>
            <w:vAlign w:val="center"/>
          </w:tcPr>
          <w:p w14:paraId="1AA9D41A">
            <w:pPr>
              <w:widowControl/>
              <w:adjustRightInd w:val="0"/>
              <w:jc w:val="center"/>
              <w:textAlignment w:val="center"/>
              <w:rPr>
                <w:rFonts w:ascii="Times New Roman" w:hAnsi="Times New Roman" w:cs="Times New Roman"/>
                <w:sz w:val="15"/>
                <w:szCs w:val="15"/>
              </w:rPr>
            </w:pPr>
            <w:r>
              <w:rPr>
                <w:rFonts w:ascii="Times New Roman" w:hAnsi="Times New Roman" w:cs="Times New Roman"/>
                <w:sz w:val="15"/>
                <w:szCs w:val="15"/>
              </w:rPr>
              <w:t>北方地区</w:t>
            </w:r>
          </w:p>
        </w:tc>
      </w:tr>
      <w:tr w14:paraId="4266FA3E">
        <w:tblPrEx>
          <w:tblCellMar>
            <w:top w:w="0" w:type="dxa"/>
            <w:left w:w="108" w:type="dxa"/>
            <w:bottom w:w="0" w:type="dxa"/>
            <w:right w:w="108" w:type="dxa"/>
          </w:tblCellMar>
        </w:tblPrEx>
        <w:trPr>
          <w:trHeight w:val="23" w:hRule="atLeast"/>
        </w:trPr>
        <w:tc>
          <w:tcPr>
            <w:tcW w:w="2904"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324ABCDB">
            <w:pPr>
              <w:widowControl/>
              <w:adjustRightInd w:val="0"/>
              <w:jc w:val="center"/>
              <w:textAlignment w:val="center"/>
              <w:rPr>
                <w:rFonts w:ascii="Times New Roman" w:hAnsi="Times New Roman" w:cs="Times New Roman"/>
                <w:sz w:val="15"/>
                <w:szCs w:val="15"/>
              </w:rPr>
            </w:pPr>
            <w:r>
              <w:rPr>
                <w:rFonts w:ascii="Times New Roman" w:hAnsi="Times New Roman" w:cs="Times New Roman"/>
                <w:sz w:val="15"/>
                <w:szCs w:val="15"/>
              </w:rPr>
              <w:t>花卉草坪</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8608E">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rPr>
              <w:t>0.3</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9C47C">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rPr>
              <w:t>0.4</w:t>
            </w:r>
          </w:p>
        </w:tc>
        <w:tc>
          <w:tcPr>
            <w:tcW w:w="1873"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22B03B86">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rPr>
              <w:t>0.5</w:t>
            </w:r>
          </w:p>
        </w:tc>
      </w:tr>
      <w:tr w14:paraId="2C1E6C7E">
        <w:tblPrEx>
          <w:tblCellMar>
            <w:top w:w="0" w:type="dxa"/>
            <w:left w:w="108" w:type="dxa"/>
            <w:bottom w:w="0" w:type="dxa"/>
            <w:right w:w="108" w:type="dxa"/>
          </w:tblCellMar>
        </w:tblPrEx>
        <w:trPr>
          <w:trHeight w:val="23" w:hRule="atLeast"/>
        </w:trPr>
        <w:tc>
          <w:tcPr>
            <w:tcW w:w="2904"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161BDB02">
            <w:pPr>
              <w:widowControl/>
              <w:adjustRightInd w:val="0"/>
              <w:jc w:val="center"/>
              <w:textAlignment w:val="center"/>
              <w:rPr>
                <w:rFonts w:ascii="Times New Roman" w:hAnsi="Times New Roman" w:cs="Times New Roman"/>
                <w:sz w:val="15"/>
                <w:szCs w:val="15"/>
              </w:rPr>
            </w:pPr>
            <w:r>
              <w:rPr>
                <w:rFonts w:ascii="Times New Roman" w:hAnsi="Times New Roman" w:cs="Times New Roman"/>
                <w:sz w:val="15"/>
                <w:szCs w:val="15"/>
              </w:rPr>
              <w:t>灌木</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BC8E">
            <w:pPr>
              <w:widowControl/>
              <w:adjustRightInd w:val="0"/>
              <w:jc w:val="center"/>
              <w:textAlignment w:val="top"/>
              <w:rPr>
                <w:rFonts w:ascii="Times New Roman" w:hAnsi="Times New Roman" w:cs="Times New Roman"/>
                <w:sz w:val="15"/>
                <w:szCs w:val="15"/>
              </w:rPr>
            </w:pPr>
            <w:r>
              <w:rPr>
                <w:rFonts w:ascii="Times New Roman" w:hAnsi="Times New Roman" w:cs="Times New Roman"/>
                <w:kern w:val="0"/>
                <w:sz w:val="15"/>
                <w:szCs w:val="15"/>
              </w:rPr>
              <w:t>0.5</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BD17">
            <w:pPr>
              <w:widowControl/>
              <w:adjustRightInd w:val="0"/>
              <w:jc w:val="center"/>
              <w:textAlignment w:val="top"/>
              <w:rPr>
                <w:rFonts w:ascii="Times New Roman" w:hAnsi="Times New Roman" w:cs="Times New Roman"/>
                <w:sz w:val="15"/>
                <w:szCs w:val="15"/>
              </w:rPr>
            </w:pPr>
            <w:r>
              <w:rPr>
                <w:rFonts w:ascii="Times New Roman" w:hAnsi="Times New Roman" w:cs="Times New Roman"/>
                <w:kern w:val="0"/>
                <w:sz w:val="15"/>
                <w:szCs w:val="15"/>
              </w:rPr>
              <w:t>0.6</w:t>
            </w:r>
          </w:p>
        </w:tc>
        <w:tc>
          <w:tcPr>
            <w:tcW w:w="1873"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336EC437">
            <w:pPr>
              <w:widowControl/>
              <w:adjustRightInd w:val="0"/>
              <w:jc w:val="center"/>
              <w:textAlignment w:val="top"/>
              <w:rPr>
                <w:rFonts w:ascii="Times New Roman" w:hAnsi="Times New Roman" w:cs="Times New Roman"/>
                <w:sz w:val="15"/>
                <w:szCs w:val="15"/>
              </w:rPr>
            </w:pPr>
            <w:r>
              <w:rPr>
                <w:rFonts w:ascii="Times New Roman" w:hAnsi="Times New Roman" w:cs="Times New Roman"/>
                <w:kern w:val="0"/>
                <w:sz w:val="15"/>
                <w:szCs w:val="15"/>
              </w:rPr>
              <w:t>0.8</w:t>
            </w:r>
          </w:p>
        </w:tc>
      </w:tr>
      <w:tr w14:paraId="17B9B164">
        <w:tblPrEx>
          <w:tblCellMar>
            <w:top w:w="0" w:type="dxa"/>
            <w:left w:w="108" w:type="dxa"/>
            <w:bottom w:w="0" w:type="dxa"/>
            <w:right w:w="108" w:type="dxa"/>
          </w:tblCellMar>
        </w:tblPrEx>
        <w:trPr>
          <w:trHeight w:val="23" w:hRule="atLeast"/>
        </w:trPr>
        <w:tc>
          <w:tcPr>
            <w:tcW w:w="2904" w:type="dxa"/>
            <w:tcBorders>
              <w:top w:val="single" w:color="000000" w:sz="4" w:space="0"/>
              <w:left w:val="single" w:color="000000" w:sz="12" w:space="0"/>
              <w:bottom w:val="single" w:color="000000" w:sz="4" w:space="0"/>
              <w:right w:val="single" w:color="000000" w:sz="4" w:space="0"/>
            </w:tcBorders>
            <w:shd w:val="clear" w:color="auto" w:fill="auto"/>
            <w:vAlign w:val="center"/>
          </w:tcPr>
          <w:p w14:paraId="78D01F75">
            <w:pPr>
              <w:widowControl/>
              <w:adjustRightInd w:val="0"/>
              <w:jc w:val="center"/>
              <w:textAlignment w:val="center"/>
              <w:rPr>
                <w:rFonts w:ascii="Times New Roman" w:hAnsi="Times New Roman" w:cs="Times New Roman"/>
                <w:sz w:val="15"/>
                <w:szCs w:val="15"/>
              </w:rPr>
            </w:pPr>
            <w:r>
              <w:rPr>
                <w:rFonts w:ascii="Times New Roman" w:hAnsi="Times New Roman" w:cs="Times New Roman"/>
                <w:sz w:val="15"/>
                <w:szCs w:val="15"/>
              </w:rPr>
              <w:t>小乔木、攀缘植物</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E0636">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rPr>
              <w:t>0.6</w:t>
            </w:r>
          </w:p>
        </w:tc>
        <w:tc>
          <w:tcPr>
            <w:tcW w:w="18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5A4E">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rPr>
              <w:t>0.8</w:t>
            </w:r>
          </w:p>
        </w:tc>
        <w:tc>
          <w:tcPr>
            <w:tcW w:w="1873" w:type="dxa"/>
            <w:tcBorders>
              <w:top w:val="single" w:color="000000" w:sz="4" w:space="0"/>
              <w:left w:val="single" w:color="000000" w:sz="4" w:space="0"/>
              <w:bottom w:val="single" w:color="000000" w:sz="4" w:space="0"/>
              <w:right w:val="single" w:color="000000" w:sz="12" w:space="0"/>
            </w:tcBorders>
            <w:shd w:val="clear" w:color="auto" w:fill="auto"/>
            <w:vAlign w:val="center"/>
          </w:tcPr>
          <w:p w14:paraId="58A60F11">
            <w:pPr>
              <w:widowControl/>
              <w:adjustRightInd w:val="0"/>
              <w:jc w:val="center"/>
              <w:textAlignment w:val="top"/>
              <w:rPr>
                <w:rFonts w:ascii="Times New Roman" w:hAnsi="Times New Roman" w:cs="Times New Roman"/>
                <w:sz w:val="15"/>
                <w:szCs w:val="15"/>
              </w:rPr>
            </w:pPr>
            <w:r>
              <w:rPr>
                <w:rFonts w:ascii="Times New Roman" w:hAnsi="Times New Roman" w:cs="Times New Roman"/>
                <w:kern w:val="0"/>
                <w:sz w:val="15"/>
                <w:szCs w:val="15"/>
              </w:rPr>
              <w:t>1.0</w:t>
            </w:r>
          </w:p>
        </w:tc>
      </w:tr>
      <w:tr w14:paraId="0023BAA3">
        <w:tblPrEx>
          <w:tblCellMar>
            <w:top w:w="0" w:type="dxa"/>
            <w:left w:w="108" w:type="dxa"/>
            <w:bottom w:w="0" w:type="dxa"/>
            <w:right w:w="108" w:type="dxa"/>
          </w:tblCellMar>
        </w:tblPrEx>
        <w:trPr>
          <w:trHeight w:val="23" w:hRule="atLeast"/>
        </w:trPr>
        <w:tc>
          <w:tcPr>
            <w:tcW w:w="2904" w:type="dxa"/>
            <w:tcBorders>
              <w:top w:val="single" w:color="000000" w:sz="4" w:space="0"/>
              <w:left w:val="single" w:color="000000" w:sz="12" w:space="0"/>
              <w:bottom w:val="single" w:color="000000" w:sz="12" w:space="0"/>
              <w:right w:val="single" w:color="000000" w:sz="4" w:space="0"/>
            </w:tcBorders>
            <w:shd w:val="clear" w:color="auto" w:fill="auto"/>
            <w:vAlign w:val="center"/>
          </w:tcPr>
          <w:p w14:paraId="4F2DF704">
            <w:pPr>
              <w:widowControl/>
              <w:adjustRightInd w:val="0"/>
              <w:jc w:val="center"/>
              <w:textAlignment w:val="center"/>
              <w:rPr>
                <w:rFonts w:ascii="Times New Roman" w:hAnsi="Times New Roman" w:cs="Times New Roman"/>
                <w:sz w:val="15"/>
                <w:szCs w:val="15"/>
              </w:rPr>
            </w:pPr>
            <w:r>
              <w:rPr>
                <w:rFonts w:ascii="Times New Roman" w:hAnsi="Times New Roman" w:cs="Times New Roman"/>
                <w:sz w:val="15"/>
                <w:szCs w:val="15"/>
              </w:rPr>
              <w:t>中高乔木</w:t>
            </w:r>
          </w:p>
        </w:tc>
        <w:tc>
          <w:tcPr>
            <w:tcW w:w="1871"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1F7FEA44">
            <w:pPr>
              <w:widowControl/>
              <w:adjustRightInd w:val="0"/>
              <w:jc w:val="center"/>
              <w:textAlignment w:val="top"/>
              <w:rPr>
                <w:rFonts w:ascii="Times New Roman" w:hAnsi="Times New Roman" w:cs="Times New Roman"/>
                <w:sz w:val="15"/>
                <w:szCs w:val="15"/>
              </w:rPr>
            </w:pPr>
            <w:r>
              <w:rPr>
                <w:rFonts w:ascii="Times New Roman" w:hAnsi="Times New Roman" w:cs="Times New Roman"/>
                <w:kern w:val="0"/>
                <w:sz w:val="15"/>
                <w:szCs w:val="15"/>
              </w:rPr>
              <w:t>0.8</w:t>
            </w:r>
          </w:p>
        </w:tc>
        <w:tc>
          <w:tcPr>
            <w:tcW w:w="1871"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04A82E92">
            <w:pPr>
              <w:widowControl/>
              <w:adjustRightInd w:val="0"/>
              <w:jc w:val="center"/>
              <w:textAlignment w:val="top"/>
              <w:rPr>
                <w:rFonts w:ascii="Times New Roman" w:hAnsi="Times New Roman" w:cs="Times New Roman"/>
                <w:sz w:val="15"/>
                <w:szCs w:val="15"/>
              </w:rPr>
            </w:pPr>
            <w:r>
              <w:rPr>
                <w:rFonts w:ascii="Times New Roman" w:hAnsi="Times New Roman" w:cs="Times New Roman"/>
                <w:kern w:val="0"/>
                <w:sz w:val="15"/>
                <w:szCs w:val="15"/>
              </w:rPr>
              <w:t>1.0</w:t>
            </w:r>
          </w:p>
        </w:tc>
        <w:tc>
          <w:tcPr>
            <w:tcW w:w="1873" w:type="dxa"/>
            <w:tcBorders>
              <w:top w:val="single" w:color="000000" w:sz="4" w:space="0"/>
              <w:left w:val="single" w:color="000000" w:sz="4" w:space="0"/>
              <w:bottom w:val="single" w:color="000000" w:sz="12" w:space="0"/>
              <w:right w:val="single" w:color="000000" w:sz="12" w:space="0"/>
            </w:tcBorders>
            <w:shd w:val="clear" w:color="auto" w:fill="auto"/>
            <w:vAlign w:val="center"/>
          </w:tcPr>
          <w:p w14:paraId="4EFC07C3">
            <w:pPr>
              <w:widowControl/>
              <w:adjustRightInd w:val="0"/>
              <w:jc w:val="center"/>
              <w:rPr>
                <w:rFonts w:ascii="Times New Roman" w:hAnsi="Times New Roman" w:cs="Times New Roman"/>
                <w:sz w:val="15"/>
                <w:szCs w:val="15"/>
              </w:rPr>
            </w:pPr>
            <w:r>
              <w:rPr>
                <w:rFonts w:ascii="Times New Roman" w:hAnsi="Times New Roman" w:cs="Times New Roman"/>
                <w:sz w:val="15"/>
                <w:szCs w:val="15"/>
              </w:rPr>
              <w:t>1.5</w:t>
            </w:r>
          </w:p>
        </w:tc>
      </w:tr>
    </w:tbl>
    <w:p w14:paraId="4A82718A">
      <w:pPr>
        <w:spacing w:before="156" w:beforeLines="50" w:line="360" w:lineRule="auto"/>
        <w:rPr>
          <w:rFonts w:ascii="Times New Roman" w:hAnsi="Times New Roman" w:cs="Times New Roman"/>
          <w:sz w:val="21"/>
          <w:szCs w:val="24"/>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8</w:t>
      </w:r>
      <w:r>
        <w:rPr>
          <w:rFonts w:ascii="Times New Roman" w:hAnsi="Times New Roman" w:cs="Times New Roman"/>
          <w:b/>
          <w:sz w:val="21"/>
          <w:szCs w:val="24"/>
        </w:rPr>
        <w:t>.</w:t>
      </w:r>
      <w:r>
        <w:rPr>
          <w:rFonts w:ascii="Times New Roman" w:hAnsi="Times New Roman" w:eastAsia="黑体" w:cs="Times New Roman"/>
          <w:b/>
          <w:sz w:val="21"/>
          <w:szCs w:val="24"/>
        </w:rPr>
        <w:t>6</w:t>
      </w:r>
      <w:r>
        <w:rPr>
          <w:rFonts w:ascii="Times New Roman" w:hAnsi="Times New Roman" w:eastAsia="黑体" w:cs="Times New Roman"/>
          <w:sz w:val="21"/>
          <w:szCs w:val="24"/>
        </w:rPr>
        <w:t xml:space="preserve"> </w:t>
      </w:r>
      <w:r>
        <w:rPr>
          <w:rFonts w:ascii="Times New Roman" w:hAnsi="Times New Roman" w:cs="Times New Roman"/>
          <w:sz w:val="21"/>
          <w:szCs w:val="24"/>
        </w:rPr>
        <w:t xml:space="preserve"> 田面平整和犁耕应符合下列规定：</w:t>
      </w:r>
    </w:p>
    <w:p w14:paraId="6F82D4E3">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恢复林草的，可采取机械或人工辅助机械对田面进行细平整，并可视林草种采取犁耕。</w:t>
      </w:r>
    </w:p>
    <w:p w14:paraId="42D9F8E9">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恢复为耕、园地的，应采取机械或人工辅助机械对田面进行细平整、犁耕，并应符合土地复垦有关标准的规定。</w:t>
      </w:r>
    </w:p>
    <w:p w14:paraId="33583C6F">
      <w:pPr>
        <w:spacing w:line="360" w:lineRule="auto"/>
        <w:rPr>
          <w:rFonts w:ascii="Times New Roman" w:hAnsi="Times New Roman" w:cs="Times New Roman"/>
          <w:sz w:val="21"/>
          <w:szCs w:val="24"/>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8</w:t>
      </w:r>
      <w:r>
        <w:rPr>
          <w:rFonts w:ascii="Times New Roman" w:hAnsi="Times New Roman" w:cs="Times New Roman"/>
          <w:b/>
          <w:sz w:val="21"/>
          <w:szCs w:val="24"/>
        </w:rPr>
        <w:t>.</w:t>
      </w:r>
      <w:r>
        <w:rPr>
          <w:rFonts w:ascii="Times New Roman" w:hAnsi="Times New Roman" w:eastAsia="黑体" w:cs="Times New Roman"/>
          <w:b/>
          <w:sz w:val="21"/>
          <w:szCs w:val="24"/>
        </w:rPr>
        <w:t>7</w:t>
      </w:r>
      <w:r>
        <w:rPr>
          <w:rFonts w:ascii="Times New Roman" w:hAnsi="Times New Roman" w:cs="Times New Roman"/>
          <w:b/>
          <w:sz w:val="21"/>
          <w:szCs w:val="24"/>
        </w:rPr>
        <w:t xml:space="preserve"> </w:t>
      </w:r>
      <w:r>
        <w:rPr>
          <w:rFonts w:ascii="Times New Roman" w:hAnsi="Times New Roman" w:cs="Times New Roman"/>
          <w:sz w:val="21"/>
          <w:szCs w:val="24"/>
        </w:rPr>
        <w:t xml:space="preserve"> 土地改良应符合下列规定：</w:t>
      </w:r>
    </w:p>
    <w:p w14:paraId="3F2645EC">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1</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恢复为耕地、园地的，应增施有机肥、复合肥或其它肥料。</w:t>
      </w:r>
    </w:p>
    <w:p w14:paraId="0D610EE5">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2</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恢复林草地的，应优先选择具有根瘤菌或其它固氮菌的绿肥植物。工程管理范围的绿化区可在田面细平整后增施有机肥、复合肥或其它肥料。</w:t>
      </w:r>
    </w:p>
    <w:p w14:paraId="04449FFD">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3</w:t>
      </w:r>
      <w:r>
        <w:rPr>
          <w:rFonts w:ascii="Times New Roman" w:hAnsi="Times New Roman" w:cs="Times New Roman"/>
          <w:b/>
          <w:sz w:val="21"/>
          <w:szCs w:val="21"/>
        </w:rPr>
        <w:t xml:space="preserve"> </w:t>
      </w:r>
      <w:r>
        <w:rPr>
          <w:rFonts w:ascii="Times New Roman" w:hAnsi="Times New Roman" w:cs="Times New Roman"/>
          <w:sz w:val="21"/>
          <w:szCs w:val="21"/>
        </w:rPr>
        <w:t xml:space="preserve"> 地表为风沙土、风化砂岩时，可添加污泥、河泥、湖泥、木屑等进行改良。</w:t>
      </w:r>
    </w:p>
    <w:p w14:paraId="32691DF6">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4</w:t>
      </w:r>
      <w:r>
        <w:rPr>
          <w:rFonts w:ascii="Times New Roman" w:hAnsi="Times New Roman" w:cs="Times New Roman"/>
          <w:sz w:val="21"/>
          <w:szCs w:val="21"/>
        </w:rPr>
        <w:t xml:space="preserve">  pH值超标土地，可施加黑矾、石膏、石灰等改良土壤。</w:t>
      </w:r>
    </w:p>
    <w:p w14:paraId="5557A364">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4"/>
        </w:rPr>
        <w:t>5</w:t>
      </w:r>
      <w:r>
        <w:rPr>
          <w:rFonts w:ascii="Times New Roman" w:hAnsi="Times New Roman" w:eastAsia="黑体" w:cs="Times New Roman"/>
          <w:sz w:val="21"/>
          <w:szCs w:val="24"/>
        </w:rPr>
        <w:t xml:space="preserve"> </w:t>
      </w:r>
      <w:r>
        <w:rPr>
          <w:rFonts w:ascii="Times New Roman" w:hAnsi="Times New Roman" w:cs="Times New Roman"/>
          <w:sz w:val="21"/>
          <w:szCs w:val="21"/>
        </w:rPr>
        <w:t xml:space="preserve"> 盐渍化土地，可采取灌水洗盐、排水压盐、客土等方式改良土壤。</w:t>
      </w:r>
    </w:p>
    <w:p w14:paraId="5EA05494">
      <w:pPr>
        <w:spacing w:line="360" w:lineRule="auto"/>
        <w:ind w:firstLine="422" w:firstLineChars="200"/>
        <w:rPr>
          <w:rFonts w:ascii="Times New Roman" w:hAnsi="Times New Roman" w:cs="Times New Roman"/>
          <w:sz w:val="21"/>
          <w:szCs w:val="24"/>
        </w:rPr>
      </w:pPr>
      <w:r>
        <w:rPr>
          <w:rFonts w:ascii="Times New Roman" w:hAnsi="Times New Roman" w:eastAsia="黑体" w:cs="Times New Roman"/>
          <w:b/>
          <w:sz w:val="21"/>
          <w:szCs w:val="24"/>
        </w:rPr>
        <w:t>6</w:t>
      </w:r>
      <w:r>
        <w:rPr>
          <w:rFonts w:ascii="Times New Roman" w:hAnsi="Times New Roman" w:eastAsia="黑体" w:cs="Times New Roman"/>
          <w:sz w:val="21"/>
          <w:szCs w:val="24"/>
        </w:rPr>
        <w:t xml:space="preserve">  </w:t>
      </w:r>
      <w:r>
        <w:rPr>
          <w:rFonts w:ascii="Times New Roman" w:hAnsi="Times New Roman" w:cs="Times New Roman"/>
          <w:sz w:val="21"/>
          <w:szCs w:val="21"/>
        </w:rPr>
        <w:t>北方风沙区盐碱地可采取洗盐、排水等水利措施；深耕晒垡、压砂、增施化肥和有机肥等农业耕作措施。</w:t>
      </w:r>
    </w:p>
    <w:p w14:paraId="6364F95C">
      <w:pPr>
        <w:pBdr>
          <w:top w:val="none" w:color="000000" w:sz="0" w:space="0"/>
          <w:left w:val="none" w:color="000000" w:sz="0" w:space="1"/>
          <w:bottom w:val="none" w:color="000000" w:sz="0" w:space="0"/>
          <w:right w:val="none" w:color="000000" w:sz="0" w:space="0"/>
        </w:pBdr>
        <w:autoSpaceDE w:val="0"/>
        <w:autoSpaceDN w:val="0"/>
        <w:adjustRightInd w:val="0"/>
        <w:spacing w:line="360" w:lineRule="auto"/>
        <w:rPr>
          <w:rFonts w:ascii="Times New Roman" w:hAnsi="Times New Roman" w:cs="Times New Roman"/>
          <w:sz w:val="21"/>
        </w:rPr>
      </w:pPr>
      <w:r>
        <w:rPr>
          <w:rFonts w:ascii="Times New Roman" w:hAnsi="Times New Roman" w:eastAsia="黑体" w:cs="Times New Roman"/>
          <w:b/>
          <w:sz w:val="21"/>
          <w:szCs w:val="24"/>
        </w:rPr>
        <w:t>5</w:t>
      </w:r>
      <w:r>
        <w:rPr>
          <w:rFonts w:ascii="Times New Roman" w:hAnsi="Times New Roman" w:cs="Times New Roman"/>
          <w:b/>
          <w:sz w:val="21"/>
          <w:szCs w:val="24"/>
        </w:rPr>
        <w:t>.</w:t>
      </w:r>
      <w:r>
        <w:rPr>
          <w:rFonts w:ascii="Times New Roman" w:hAnsi="Times New Roman" w:eastAsia="黑体" w:cs="Times New Roman"/>
          <w:b/>
          <w:sz w:val="21"/>
          <w:szCs w:val="24"/>
        </w:rPr>
        <w:t>8</w:t>
      </w:r>
      <w:r>
        <w:rPr>
          <w:rFonts w:ascii="Times New Roman" w:hAnsi="Times New Roman" w:cs="Times New Roman"/>
          <w:b/>
          <w:sz w:val="21"/>
          <w:szCs w:val="24"/>
        </w:rPr>
        <w:t>.</w:t>
      </w:r>
      <w:r>
        <w:rPr>
          <w:rFonts w:ascii="Times New Roman" w:hAnsi="Times New Roman" w:eastAsia="黑体" w:cs="Times New Roman"/>
          <w:b/>
          <w:sz w:val="21"/>
          <w:szCs w:val="24"/>
        </w:rPr>
        <w:t>8</w:t>
      </w:r>
      <w:r>
        <w:rPr>
          <w:rFonts w:ascii="Times New Roman" w:hAnsi="Times New Roman" w:cs="Times New Roman"/>
          <w:sz w:val="21"/>
          <w:szCs w:val="24"/>
        </w:rPr>
        <w:t xml:space="preserve">  恢复为水田和水浇地的，应恢复灌溉及配套水利设施。</w:t>
      </w:r>
    </w:p>
    <w:p w14:paraId="5D62276C">
      <w:pPr>
        <w:keepNext/>
        <w:keepLines/>
        <w:spacing w:before="260" w:after="260" w:line="416" w:lineRule="auto"/>
        <w:jc w:val="center"/>
        <w:outlineLvl w:val="1"/>
        <w:rPr>
          <w:rFonts w:ascii="Times New Roman" w:hAnsi="Times New Roman" w:eastAsia="黑体" w:cs="Times New Roman"/>
          <w:bCs/>
          <w:sz w:val="30"/>
          <w:szCs w:val="32"/>
        </w:rPr>
      </w:pPr>
      <w:bookmarkStart w:id="550" w:name="_Toc3894"/>
      <w:bookmarkStart w:id="551" w:name="_Toc5806"/>
      <w:r>
        <w:rPr>
          <w:rFonts w:ascii="Times New Roman" w:hAnsi="Times New Roman" w:eastAsia="黑体" w:cs="Times New Roman"/>
          <w:bCs/>
          <w:sz w:val="30"/>
          <w:szCs w:val="32"/>
        </w:rPr>
        <w:t>5</w:t>
      </w:r>
      <w:r>
        <w:rPr>
          <w:rFonts w:ascii="Times New Roman" w:hAnsi="Times New Roman" w:cs="Times New Roman"/>
          <w:bCs/>
          <w:sz w:val="30"/>
          <w:szCs w:val="32"/>
        </w:rPr>
        <w:t>.</w:t>
      </w:r>
      <w:r>
        <w:rPr>
          <w:rFonts w:ascii="Times New Roman" w:hAnsi="Times New Roman" w:eastAsia="黑体" w:cs="Times New Roman"/>
          <w:bCs/>
          <w:sz w:val="30"/>
          <w:szCs w:val="32"/>
        </w:rPr>
        <w:t xml:space="preserve">9 </w:t>
      </w:r>
      <w:r>
        <w:rPr>
          <w:rFonts w:hint="eastAsia" w:ascii="Times New Roman" w:hAnsi="Times New Roman" w:eastAsia="黑体" w:cs="Times New Roman"/>
          <w:bCs/>
          <w:sz w:val="30"/>
          <w:szCs w:val="32"/>
        </w:rPr>
        <w:t>防风</w:t>
      </w:r>
      <w:r>
        <w:rPr>
          <w:rFonts w:ascii="Times New Roman" w:hAnsi="Times New Roman" w:eastAsia="黑体" w:cs="Times New Roman"/>
          <w:bCs/>
          <w:sz w:val="30"/>
          <w:szCs w:val="32"/>
        </w:rPr>
        <w:t>固沙工程</w:t>
      </w:r>
      <w:bookmarkEnd w:id="550"/>
      <w:bookmarkEnd w:id="551"/>
    </w:p>
    <w:p w14:paraId="608CAB67">
      <w:pPr>
        <w:keepNext/>
        <w:keepLines/>
        <w:spacing w:before="260" w:after="260" w:line="415"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Ⅰ </w:t>
      </w:r>
      <w:r>
        <w:rPr>
          <w:rFonts w:ascii="Times New Roman" w:hAnsi="Times New Roman" w:eastAsia="黑体" w:cs="Times New Roman"/>
          <w:bCs/>
          <w:sz w:val="24"/>
          <w:szCs w:val="24"/>
        </w:rPr>
        <w:t>一般规定</w:t>
      </w:r>
    </w:p>
    <w:p w14:paraId="4591AF63">
      <w:pPr>
        <w:spacing w:line="360" w:lineRule="auto"/>
        <w:jc w:val="left"/>
        <w:rPr>
          <w:rFonts w:ascii="Times New Roman" w:hAnsi="Times New Roman" w:cs="Times New Roman"/>
          <w:sz w:val="21"/>
        </w:rPr>
      </w:pPr>
      <w:r>
        <w:rPr>
          <w:rFonts w:ascii="Times New Roman" w:hAnsi="Times New Roman" w:cs="Times New Roman"/>
          <w:b/>
          <w:sz w:val="21"/>
        </w:rPr>
        <w:t xml:space="preserve">5.9.1  </w:t>
      </w:r>
      <w:r>
        <w:rPr>
          <w:rFonts w:ascii="Times New Roman" w:hAnsi="Times New Roman" w:cs="Times New Roman"/>
          <w:sz w:val="21"/>
        </w:rPr>
        <w:t>生产建设项目建设和运行中所造成的土地沙化或项目处于风沙区，遭受风沙危害时，应采取防风固沙工程。</w:t>
      </w:r>
    </w:p>
    <w:p w14:paraId="45A80DA3">
      <w:pPr>
        <w:spacing w:line="360" w:lineRule="auto"/>
        <w:jc w:val="left"/>
        <w:rPr>
          <w:rFonts w:ascii="Times New Roman" w:hAnsi="Times New Roman" w:cs="Times New Roman"/>
          <w:sz w:val="21"/>
        </w:rPr>
      </w:pPr>
      <w:r>
        <w:rPr>
          <w:rFonts w:ascii="Times New Roman" w:hAnsi="Times New Roman" w:cs="Times New Roman"/>
          <w:b/>
          <w:sz w:val="21"/>
        </w:rPr>
        <w:t xml:space="preserve">5.9.2  </w:t>
      </w:r>
      <w:r>
        <w:rPr>
          <w:rFonts w:ascii="Times New Roman" w:hAnsi="Times New Roman" w:cs="Times New Roman"/>
          <w:sz w:val="21"/>
        </w:rPr>
        <w:t>防风固沙工程布设应就地取材、经济合理，防风固沙工程可采取沙障、化学固沙、防风固沙林、防风固沙种草和封育。应根据项目区所在地的气候特征和风沙危害特点，参照</w:t>
      </w:r>
      <w:r>
        <w:rPr>
          <w:rFonts w:ascii="Times New Roman" w:hAnsi="Times New Roman" w:cs="Times New Roman"/>
          <w:bCs/>
          <w:sz w:val="21"/>
        </w:rPr>
        <w:t>本标准4.13节的规定布置</w:t>
      </w:r>
      <w:r>
        <w:rPr>
          <w:rFonts w:ascii="Times New Roman" w:hAnsi="Times New Roman" w:cs="Times New Roman"/>
          <w:sz w:val="21"/>
        </w:rPr>
        <w:t>相应的防风固沙工程。</w:t>
      </w:r>
    </w:p>
    <w:p w14:paraId="1066F8B5">
      <w:pPr>
        <w:keepNext/>
        <w:keepLines/>
        <w:spacing w:before="260" w:after="260" w:line="416" w:lineRule="auto"/>
        <w:jc w:val="center"/>
        <w:outlineLvl w:val="2"/>
        <w:rPr>
          <w:rFonts w:ascii="Times New Roman" w:hAnsi="Times New Roman" w:eastAsia="黑体" w:cs="Times New Roman"/>
          <w:bCs/>
          <w:sz w:val="24"/>
          <w:szCs w:val="24"/>
        </w:rPr>
      </w:pPr>
      <w:r>
        <w:rPr>
          <w:rFonts w:ascii="Times New Roman" w:hAnsi="Times New Roman" w:cs="Times New Roman"/>
          <w:bCs/>
          <w:sz w:val="24"/>
          <w:szCs w:val="24"/>
        </w:rPr>
        <w:t xml:space="preserve">Ⅱ </w:t>
      </w:r>
      <w:r>
        <w:rPr>
          <w:rFonts w:ascii="Times New Roman" w:hAnsi="Times New Roman" w:eastAsia="黑体" w:cs="Times New Roman"/>
          <w:bCs/>
          <w:sz w:val="24"/>
          <w:szCs w:val="24"/>
        </w:rPr>
        <w:t>设计要求</w:t>
      </w:r>
    </w:p>
    <w:p w14:paraId="1241D75F">
      <w:pPr>
        <w:spacing w:line="360" w:lineRule="auto"/>
        <w:jc w:val="left"/>
        <w:rPr>
          <w:rFonts w:ascii="Times New Roman" w:hAnsi="Times New Roman" w:cs="Times New Roman"/>
          <w:sz w:val="21"/>
        </w:rPr>
      </w:pPr>
      <w:r>
        <w:rPr>
          <w:rFonts w:ascii="Times New Roman" w:hAnsi="Times New Roman" w:cs="Times New Roman"/>
          <w:b/>
          <w:sz w:val="21"/>
        </w:rPr>
        <w:t>5.9.3</w:t>
      </w:r>
      <w:r>
        <w:rPr>
          <w:rFonts w:ascii="Times New Roman" w:hAnsi="Times New Roman" w:cs="Times New Roman"/>
          <w:sz w:val="21"/>
        </w:rPr>
        <w:t xml:space="preserve">  干旱风蚀荒漠化区防风固沙工程设计应符合下列规定：</w:t>
      </w:r>
    </w:p>
    <w:p w14:paraId="358E3A0E">
      <w:pPr>
        <w:spacing w:line="360" w:lineRule="auto"/>
        <w:ind w:firstLine="422" w:firstLineChars="200"/>
        <w:jc w:val="left"/>
        <w:rPr>
          <w:rFonts w:ascii="Times New Roman" w:hAnsi="Times New Roman" w:cs="Times New Roman"/>
          <w:sz w:val="21"/>
        </w:rPr>
      </w:pPr>
      <w:r>
        <w:rPr>
          <w:rFonts w:ascii="Times New Roman" w:hAnsi="Times New Roman" w:cs="Times New Roman"/>
          <w:b/>
          <w:bCs/>
          <w:sz w:val="21"/>
        </w:rPr>
        <w:t>1</w:t>
      </w:r>
      <w:r>
        <w:rPr>
          <w:rFonts w:ascii="Times New Roman" w:hAnsi="Times New Roman" w:cs="Times New Roman"/>
          <w:sz w:val="21"/>
        </w:rPr>
        <w:t xml:space="preserve">  公路、铁路、机场、输水等项目的防风固沙工程布设，外围宜设立高立沙障阻沙带，其内侧宜配置沙障或化学固沙带以及林草带，内侧设置输导带。</w:t>
      </w:r>
    </w:p>
    <w:p w14:paraId="428EF9E1">
      <w:pPr>
        <w:spacing w:line="360" w:lineRule="auto"/>
        <w:ind w:firstLine="422" w:firstLineChars="200"/>
        <w:jc w:val="left"/>
        <w:rPr>
          <w:rFonts w:ascii="Times New Roman" w:hAnsi="Times New Roman" w:cs="Times New Roman"/>
          <w:sz w:val="21"/>
        </w:rPr>
      </w:pPr>
      <w:r>
        <w:rPr>
          <w:rFonts w:ascii="Times New Roman" w:hAnsi="Times New Roman" w:cs="Times New Roman"/>
          <w:b/>
          <w:bCs/>
          <w:sz w:val="21"/>
        </w:rPr>
        <w:t>2</w:t>
      </w:r>
      <w:r>
        <w:rPr>
          <w:rFonts w:ascii="Times New Roman" w:hAnsi="Times New Roman" w:cs="Times New Roman"/>
          <w:sz w:val="21"/>
        </w:rPr>
        <w:t xml:space="preserve">  水利、水电、金属矿、非金属矿、煤矿、煤化工、水泥等项目的防风固沙工程布设，外围宜采取沙障固沙，其内侧宜配置砾石覆盖、化学固沙或人工林草带。</w:t>
      </w:r>
    </w:p>
    <w:p w14:paraId="52EBB1BD">
      <w:pPr>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szCs w:val="24"/>
        </w:rPr>
        <w:t xml:space="preserve">3  </w:t>
      </w:r>
      <w:r>
        <w:rPr>
          <w:rFonts w:ascii="Times New Roman" w:hAnsi="Times New Roman" w:cs="Times New Roman"/>
          <w:sz w:val="21"/>
        </w:rPr>
        <w:t>风电、光伏、输变电等项目的防风固沙工程，宜采取砾石覆盖或沙障固沙。</w:t>
      </w:r>
    </w:p>
    <w:p w14:paraId="0372E631">
      <w:pPr>
        <w:spacing w:line="360" w:lineRule="auto"/>
        <w:ind w:firstLine="422" w:firstLineChars="200"/>
        <w:jc w:val="left"/>
        <w:rPr>
          <w:rFonts w:ascii="Times New Roman" w:hAnsi="Times New Roman" w:cs="Times New Roman"/>
          <w:sz w:val="21"/>
        </w:rPr>
      </w:pPr>
      <w:r>
        <w:rPr>
          <w:rFonts w:ascii="Times New Roman" w:hAnsi="Times New Roman" w:cs="Times New Roman"/>
          <w:b/>
          <w:bCs/>
          <w:sz w:val="21"/>
        </w:rPr>
        <w:t>4</w:t>
      </w:r>
      <w:r>
        <w:rPr>
          <w:rFonts w:ascii="Times New Roman" w:hAnsi="Times New Roman" w:cs="Times New Roman"/>
          <w:sz w:val="21"/>
        </w:rPr>
        <w:t xml:space="preserve">  防风固沙林带宜配套节水灌溉设施</w:t>
      </w:r>
      <w:r>
        <w:rPr>
          <w:rFonts w:ascii="Times New Roman" w:hAnsi="Times New Roman" w:cs="Times New Roman"/>
          <w:sz w:val="21"/>
          <w:szCs w:val="24"/>
        </w:rPr>
        <w:t>。</w:t>
      </w:r>
    </w:p>
    <w:p w14:paraId="087EE3CC">
      <w:pPr>
        <w:spacing w:line="360" w:lineRule="auto"/>
        <w:jc w:val="left"/>
        <w:rPr>
          <w:rFonts w:ascii="Times New Roman" w:hAnsi="Times New Roman" w:cs="Times New Roman"/>
          <w:sz w:val="21"/>
        </w:rPr>
      </w:pPr>
      <w:r>
        <w:rPr>
          <w:rFonts w:ascii="Times New Roman" w:hAnsi="Times New Roman" w:cs="Times New Roman"/>
          <w:b/>
          <w:sz w:val="21"/>
        </w:rPr>
        <w:t>5.9.4</w:t>
      </w:r>
      <w:r>
        <w:rPr>
          <w:rFonts w:ascii="Times New Roman" w:hAnsi="Times New Roman" w:cs="Times New Roman"/>
          <w:sz w:val="21"/>
        </w:rPr>
        <w:t xml:space="preserve">  半干旱风蚀沙化地区防风固沙工程设计应符合下列规定：</w:t>
      </w:r>
    </w:p>
    <w:p w14:paraId="22467ECF">
      <w:pPr>
        <w:spacing w:line="360" w:lineRule="auto"/>
        <w:ind w:firstLine="422" w:firstLineChars="200"/>
        <w:jc w:val="left"/>
        <w:rPr>
          <w:rFonts w:ascii="Times New Roman" w:hAnsi="Times New Roman" w:cs="Times New Roman"/>
          <w:sz w:val="21"/>
        </w:rPr>
      </w:pPr>
      <w:r>
        <w:rPr>
          <w:rFonts w:ascii="Times New Roman" w:hAnsi="Times New Roman" w:cs="Times New Roman"/>
          <w:b/>
          <w:bCs/>
          <w:sz w:val="21"/>
        </w:rPr>
        <w:t>1</w:t>
      </w:r>
      <w:r>
        <w:rPr>
          <w:rFonts w:ascii="Times New Roman" w:hAnsi="Times New Roman" w:cs="Times New Roman"/>
          <w:sz w:val="21"/>
        </w:rPr>
        <w:t xml:space="preserve">  处于流动沙地的公路、铁路、机场、水利、水电、金属矿、非金属矿、煤矿等项目的防风固沙带，外围宜建设天然林草封育带，内侧设置沙障、人工灌草和乔灌林带。</w:t>
      </w:r>
    </w:p>
    <w:p w14:paraId="6AF5883E">
      <w:pPr>
        <w:spacing w:line="360" w:lineRule="auto"/>
        <w:ind w:firstLine="422" w:firstLineChars="200"/>
        <w:jc w:val="left"/>
        <w:rPr>
          <w:rFonts w:ascii="Times New Roman" w:hAnsi="Times New Roman" w:cs="Times New Roman"/>
          <w:sz w:val="21"/>
        </w:rPr>
      </w:pPr>
      <w:r>
        <w:rPr>
          <w:rFonts w:ascii="Times New Roman" w:hAnsi="Times New Roman" w:cs="Times New Roman"/>
          <w:b/>
          <w:bCs/>
          <w:sz w:val="21"/>
        </w:rPr>
        <w:t>2</w:t>
      </w:r>
      <w:r>
        <w:rPr>
          <w:rFonts w:ascii="Times New Roman" w:hAnsi="Times New Roman" w:cs="Times New Roman"/>
          <w:sz w:val="21"/>
        </w:rPr>
        <w:t xml:space="preserve">  </w:t>
      </w:r>
      <w:r>
        <w:rPr>
          <w:rFonts w:ascii="Times New Roman" w:hAnsi="Times New Roman" w:cs="Times New Roman"/>
          <w:sz w:val="21"/>
          <w:szCs w:val="24"/>
        </w:rPr>
        <w:t>处于固定及半固定沙地的生产建设项目，周边宜布设窄林带和宽草带，并采取乔灌草相结合配置方式。临时占压或扰动的施工场地施工结束后优先采取当地适生植物恢复植被，地表用风沙土回覆的应采取草格沙障、种植灌草等措施，不具备植被恢复条件的可采用砾石、卵石、碎石和黏土覆盖。</w:t>
      </w:r>
    </w:p>
    <w:p w14:paraId="2446792B">
      <w:pPr>
        <w:spacing w:line="360" w:lineRule="auto"/>
        <w:ind w:firstLine="422" w:firstLineChars="200"/>
        <w:jc w:val="left"/>
        <w:rPr>
          <w:rFonts w:ascii="Times New Roman" w:hAnsi="Times New Roman" w:cs="Times New Roman"/>
          <w:sz w:val="21"/>
        </w:rPr>
      </w:pPr>
      <w:r>
        <w:rPr>
          <w:rFonts w:ascii="Times New Roman" w:hAnsi="Times New Roman" w:cs="Times New Roman"/>
          <w:b/>
          <w:bCs/>
          <w:sz w:val="21"/>
        </w:rPr>
        <w:t>3</w:t>
      </w:r>
      <w:r>
        <w:rPr>
          <w:rFonts w:ascii="Times New Roman" w:hAnsi="Times New Roman" w:cs="Times New Roman"/>
          <w:sz w:val="21"/>
        </w:rPr>
        <w:t xml:space="preserve">  有蓄水条件的工程永久办公生活区内宜布设雨水集蓄利用工程，用于植被灌溉。</w:t>
      </w:r>
    </w:p>
    <w:p w14:paraId="6882C749">
      <w:pPr>
        <w:spacing w:line="360" w:lineRule="auto"/>
        <w:jc w:val="left"/>
        <w:rPr>
          <w:rFonts w:ascii="Times New Roman" w:hAnsi="Times New Roman" w:cs="Times New Roman"/>
          <w:sz w:val="21"/>
        </w:rPr>
      </w:pPr>
      <w:r>
        <w:rPr>
          <w:rFonts w:ascii="Times New Roman" w:hAnsi="Times New Roman" w:cs="Times New Roman"/>
          <w:b/>
          <w:sz w:val="21"/>
        </w:rPr>
        <w:t>5.9.5</w:t>
      </w:r>
      <w:r>
        <w:rPr>
          <w:rFonts w:ascii="Times New Roman" w:hAnsi="Times New Roman" w:cs="Times New Roman"/>
          <w:sz w:val="21"/>
        </w:rPr>
        <w:t xml:space="preserve">  高寒干旱荒漠、高寒半干旱风蚀沙化地区防风固沙工程设计应符合下列规定：</w:t>
      </w:r>
    </w:p>
    <w:p w14:paraId="38281B9F">
      <w:pPr>
        <w:spacing w:line="360" w:lineRule="auto"/>
        <w:ind w:firstLine="422" w:firstLineChars="200"/>
        <w:jc w:val="left"/>
        <w:rPr>
          <w:rFonts w:ascii="Times New Roman" w:hAnsi="Times New Roman" w:cs="Times New Roman"/>
          <w:sz w:val="21"/>
        </w:rPr>
      </w:pPr>
      <w:r>
        <w:rPr>
          <w:rFonts w:ascii="Times New Roman" w:hAnsi="Times New Roman" w:cs="Times New Roman"/>
          <w:b/>
          <w:bCs/>
          <w:sz w:val="21"/>
        </w:rPr>
        <w:t>1</w:t>
      </w:r>
      <w:r>
        <w:rPr>
          <w:rFonts w:ascii="Times New Roman" w:hAnsi="Times New Roman" w:cs="Times New Roman"/>
          <w:sz w:val="21"/>
        </w:rPr>
        <w:t xml:space="preserve">  电力、水利、水电、金属矿、非金属矿、煤矿、煤化工等项目的防风固沙工程，外围应建立封禁带，内侧应设置天然植被封育带，封育带内可设置沙障或化学固沙、人工灌草固沙带。</w:t>
      </w:r>
    </w:p>
    <w:p w14:paraId="11ED89AE">
      <w:pPr>
        <w:spacing w:line="360" w:lineRule="auto"/>
        <w:ind w:firstLine="422" w:firstLineChars="200"/>
        <w:jc w:val="left"/>
        <w:rPr>
          <w:rFonts w:ascii="Times New Roman" w:hAnsi="Times New Roman" w:cs="Times New Roman"/>
          <w:sz w:val="21"/>
        </w:rPr>
      </w:pPr>
      <w:r>
        <w:rPr>
          <w:rFonts w:ascii="Times New Roman" w:hAnsi="Times New Roman" w:cs="Times New Roman"/>
          <w:b/>
          <w:bCs/>
          <w:sz w:val="21"/>
        </w:rPr>
        <w:t>2</w:t>
      </w:r>
      <w:r>
        <w:rPr>
          <w:rFonts w:ascii="Times New Roman" w:hAnsi="Times New Roman" w:cs="Times New Roman"/>
          <w:sz w:val="21"/>
        </w:rPr>
        <w:t xml:space="preserve">  高寒干旱荒漠化区域的公路、铁路、机场等项目的防风固沙工程，外侧宜配置多排高立式沙障，内侧宜设置沙障或化学固沙、人工灌草带和输导带。</w:t>
      </w:r>
    </w:p>
    <w:p w14:paraId="26402DB1">
      <w:pPr>
        <w:spacing w:line="360" w:lineRule="auto"/>
        <w:ind w:firstLine="422" w:firstLineChars="200"/>
        <w:jc w:val="left"/>
        <w:rPr>
          <w:rFonts w:ascii="Times New Roman" w:hAnsi="Times New Roman" w:cs="Times New Roman"/>
          <w:sz w:val="21"/>
        </w:rPr>
      </w:pPr>
      <w:r>
        <w:rPr>
          <w:rFonts w:ascii="Times New Roman" w:hAnsi="Times New Roman" w:cs="Times New Roman"/>
          <w:b/>
          <w:bCs/>
          <w:sz w:val="21"/>
        </w:rPr>
        <w:t>3</w:t>
      </w:r>
      <w:r>
        <w:rPr>
          <w:rFonts w:ascii="Times New Roman" w:hAnsi="Times New Roman" w:cs="Times New Roman"/>
          <w:sz w:val="21"/>
        </w:rPr>
        <w:t xml:space="preserve">  高寒半干旱风蚀沙化区的公路、铁路、机场等项目的防风固沙工程，外侧宜建设封沙育草带，内侧宜布设沙障或化学固沙、人工灌草带和输导带。</w:t>
      </w:r>
    </w:p>
    <w:p w14:paraId="5C00310B">
      <w:pPr>
        <w:spacing w:line="360" w:lineRule="auto"/>
        <w:jc w:val="left"/>
        <w:rPr>
          <w:rFonts w:ascii="Times New Roman" w:hAnsi="Times New Roman" w:cs="Times New Roman"/>
          <w:sz w:val="21"/>
        </w:rPr>
      </w:pPr>
      <w:r>
        <w:rPr>
          <w:rFonts w:ascii="Times New Roman" w:hAnsi="Times New Roman" w:cs="Times New Roman"/>
          <w:b/>
          <w:bCs/>
          <w:sz w:val="21"/>
        </w:rPr>
        <w:t>5.9.6</w:t>
      </w:r>
      <w:r>
        <w:rPr>
          <w:rFonts w:ascii="Times New Roman" w:hAnsi="Times New Roman" w:cs="Times New Roman"/>
          <w:sz w:val="21"/>
        </w:rPr>
        <w:t xml:space="preserve">  半湿润平原风沙区</w:t>
      </w:r>
      <w:r>
        <w:rPr>
          <w:rFonts w:ascii="Times New Roman" w:hAnsi="Times New Roman" w:cs="Times New Roman"/>
          <w:sz w:val="21"/>
          <w:szCs w:val="24"/>
        </w:rPr>
        <w:t>和湿润气候带的沙山、风沙带防风固沙工程设计应符合下列规定：</w:t>
      </w:r>
    </w:p>
    <w:p w14:paraId="6D2AF47E">
      <w:pPr>
        <w:spacing w:line="360" w:lineRule="auto"/>
        <w:ind w:firstLine="422" w:firstLineChars="200"/>
        <w:jc w:val="left"/>
        <w:rPr>
          <w:rFonts w:ascii="Times New Roman" w:hAnsi="Times New Roman" w:cs="Times New Roman"/>
          <w:sz w:val="21"/>
        </w:rPr>
      </w:pPr>
      <w:r>
        <w:rPr>
          <w:rFonts w:ascii="Times New Roman" w:hAnsi="Times New Roman" w:cs="Times New Roman"/>
          <w:b/>
          <w:bCs/>
          <w:sz w:val="21"/>
        </w:rPr>
        <w:t>1</w:t>
      </w:r>
      <w:r>
        <w:rPr>
          <w:rFonts w:ascii="Times New Roman" w:hAnsi="Times New Roman" w:cs="Times New Roman"/>
          <w:sz w:val="21"/>
        </w:rPr>
        <w:t xml:space="preserve">  工程周边应营造防风固沙林带，可绿化地区采取当地适生植物恢复植被。</w:t>
      </w:r>
    </w:p>
    <w:p w14:paraId="68DE64DB">
      <w:pPr>
        <w:spacing w:line="360" w:lineRule="auto"/>
        <w:ind w:firstLine="422" w:firstLineChars="200"/>
        <w:jc w:val="left"/>
        <w:rPr>
          <w:rFonts w:ascii="Times New Roman" w:hAnsi="Times New Roman" w:cs="Times New Roman"/>
          <w:sz w:val="21"/>
        </w:rPr>
      </w:pPr>
      <w:r>
        <w:rPr>
          <w:rFonts w:ascii="Times New Roman" w:hAnsi="Times New Roman" w:cs="Times New Roman"/>
          <w:b/>
          <w:bCs/>
          <w:sz w:val="21"/>
        </w:rPr>
        <w:t>2</w:t>
      </w:r>
      <w:r>
        <w:rPr>
          <w:rFonts w:ascii="Times New Roman" w:hAnsi="Times New Roman" w:cs="Times New Roman"/>
          <w:sz w:val="21"/>
        </w:rPr>
        <w:t xml:space="preserve">  沿海风沙带应营造海岸防风固沙林带，盐土地宜采用客植树。</w:t>
      </w:r>
    </w:p>
    <w:p w14:paraId="66309BE2">
      <w:pPr>
        <w:spacing w:line="360" w:lineRule="auto"/>
        <w:jc w:val="left"/>
        <w:rPr>
          <w:rFonts w:ascii="Times New Roman" w:hAnsi="Times New Roman" w:cs="Times New Roman"/>
          <w:sz w:val="21"/>
        </w:rPr>
      </w:pPr>
      <w:r>
        <w:rPr>
          <w:rFonts w:ascii="Times New Roman" w:hAnsi="Times New Roman" w:cs="Times New Roman"/>
          <w:b/>
          <w:sz w:val="21"/>
        </w:rPr>
        <w:t xml:space="preserve">5.9.7 </w:t>
      </w:r>
      <w:r>
        <w:rPr>
          <w:rFonts w:ascii="Times New Roman" w:hAnsi="Times New Roman" w:cs="Times New Roman"/>
          <w:sz w:val="21"/>
        </w:rPr>
        <w:t xml:space="preserve"> 沙障、化学固沙、防风固沙林、防风固沙种草、输导带等设计应按照4.13相关要求执行。</w:t>
      </w:r>
    </w:p>
    <w:p w14:paraId="76E702CA">
      <w:pPr>
        <w:keepNext/>
        <w:keepLines/>
        <w:spacing w:before="260" w:after="260" w:line="416" w:lineRule="auto"/>
        <w:jc w:val="center"/>
        <w:outlineLvl w:val="1"/>
        <w:rPr>
          <w:rFonts w:ascii="Times New Roman" w:hAnsi="Times New Roman" w:eastAsia="黑体" w:cs="Times New Roman"/>
          <w:bCs/>
          <w:sz w:val="30"/>
          <w:szCs w:val="32"/>
        </w:rPr>
      </w:pPr>
      <w:bookmarkStart w:id="552" w:name="_Toc17618"/>
      <w:bookmarkStart w:id="553" w:name="_Toc9196"/>
      <w:r>
        <w:rPr>
          <w:rFonts w:ascii="Times New Roman" w:hAnsi="Times New Roman" w:eastAsia="黑体" w:cs="Times New Roman"/>
          <w:bCs/>
          <w:sz w:val="30"/>
          <w:szCs w:val="32"/>
        </w:rPr>
        <w:t>5.10 植被恢复与建设工程</w:t>
      </w:r>
      <w:bookmarkEnd w:id="552"/>
      <w:bookmarkEnd w:id="553"/>
    </w:p>
    <w:p w14:paraId="59154CF2">
      <w:pPr>
        <w:keepNext/>
        <w:keepLines/>
        <w:spacing w:before="260" w:after="260" w:line="416" w:lineRule="auto"/>
        <w:jc w:val="center"/>
        <w:outlineLvl w:val="2"/>
        <w:rPr>
          <w:rFonts w:ascii="Times New Roman" w:hAnsi="Times New Roman" w:eastAsia="黑体" w:cs="Times New Roman"/>
          <w:bCs/>
          <w:sz w:val="24"/>
          <w:szCs w:val="24"/>
        </w:rPr>
      </w:pPr>
      <w:r>
        <w:rPr>
          <w:rFonts w:ascii="Times New Roman" w:hAnsi="Times New Roman" w:cs="Times New Roman"/>
          <w:bCs/>
          <w:sz w:val="24"/>
          <w:szCs w:val="24"/>
        </w:rPr>
        <w:t xml:space="preserve">Ⅰ </w:t>
      </w:r>
      <w:r>
        <w:rPr>
          <w:rFonts w:ascii="Times New Roman" w:hAnsi="Times New Roman" w:eastAsia="黑体" w:cs="Times New Roman"/>
          <w:bCs/>
          <w:sz w:val="24"/>
          <w:szCs w:val="24"/>
        </w:rPr>
        <w:t>一般规定</w:t>
      </w:r>
    </w:p>
    <w:p w14:paraId="3B666B0C">
      <w:pPr>
        <w:autoSpaceDE w:val="0"/>
        <w:autoSpaceDN w:val="0"/>
        <w:adjustRightInd w:val="0"/>
        <w:spacing w:line="360" w:lineRule="auto"/>
        <w:rPr>
          <w:rFonts w:ascii="Times New Roman" w:hAnsi="Times New Roman" w:eastAsia="黑体"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1</w:t>
      </w:r>
      <w:r>
        <w:rPr>
          <w:rFonts w:ascii="Times New Roman" w:hAnsi="Times New Roman" w:eastAsia="黑体" w:cs="Times New Roman"/>
          <w:sz w:val="21"/>
        </w:rPr>
        <w:t xml:space="preserve"> </w:t>
      </w:r>
      <w:r>
        <w:rPr>
          <w:rFonts w:ascii="Times New Roman" w:hAnsi="Times New Roman" w:cs="Times New Roman"/>
          <w:sz w:val="21"/>
        </w:rPr>
        <w:t xml:space="preserve"> 植被恢复与建设工程应包括生态景观绿化工程和植被恢复工程。</w:t>
      </w:r>
    </w:p>
    <w:p w14:paraId="2DF4CF03">
      <w:pPr>
        <w:autoSpaceDE w:val="0"/>
        <w:autoSpaceDN w:val="0"/>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2</w:t>
      </w:r>
      <w:r>
        <w:rPr>
          <w:rFonts w:ascii="Times New Roman" w:hAnsi="Times New Roman" w:cs="Times New Roman"/>
          <w:b/>
          <w:sz w:val="21"/>
        </w:rPr>
        <w:t xml:space="preserve"> </w:t>
      </w:r>
      <w:r>
        <w:rPr>
          <w:rFonts w:ascii="Times New Roman" w:hAnsi="Times New Roman" w:cs="Times New Roman"/>
          <w:sz w:val="21"/>
        </w:rPr>
        <w:t xml:space="preserve"> 植被恢复与建设工程布设范围应主要包括下列区域：</w:t>
      </w:r>
    </w:p>
    <w:p w14:paraId="63D5187F">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1</w:t>
      </w:r>
      <w:r>
        <w:rPr>
          <w:rFonts w:ascii="Times New Roman" w:hAnsi="Times New Roman" w:cs="Times New Roman"/>
          <w:b/>
          <w:sz w:val="21"/>
        </w:rPr>
        <w:t xml:space="preserve"> </w:t>
      </w:r>
      <w:r>
        <w:rPr>
          <w:rFonts w:ascii="Times New Roman" w:hAnsi="Times New Roman" w:cs="Times New Roman"/>
          <w:sz w:val="21"/>
        </w:rPr>
        <w:t xml:space="preserve"> 永久占地范围内扰动后的裸露地表和工程管理范围内未扰动的土地。</w:t>
      </w:r>
    </w:p>
    <w:p w14:paraId="6F576217">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2</w:t>
      </w:r>
      <w:r>
        <w:rPr>
          <w:rFonts w:ascii="Times New Roman" w:hAnsi="Times New Roman" w:cs="Times New Roman"/>
          <w:b/>
          <w:sz w:val="21"/>
        </w:rPr>
        <w:t xml:space="preserve"> </w:t>
      </w:r>
      <w:r>
        <w:rPr>
          <w:rFonts w:ascii="Times New Roman" w:hAnsi="Times New Roman" w:cs="Times New Roman"/>
          <w:sz w:val="21"/>
        </w:rPr>
        <w:t xml:space="preserve"> 未采取复耕措施的弃渣场、料场、施工生产生活区、施工道路等临时占地范围。</w:t>
      </w:r>
    </w:p>
    <w:p w14:paraId="26F9EB4E">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3</w:t>
      </w:r>
      <w:r>
        <w:rPr>
          <w:rFonts w:ascii="Times New Roman" w:hAnsi="Times New Roman" w:cs="Times New Roman"/>
          <w:b/>
          <w:sz w:val="21"/>
        </w:rPr>
        <w:t xml:space="preserve"> </w:t>
      </w:r>
      <w:r>
        <w:rPr>
          <w:rFonts w:ascii="Times New Roman" w:hAnsi="Times New Roman" w:cs="Times New Roman"/>
          <w:sz w:val="21"/>
        </w:rPr>
        <w:t xml:space="preserve"> 拆迁（移民）安置及专项设施复（改）建区可绿化区域。</w:t>
      </w:r>
    </w:p>
    <w:p w14:paraId="78C9454F">
      <w:pPr>
        <w:pBdr>
          <w:top w:val="none" w:color="000000" w:sz="0" w:space="0"/>
          <w:left w:val="none" w:color="000000" w:sz="0" w:space="0"/>
          <w:bottom w:val="none" w:color="000000" w:sz="0" w:space="0"/>
          <w:right w:val="none" w:color="000000" w:sz="0" w:space="0"/>
        </w:pBdr>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3</w:t>
      </w:r>
      <w:r>
        <w:rPr>
          <w:rFonts w:ascii="Times New Roman" w:hAnsi="Times New Roman" w:eastAsia="黑体" w:cs="Times New Roman"/>
          <w:sz w:val="21"/>
        </w:rPr>
        <w:t xml:space="preserve"> </w:t>
      </w:r>
      <w:r>
        <w:rPr>
          <w:rFonts w:ascii="Times New Roman" w:hAnsi="Times New Roman" w:cs="Times New Roman"/>
          <w:sz w:val="21"/>
        </w:rPr>
        <w:t xml:space="preserve"> 植被恢复与建设工程设计应符合下列原则：</w:t>
      </w:r>
    </w:p>
    <w:p w14:paraId="605B3D8F">
      <w:pPr>
        <w:pBdr>
          <w:top w:val="none" w:color="000000" w:sz="0" w:space="0"/>
          <w:left w:val="none" w:color="000000" w:sz="0" w:space="0"/>
          <w:bottom w:val="none" w:color="000000" w:sz="0" w:space="0"/>
          <w:right w:val="none" w:color="000000" w:sz="0" w:space="0"/>
        </w:pBdr>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1</w:t>
      </w:r>
      <w:r>
        <w:rPr>
          <w:rFonts w:ascii="Times New Roman" w:hAnsi="Times New Roman" w:eastAsia="黑体" w:cs="Times New Roman"/>
          <w:sz w:val="21"/>
        </w:rPr>
        <w:t xml:space="preserve"> </w:t>
      </w:r>
      <w:r>
        <w:rPr>
          <w:rFonts w:ascii="Times New Roman" w:hAnsi="Times New Roman" w:cs="Times New Roman"/>
          <w:sz w:val="21"/>
        </w:rPr>
        <w:t xml:space="preserve"> 在不影响主体工程安全的前提下，应优先满足生态与景观要求。</w:t>
      </w:r>
    </w:p>
    <w:p w14:paraId="04FC52F6">
      <w:pPr>
        <w:pBdr>
          <w:top w:val="none" w:color="000000" w:sz="0" w:space="0"/>
          <w:left w:val="none" w:color="000000" w:sz="0" w:space="0"/>
          <w:bottom w:val="none" w:color="000000" w:sz="0" w:space="0"/>
          <w:right w:val="none" w:color="000000" w:sz="0" w:space="0"/>
        </w:pBdr>
        <w:adjustRightInd w:val="0"/>
        <w:spacing w:line="360" w:lineRule="auto"/>
        <w:ind w:firstLine="422" w:firstLineChars="200"/>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应注重对原有植物和自然景观保护和利用。</w:t>
      </w:r>
    </w:p>
    <w:p w14:paraId="3F2B06C6">
      <w:pPr>
        <w:pBdr>
          <w:top w:val="none" w:color="000000" w:sz="0" w:space="0"/>
          <w:left w:val="none" w:color="000000" w:sz="0" w:space="0"/>
          <w:bottom w:val="none" w:color="000000" w:sz="0" w:space="0"/>
          <w:right w:val="none" w:color="000000" w:sz="0" w:space="0"/>
        </w:pBdr>
        <w:adjustRightInd w:val="0"/>
        <w:spacing w:line="360" w:lineRule="auto"/>
        <w:ind w:firstLine="422" w:firstLineChars="200"/>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应与景观建设和生物多样性保护相结合，合理配置树草种，宜构建近自然植物群落。</w:t>
      </w:r>
    </w:p>
    <w:p w14:paraId="145406BE">
      <w:pPr>
        <w:pBdr>
          <w:top w:val="none" w:color="000000" w:sz="0" w:space="0"/>
          <w:left w:val="none" w:color="000000" w:sz="0" w:space="0"/>
          <w:bottom w:val="none" w:color="000000" w:sz="0" w:space="0"/>
          <w:right w:val="none" w:color="000000" w:sz="0" w:space="0"/>
        </w:pBdr>
        <w:adjustRightInd w:val="0"/>
        <w:spacing w:line="360" w:lineRule="auto"/>
        <w:rPr>
          <w:rFonts w:ascii="Times New Roman" w:hAnsi="Times New Roman" w:cs="Times New Roman"/>
          <w:bCs/>
          <w:sz w:val="21"/>
        </w:rPr>
      </w:pPr>
      <w:r>
        <w:rPr>
          <w:rFonts w:ascii="Times New Roman" w:hAnsi="Times New Roman" w:eastAsia="黑体" w:cs="Times New Roman"/>
          <w:b/>
          <w:bCs/>
          <w:sz w:val="21"/>
        </w:rPr>
        <w:t>5</w:t>
      </w:r>
      <w:r>
        <w:rPr>
          <w:rFonts w:ascii="Times New Roman" w:hAnsi="Times New Roman" w:cs="Times New Roman"/>
          <w:b/>
          <w:bCs/>
          <w:sz w:val="21"/>
        </w:rPr>
        <w:t>.</w:t>
      </w:r>
      <w:r>
        <w:rPr>
          <w:rFonts w:ascii="Times New Roman" w:hAnsi="Times New Roman" w:eastAsia="黑体" w:cs="Times New Roman"/>
          <w:b/>
          <w:bCs/>
          <w:sz w:val="21"/>
        </w:rPr>
        <w:t>10</w:t>
      </w:r>
      <w:r>
        <w:rPr>
          <w:rFonts w:ascii="Times New Roman" w:hAnsi="Times New Roman" w:cs="Times New Roman"/>
          <w:b/>
          <w:bCs/>
          <w:sz w:val="21"/>
        </w:rPr>
        <w:t>.</w:t>
      </w:r>
      <w:r>
        <w:rPr>
          <w:rFonts w:ascii="Times New Roman" w:hAnsi="Times New Roman" w:eastAsia="黑体" w:cs="Times New Roman"/>
          <w:b/>
          <w:bCs/>
          <w:sz w:val="21"/>
        </w:rPr>
        <w:t>4</w:t>
      </w:r>
      <w:r>
        <w:rPr>
          <w:rFonts w:ascii="Times New Roman" w:hAnsi="Times New Roman" w:eastAsia="黑体" w:cs="Times New Roman"/>
          <w:b/>
          <w:sz w:val="21"/>
        </w:rPr>
        <w:t xml:space="preserve">  </w:t>
      </w:r>
      <w:r>
        <w:rPr>
          <w:rFonts w:ascii="Times New Roman" w:hAnsi="Times New Roman" w:cs="Times New Roman"/>
          <w:bCs/>
          <w:sz w:val="21"/>
        </w:rPr>
        <w:t>高寒草原草甸等人工恢复植被困难地区，应优先采取草甸草皮移植、养护等措施。</w:t>
      </w:r>
    </w:p>
    <w:p w14:paraId="6BB5666C">
      <w:pPr>
        <w:pBdr>
          <w:top w:val="none" w:color="000000" w:sz="0" w:space="0"/>
          <w:left w:val="none" w:color="000000" w:sz="0" w:space="0"/>
          <w:bottom w:val="none" w:color="000000" w:sz="0" w:space="0"/>
          <w:right w:val="none" w:color="000000" w:sz="0" w:space="0"/>
        </w:pBdr>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5</w:t>
      </w:r>
      <w:r>
        <w:rPr>
          <w:rFonts w:ascii="Times New Roman" w:hAnsi="Times New Roman" w:eastAsia="黑体" w:cs="Times New Roman"/>
          <w:sz w:val="21"/>
        </w:rPr>
        <w:t xml:space="preserve">  </w:t>
      </w:r>
      <w:r>
        <w:rPr>
          <w:rFonts w:ascii="Times New Roman" w:hAnsi="Times New Roman" w:cs="Times New Roman"/>
          <w:sz w:val="21"/>
        </w:rPr>
        <w:t>植物种植前应在土地整治的基础上采取整地措施，整地方式应符合下列要求：</w:t>
      </w:r>
    </w:p>
    <w:p w14:paraId="1184A769">
      <w:pPr>
        <w:pBdr>
          <w:top w:val="none" w:color="000000" w:sz="0" w:space="0"/>
          <w:left w:val="none" w:color="000000" w:sz="0" w:space="0"/>
          <w:bottom w:val="none" w:color="000000" w:sz="0" w:space="0"/>
          <w:right w:val="none" w:color="000000" w:sz="0" w:space="0"/>
        </w:pBd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1 </w:t>
      </w:r>
      <w:r>
        <w:rPr>
          <w:rFonts w:ascii="Times New Roman" w:hAnsi="Times New Roman" w:cs="Times New Roman"/>
          <w:sz w:val="21"/>
        </w:rPr>
        <w:t xml:space="preserve"> 以土为主或可进行覆土的地块应采取全面整地，以裸岩石砾为主且无覆土条件的地块可采取穴状整地后客土种植。</w:t>
      </w:r>
    </w:p>
    <w:p w14:paraId="09CCCF46">
      <w:pPr>
        <w:pBdr>
          <w:top w:val="none" w:color="000000" w:sz="0" w:space="0"/>
          <w:left w:val="none" w:color="000000" w:sz="0" w:space="0"/>
          <w:bottom w:val="none" w:color="000000" w:sz="0" w:space="0"/>
          <w:right w:val="none" w:color="000000" w:sz="0" w:space="0"/>
        </w:pBdr>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2</w:t>
      </w:r>
      <w:r>
        <w:rPr>
          <w:rFonts w:ascii="Times New Roman" w:hAnsi="Times New Roman" w:cs="Times New Roman"/>
          <w:sz w:val="21"/>
        </w:rPr>
        <w:t xml:space="preserve">  土壤母质层较厚的采挖坡面、土质填埋坡面和覆土坡面，可采用鱼鳞坑或带状整地。有抗旱拦蓄要求的，整地设计应满足植物生长需水要求。 </w:t>
      </w:r>
    </w:p>
    <w:p w14:paraId="486045FA">
      <w:pPr>
        <w:pBdr>
          <w:top w:val="none" w:color="000000" w:sz="0" w:space="0"/>
          <w:left w:val="none" w:color="000000" w:sz="0" w:space="0"/>
          <w:bottom w:val="none" w:color="000000" w:sz="0" w:space="0"/>
          <w:right w:val="none" w:color="000000" w:sz="0" w:space="0"/>
        </w:pBdr>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3</w:t>
      </w:r>
      <w:r>
        <w:rPr>
          <w:rFonts w:ascii="Times New Roman" w:hAnsi="Times New Roman" w:cs="Times New Roman"/>
          <w:sz w:val="21"/>
        </w:rPr>
        <w:t xml:space="preserve">  铺种草皮、片植地被和花草、撒播或喷播种子，应采用全面整地。种植绿篱应采用带状整地。种植裸根或带土球乔灌木，覆土厚度不满足要求的，可采用穴状整地。</w:t>
      </w:r>
    </w:p>
    <w:p w14:paraId="5B68B2CC">
      <w:pPr>
        <w:pBdr>
          <w:top w:val="none" w:color="000000" w:sz="0" w:space="0"/>
          <w:left w:val="none" w:color="000000" w:sz="0" w:space="0"/>
          <w:bottom w:val="none" w:color="000000" w:sz="0" w:space="0"/>
          <w:right w:val="none" w:color="000000" w:sz="0" w:space="0"/>
        </w:pBdr>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6</w:t>
      </w:r>
      <w:r>
        <w:rPr>
          <w:rFonts w:ascii="Times New Roman" w:hAnsi="Times New Roman" w:cs="Times New Roman"/>
          <w:sz w:val="21"/>
        </w:rPr>
        <w:t xml:space="preserve">  种植裸根或带土球苗木开挖种植穴，可参照表5.10.6-1</w:t>
      </w:r>
      <w:r>
        <w:rPr>
          <w:rFonts w:ascii="Times New Roman" w:hAnsi="Times New Roman" w:eastAsia="仿宋_GB2312" w:cs="Times New Roman"/>
          <w:sz w:val="21"/>
        </w:rPr>
        <w:t>~</w:t>
      </w:r>
      <w:r>
        <w:rPr>
          <w:rFonts w:ascii="Times New Roman" w:hAnsi="Times New Roman" w:cs="Times New Roman"/>
          <w:sz w:val="21"/>
        </w:rPr>
        <w:t>表5.10.6-4确定规格。</w:t>
      </w:r>
    </w:p>
    <w:p w14:paraId="77334552">
      <w:pPr>
        <w:widowControl/>
        <w:jc w:val="center"/>
        <w:rPr>
          <w:rFonts w:ascii="Times New Roman" w:hAnsi="Times New Roman" w:eastAsia="黑体" w:cs="Times New Roman"/>
          <w:kern w:val="0"/>
          <w:sz w:val="18"/>
          <w:szCs w:val="18"/>
          <w:lang w:bidi="ar"/>
        </w:rPr>
      </w:pPr>
      <w:r>
        <w:rPr>
          <w:rFonts w:ascii="Times New Roman" w:hAnsi="Times New Roman" w:eastAsia="黑体" w:cs="Times New Roman"/>
          <w:kern w:val="0"/>
          <w:sz w:val="18"/>
          <w:szCs w:val="18"/>
          <w:lang w:bidi="ar"/>
        </w:rPr>
        <w:t>表5</w:t>
      </w:r>
      <w:r>
        <w:rPr>
          <w:rFonts w:ascii="Times New Roman" w:hAnsi="Times New Roman" w:cs="Times New Roman"/>
          <w:kern w:val="0"/>
          <w:sz w:val="18"/>
          <w:szCs w:val="18"/>
          <w:lang w:bidi="ar"/>
        </w:rPr>
        <w:t>.</w:t>
      </w:r>
      <w:r>
        <w:rPr>
          <w:rFonts w:ascii="Times New Roman" w:hAnsi="Times New Roman" w:eastAsia="黑体" w:cs="Times New Roman"/>
          <w:kern w:val="0"/>
          <w:sz w:val="18"/>
          <w:szCs w:val="18"/>
          <w:lang w:bidi="ar"/>
        </w:rPr>
        <w:t>10</w:t>
      </w:r>
      <w:r>
        <w:rPr>
          <w:rFonts w:ascii="Times New Roman" w:hAnsi="Times New Roman" w:cs="Times New Roman"/>
          <w:kern w:val="0"/>
          <w:sz w:val="18"/>
          <w:szCs w:val="18"/>
          <w:lang w:bidi="ar"/>
        </w:rPr>
        <w:t>.</w:t>
      </w:r>
      <w:r>
        <w:rPr>
          <w:rFonts w:hint="eastAsia" w:ascii="Times New Roman" w:hAnsi="Times New Roman" w:eastAsia="黑体" w:cs="Times New Roman"/>
          <w:kern w:val="0"/>
          <w:sz w:val="18"/>
          <w:szCs w:val="18"/>
          <w:lang w:bidi="ar"/>
        </w:rPr>
        <w:t>6</w:t>
      </w:r>
      <w:r>
        <w:rPr>
          <w:rFonts w:ascii="Times New Roman" w:hAnsi="Times New Roman" w:eastAsia="黑体" w:cs="Times New Roman"/>
          <w:kern w:val="0"/>
          <w:sz w:val="18"/>
          <w:szCs w:val="18"/>
          <w:lang w:bidi="ar"/>
        </w:rPr>
        <w:t>-1  裸根乔木种植穴规格</w:t>
      </w:r>
    </w:p>
    <w:tbl>
      <w:tblPr>
        <w:tblStyle w:val="10"/>
        <w:tblW w:w="4998" w:type="pct"/>
        <w:tblInd w:w="0" w:type="dxa"/>
        <w:tblLayout w:type="autofit"/>
        <w:tblCellMar>
          <w:top w:w="0" w:type="dxa"/>
          <w:left w:w="108" w:type="dxa"/>
          <w:bottom w:w="0" w:type="dxa"/>
          <w:right w:w="108" w:type="dxa"/>
        </w:tblCellMar>
      </w:tblPr>
      <w:tblGrid>
        <w:gridCol w:w="3129"/>
        <w:gridCol w:w="2573"/>
        <w:gridCol w:w="2601"/>
      </w:tblGrid>
      <w:tr w14:paraId="00EEAD7D">
        <w:tblPrEx>
          <w:tblCellMar>
            <w:top w:w="0" w:type="dxa"/>
            <w:left w:w="108" w:type="dxa"/>
            <w:bottom w:w="0" w:type="dxa"/>
            <w:right w:w="108" w:type="dxa"/>
          </w:tblCellMar>
        </w:tblPrEx>
        <w:trPr>
          <w:trHeight w:val="283" w:hRule="exact"/>
        </w:trPr>
        <w:tc>
          <w:tcPr>
            <w:tcW w:w="1884" w:type="pct"/>
            <w:tcBorders>
              <w:top w:val="single" w:color="000000" w:sz="12" w:space="0"/>
              <w:left w:val="single" w:color="000000" w:sz="12" w:space="0"/>
              <w:bottom w:val="single" w:color="000000" w:sz="4" w:space="0"/>
              <w:right w:val="single" w:color="000000" w:sz="4" w:space="0"/>
            </w:tcBorders>
            <w:shd w:val="clear" w:color="auto" w:fill="auto"/>
            <w:noWrap/>
            <w:vAlign w:val="center"/>
          </w:tcPr>
          <w:p w14:paraId="277BDAF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乔木规格（cm）</w:t>
            </w:r>
          </w:p>
        </w:tc>
        <w:tc>
          <w:tcPr>
            <w:tcW w:w="3115" w:type="pct"/>
            <w:gridSpan w:val="2"/>
            <w:tcBorders>
              <w:top w:val="single" w:color="000000" w:sz="12" w:space="0"/>
              <w:left w:val="single" w:color="000000" w:sz="4" w:space="0"/>
              <w:bottom w:val="single" w:color="000000" w:sz="4" w:space="0"/>
              <w:right w:val="single" w:color="000000" w:sz="12" w:space="0"/>
            </w:tcBorders>
            <w:shd w:val="clear" w:color="auto" w:fill="auto"/>
            <w:noWrap/>
            <w:vAlign w:val="center"/>
          </w:tcPr>
          <w:p w14:paraId="460B3A2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种植穴规格（m）</w:t>
            </w:r>
          </w:p>
        </w:tc>
      </w:tr>
      <w:tr w14:paraId="28B1DDD6">
        <w:tblPrEx>
          <w:tblCellMar>
            <w:top w:w="0" w:type="dxa"/>
            <w:left w:w="108" w:type="dxa"/>
            <w:bottom w:w="0" w:type="dxa"/>
            <w:right w:w="108" w:type="dxa"/>
          </w:tblCellMar>
        </w:tblPrEx>
        <w:trPr>
          <w:trHeight w:val="283" w:hRule="exact"/>
        </w:trPr>
        <w:tc>
          <w:tcPr>
            <w:tcW w:w="1884"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AA94554">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胸径</w:t>
            </w:r>
          </w:p>
        </w:tc>
        <w:tc>
          <w:tcPr>
            <w:tcW w:w="1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A16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直径</w:t>
            </w:r>
          </w:p>
        </w:tc>
        <w:tc>
          <w:tcPr>
            <w:tcW w:w="1566"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542A17F">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深</w:t>
            </w:r>
          </w:p>
        </w:tc>
      </w:tr>
      <w:tr w14:paraId="14E11791">
        <w:tblPrEx>
          <w:tblCellMar>
            <w:top w:w="0" w:type="dxa"/>
            <w:left w:w="108" w:type="dxa"/>
            <w:bottom w:w="0" w:type="dxa"/>
            <w:right w:w="108" w:type="dxa"/>
          </w:tblCellMar>
        </w:tblPrEx>
        <w:trPr>
          <w:trHeight w:val="283" w:hRule="exact"/>
        </w:trPr>
        <w:tc>
          <w:tcPr>
            <w:tcW w:w="1884"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877255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4</w:t>
            </w:r>
          </w:p>
        </w:tc>
        <w:tc>
          <w:tcPr>
            <w:tcW w:w="1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FC54E">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0.30 </w:t>
            </w:r>
          </w:p>
        </w:tc>
        <w:tc>
          <w:tcPr>
            <w:tcW w:w="1566"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170C8AF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0.30 </w:t>
            </w:r>
          </w:p>
        </w:tc>
      </w:tr>
      <w:tr w14:paraId="3AD2C47B">
        <w:tblPrEx>
          <w:tblCellMar>
            <w:top w:w="0" w:type="dxa"/>
            <w:left w:w="108" w:type="dxa"/>
            <w:bottom w:w="0" w:type="dxa"/>
            <w:right w:w="108" w:type="dxa"/>
          </w:tblCellMar>
        </w:tblPrEx>
        <w:trPr>
          <w:trHeight w:val="283" w:hRule="exact"/>
        </w:trPr>
        <w:tc>
          <w:tcPr>
            <w:tcW w:w="1884"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4CA266BC">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6</w:t>
            </w:r>
          </w:p>
        </w:tc>
        <w:tc>
          <w:tcPr>
            <w:tcW w:w="1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8F948">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0.50 </w:t>
            </w:r>
          </w:p>
        </w:tc>
        <w:tc>
          <w:tcPr>
            <w:tcW w:w="1566"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4622993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0.40 </w:t>
            </w:r>
          </w:p>
        </w:tc>
      </w:tr>
      <w:tr w14:paraId="4DC426DC">
        <w:tblPrEx>
          <w:tblCellMar>
            <w:top w:w="0" w:type="dxa"/>
            <w:left w:w="108" w:type="dxa"/>
            <w:bottom w:w="0" w:type="dxa"/>
            <w:right w:w="108" w:type="dxa"/>
          </w:tblCellMar>
        </w:tblPrEx>
        <w:trPr>
          <w:trHeight w:val="283" w:hRule="exact"/>
        </w:trPr>
        <w:tc>
          <w:tcPr>
            <w:tcW w:w="1884"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312A6FA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8</w:t>
            </w:r>
          </w:p>
        </w:tc>
        <w:tc>
          <w:tcPr>
            <w:tcW w:w="1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477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0.65 </w:t>
            </w:r>
          </w:p>
        </w:tc>
        <w:tc>
          <w:tcPr>
            <w:tcW w:w="1566"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731D2F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0.50 </w:t>
            </w:r>
          </w:p>
        </w:tc>
      </w:tr>
      <w:tr w14:paraId="18711C17">
        <w:tblPrEx>
          <w:tblCellMar>
            <w:top w:w="0" w:type="dxa"/>
            <w:left w:w="108" w:type="dxa"/>
            <w:bottom w:w="0" w:type="dxa"/>
            <w:right w:w="108" w:type="dxa"/>
          </w:tblCellMar>
        </w:tblPrEx>
        <w:trPr>
          <w:trHeight w:val="283" w:hRule="exact"/>
        </w:trPr>
        <w:tc>
          <w:tcPr>
            <w:tcW w:w="1884"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386F53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10</w:t>
            </w:r>
          </w:p>
        </w:tc>
        <w:tc>
          <w:tcPr>
            <w:tcW w:w="1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0964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0.80 </w:t>
            </w:r>
          </w:p>
        </w:tc>
        <w:tc>
          <w:tcPr>
            <w:tcW w:w="1566"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721429A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0.60 </w:t>
            </w:r>
          </w:p>
        </w:tc>
      </w:tr>
      <w:tr w14:paraId="17512DB2">
        <w:tblPrEx>
          <w:tblCellMar>
            <w:top w:w="0" w:type="dxa"/>
            <w:left w:w="108" w:type="dxa"/>
            <w:bottom w:w="0" w:type="dxa"/>
            <w:right w:w="108" w:type="dxa"/>
          </w:tblCellMar>
        </w:tblPrEx>
        <w:trPr>
          <w:trHeight w:val="283" w:hRule="exact"/>
        </w:trPr>
        <w:tc>
          <w:tcPr>
            <w:tcW w:w="1884"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FC8E71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12</w:t>
            </w:r>
          </w:p>
        </w:tc>
        <w:tc>
          <w:tcPr>
            <w:tcW w:w="1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360C">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0.95 </w:t>
            </w:r>
          </w:p>
        </w:tc>
        <w:tc>
          <w:tcPr>
            <w:tcW w:w="1566"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97E051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0.70 </w:t>
            </w:r>
          </w:p>
        </w:tc>
      </w:tr>
      <w:tr w14:paraId="041D2DC2">
        <w:tblPrEx>
          <w:tblCellMar>
            <w:top w:w="0" w:type="dxa"/>
            <w:left w:w="108" w:type="dxa"/>
            <w:bottom w:w="0" w:type="dxa"/>
            <w:right w:w="108" w:type="dxa"/>
          </w:tblCellMar>
        </w:tblPrEx>
        <w:trPr>
          <w:trHeight w:val="283" w:hRule="exact"/>
        </w:trPr>
        <w:tc>
          <w:tcPr>
            <w:tcW w:w="1884"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47C5B1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14</w:t>
            </w:r>
          </w:p>
        </w:tc>
        <w:tc>
          <w:tcPr>
            <w:tcW w:w="1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3F1C">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1.10 </w:t>
            </w:r>
          </w:p>
        </w:tc>
        <w:tc>
          <w:tcPr>
            <w:tcW w:w="1566"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3D4696D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0.80 </w:t>
            </w:r>
          </w:p>
        </w:tc>
      </w:tr>
      <w:tr w14:paraId="2AC82E54">
        <w:tblPrEx>
          <w:tblCellMar>
            <w:top w:w="0" w:type="dxa"/>
            <w:left w:w="108" w:type="dxa"/>
            <w:bottom w:w="0" w:type="dxa"/>
            <w:right w:w="108" w:type="dxa"/>
          </w:tblCellMar>
        </w:tblPrEx>
        <w:trPr>
          <w:trHeight w:val="283" w:hRule="exact"/>
        </w:trPr>
        <w:tc>
          <w:tcPr>
            <w:tcW w:w="1884"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35E40BA8">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16</w:t>
            </w:r>
          </w:p>
        </w:tc>
        <w:tc>
          <w:tcPr>
            <w:tcW w:w="1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8E2C">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1.30 </w:t>
            </w:r>
          </w:p>
        </w:tc>
        <w:tc>
          <w:tcPr>
            <w:tcW w:w="1566"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7D2F19BD">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0.90 </w:t>
            </w:r>
          </w:p>
        </w:tc>
      </w:tr>
      <w:tr w14:paraId="36F16607">
        <w:tblPrEx>
          <w:tblCellMar>
            <w:top w:w="0" w:type="dxa"/>
            <w:left w:w="108" w:type="dxa"/>
            <w:bottom w:w="0" w:type="dxa"/>
            <w:right w:w="108" w:type="dxa"/>
          </w:tblCellMar>
        </w:tblPrEx>
        <w:trPr>
          <w:trHeight w:val="283" w:hRule="exact"/>
        </w:trPr>
        <w:tc>
          <w:tcPr>
            <w:tcW w:w="1884"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45B52DC4">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18</w:t>
            </w:r>
          </w:p>
        </w:tc>
        <w:tc>
          <w:tcPr>
            <w:tcW w:w="15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57CA">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1.45 </w:t>
            </w:r>
          </w:p>
        </w:tc>
        <w:tc>
          <w:tcPr>
            <w:tcW w:w="1566"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47EC95EA">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1.00 </w:t>
            </w:r>
          </w:p>
        </w:tc>
      </w:tr>
      <w:tr w14:paraId="7C2DF669">
        <w:tblPrEx>
          <w:tblCellMar>
            <w:top w:w="0" w:type="dxa"/>
            <w:left w:w="108" w:type="dxa"/>
            <w:bottom w:w="0" w:type="dxa"/>
            <w:right w:w="108" w:type="dxa"/>
          </w:tblCellMar>
        </w:tblPrEx>
        <w:trPr>
          <w:trHeight w:val="283" w:hRule="exact"/>
        </w:trPr>
        <w:tc>
          <w:tcPr>
            <w:tcW w:w="1884" w:type="pct"/>
            <w:tcBorders>
              <w:top w:val="single" w:color="000000" w:sz="4" w:space="0"/>
              <w:left w:val="single" w:color="000000" w:sz="12" w:space="0"/>
              <w:bottom w:val="single" w:color="000000" w:sz="12" w:space="0"/>
              <w:right w:val="single" w:color="000000" w:sz="4" w:space="0"/>
            </w:tcBorders>
            <w:shd w:val="clear" w:color="auto" w:fill="auto"/>
            <w:noWrap/>
            <w:vAlign w:val="center"/>
          </w:tcPr>
          <w:p w14:paraId="3BDBE58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20</w:t>
            </w:r>
          </w:p>
        </w:tc>
        <w:tc>
          <w:tcPr>
            <w:tcW w:w="1549" w:type="pct"/>
            <w:tcBorders>
              <w:top w:val="single" w:color="000000" w:sz="4" w:space="0"/>
              <w:left w:val="single" w:color="000000" w:sz="4" w:space="0"/>
              <w:bottom w:val="single" w:color="000000" w:sz="12" w:space="0"/>
              <w:right w:val="single" w:color="000000" w:sz="4" w:space="0"/>
            </w:tcBorders>
            <w:shd w:val="clear" w:color="auto" w:fill="auto"/>
            <w:noWrap/>
            <w:vAlign w:val="center"/>
          </w:tcPr>
          <w:p w14:paraId="2CEA662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1.60 </w:t>
            </w:r>
          </w:p>
        </w:tc>
        <w:tc>
          <w:tcPr>
            <w:tcW w:w="1566" w:type="pct"/>
            <w:tcBorders>
              <w:top w:val="single" w:color="000000" w:sz="4" w:space="0"/>
              <w:left w:val="single" w:color="000000" w:sz="4" w:space="0"/>
              <w:bottom w:val="single" w:color="000000" w:sz="12" w:space="0"/>
              <w:right w:val="single" w:color="000000" w:sz="12" w:space="0"/>
            </w:tcBorders>
            <w:shd w:val="clear" w:color="auto" w:fill="auto"/>
            <w:noWrap/>
            <w:vAlign w:val="center"/>
          </w:tcPr>
          <w:p w14:paraId="04E798C8">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1.10 </w:t>
            </w:r>
          </w:p>
        </w:tc>
      </w:tr>
    </w:tbl>
    <w:p w14:paraId="15C9CE4D">
      <w:pPr>
        <w:widowControl/>
        <w:jc w:val="center"/>
        <w:rPr>
          <w:rFonts w:ascii="Times New Roman" w:hAnsi="Times New Roman" w:eastAsia="黑体" w:cs="Times New Roman"/>
          <w:kern w:val="0"/>
          <w:sz w:val="18"/>
          <w:szCs w:val="18"/>
          <w:lang w:bidi="ar"/>
        </w:rPr>
      </w:pPr>
    </w:p>
    <w:p w14:paraId="52AF746B">
      <w:pPr>
        <w:widowControl/>
        <w:jc w:val="center"/>
        <w:rPr>
          <w:rFonts w:ascii="Times New Roman" w:hAnsi="Times New Roman" w:eastAsia="黑体" w:cs="Times New Roman"/>
          <w:kern w:val="0"/>
          <w:sz w:val="18"/>
          <w:szCs w:val="18"/>
          <w:lang w:bidi="ar"/>
        </w:rPr>
      </w:pPr>
      <w:r>
        <w:rPr>
          <w:rFonts w:ascii="Times New Roman" w:hAnsi="Times New Roman" w:eastAsia="黑体" w:cs="Times New Roman"/>
          <w:kern w:val="0"/>
          <w:sz w:val="18"/>
          <w:szCs w:val="18"/>
          <w:lang w:bidi="ar"/>
        </w:rPr>
        <w:t>表5</w:t>
      </w:r>
      <w:r>
        <w:rPr>
          <w:rFonts w:ascii="Times New Roman" w:hAnsi="Times New Roman" w:cs="Times New Roman"/>
          <w:kern w:val="0"/>
          <w:sz w:val="18"/>
          <w:szCs w:val="18"/>
          <w:lang w:bidi="ar"/>
        </w:rPr>
        <w:t>.</w:t>
      </w:r>
      <w:r>
        <w:rPr>
          <w:rFonts w:ascii="Times New Roman" w:hAnsi="Times New Roman" w:eastAsia="黑体" w:cs="Times New Roman"/>
          <w:kern w:val="0"/>
          <w:sz w:val="18"/>
          <w:szCs w:val="18"/>
          <w:lang w:bidi="ar"/>
        </w:rPr>
        <w:t>10</w:t>
      </w:r>
      <w:r>
        <w:rPr>
          <w:rFonts w:ascii="Times New Roman" w:hAnsi="Times New Roman" w:cs="Times New Roman"/>
          <w:kern w:val="0"/>
          <w:sz w:val="18"/>
          <w:szCs w:val="18"/>
          <w:lang w:bidi="ar"/>
        </w:rPr>
        <w:t>.</w:t>
      </w:r>
      <w:r>
        <w:rPr>
          <w:rFonts w:hint="eastAsia" w:ascii="Times New Roman" w:hAnsi="Times New Roman" w:eastAsia="黑体" w:cs="Times New Roman"/>
          <w:kern w:val="0"/>
          <w:sz w:val="18"/>
          <w:szCs w:val="18"/>
          <w:lang w:bidi="ar"/>
        </w:rPr>
        <w:t>6</w:t>
      </w:r>
      <w:r>
        <w:rPr>
          <w:rFonts w:ascii="Times New Roman" w:hAnsi="Times New Roman" w:eastAsia="黑体" w:cs="Times New Roman"/>
          <w:kern w:val="0"/>
          <w:sz w:val="18"/>
          <w:szCs w:val="18"/>
          <w:lang w:bidi="ar"/>
        </w:rPr>
        <w:t>-2  裸根灌木种植穴规格</w:t>
      </w:r>
    </w:p>
    <w:tbl>
      <w:tblPr>
        <w:tblStyle w:val="10"/>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3098"/>
        <w:gridCol w:w="2590"/>
        <w:gridCol w:w="2585"/>
      </w:tblGrid>
      <w:tr w14:paraId="0B7BAD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2" w:type="pct"/>
            <w:tcBorders>
              <w:tl2br w:val="nil"/>
              <w:tr2bl w:val="nil"/>
            </w:tcBorders>
            <w:shd w:val="clear" w:color="auto" w:fill="auto"/>
            <w:noWrap/>
            <w:vAlign w:val="center"/>
          </w:tcPr>
          <w:p w14:paraId="11B233D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灌木规格（cm）</w:t>
            </w:r>
          </w:p>
        </w:tc>
        <w:tc>
          <w:tcPr>
            <w:tcW w:w="3127" w:type="pct"/>
            <w:gridSpan w:val="2"/>
            <w:tcBorders>
              <w:tl2br w:val="nil"/>
              <w:tr2bl w:val="nil"/>
            </w:tcBorders>
            <w:shd w:val="clear" w:color="auto" w:fill="auto"/>
            <w:noWrap/>
            <w:vAlign w:val="center"/>
          </w:tcPr>
          <w:p w14:paraId="7CF8963A">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种植穴规格（m）</w:t>
            </w:r>
          </w:p>
        </w:tc>
      </w:tr>
      <w:tr w14:paraId="4D775F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2" w:type="pct"/>
            <w:tcBorders>
              <w:tl2br w:val="nil"/>
              <w:tr2bl w:val="nil"/>
            </w:tcBorders>
            <w:shd w:val="clear" w:color="auto" w:fill="auto"/>
            <w:noWrap/>
            <w:vAlign w:val="center"/>
          </w:tcPr>
          <w:p w14:paraId="040ACD5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冠幅</w:t>
            </w:r>
          </w:p>
        </w:tc>
        <w:tc>
          <w:tcPr>
            <w:tcW w:w="1565" w:type="pct"/>
            <w:tcBorders>
              <w:tl2br w:val="nil"/>
              <w:tr2bl w:val="nil"/>
            </w:tcBorders>
            <w:shd w:val="clear" w:color="auto" w:fill="auto"/>
            <w:noWrap/>
            <w:vAlign w:val="center"/>
          </w:tcPr>
          <w:p w14:paraId="63F785AF">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直径</w:t>
            </w:r>
          </w:p>
        </w:tc>
        <w:tc>
          <w:tcPr>
            <w:tcW w:w="1561" w:type="pct"/>
            <w:tcBorders>
              <w:tl2br w:val="nil"/>
              <w:tr2bl w:val="nil"/>
            </w:tcBorders>
            <w:shd w:val="clear" w:color="auto" w:fill="auto"/>
            <w:noWrap/>
            <w:vAlign w:val="center"/>
          </w:tcPr>
          <w:p w14:paraId="247135A3">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深</w:t>
            </w:r>
          </w:p>
        </w:tc>
      </w:tr>
      <w:tr w14:paraId="64C664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2" w:type="pct"/>
            <w:tcBorders>
              <w:tl2br w:val="nil"/>
              <w:tr2bl w:val="nil"/>
            </w:tcBorders>
            <w:shd w:val="clear" w:color="auto" w:fill="auto"/>
            <w:noWrap/>
            <w:vAlign w:val="center"/>
          </w:tcPr>
          <w:p w14:paraId="114F21A8">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20</w:t>
            </w:r>
          </w:p>
        </w:tc>
        <w:tc>
          <w:tcPr>
            <w:tcW w:w="1565" w:type="pct"/>
            <w:tcBorders>
              <w:tl2br w:val="nil"/>
              <w:tr2bl w:val="nil"/>
            </w:tcBorders>
            <w:shd w:val="clear" w:color="auto" w:fill="auto"/>
            <w:noWrap/>
            <w:vAlign w:val="center"/>
          </w:tcPr>
          <w:p w14:paraId="25F2BC2A">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0.15 </w:t>
            </w:r>
          </w:p>
        </w:tc>
        <w:tc>
          <w:tcPr>
            <w:tcW w:w="1561" w:type="pct"/>
            <w:tcBorders>
              <w:tl2br w:val="nil"/>
              <w:tr2bl w:val="nil"/>
            </w:tcBorders>
            <w:shd w:val="clear" w:color="auto" w:fill="auto"/>
            <w:noWrap/>
            <w:vAlign w:val="center"/>
          </w:tcPr>
          <w:p w14:paraId="0833497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0.11 </w:t>
            </w:r>
          </w:p>
        </w:tc>
      </w:tr>
      <w:tr w14:paraId="66C89A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2" w:type="pct"/>
            <w:tcBorders>
              <w:tl2br w:val="nil"/>
              <w:tr2bl w:val="nil"/>
            </w:tcBorders>
            <w:shd w:val="clear" w:color="auto" w:fill="auto"/>
            <w:noWrap/>
            <w:vAlign w:val="center"/>
          </w:tcPr>
          <w:p w14:paraId="320AB84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40</w:t>
            </w:r>
          </w:p>
        </w:tc>
        <w:tc>
          <w:tcPr>
            <w:tcW w:w="1565" w:type="pct"/>
            <w:tcBorders>
              <w:tl2br w:val="nil"/>
              <w:tr2bl w:val="nil"/>
            </w:tcBorders>
            <w:shd w:val="clear" w:color="auto" w:fill="auto"/>
            <w:noWrap/>
            <w:vAlign w:val="center"/>
          </w:tcPr>
          <w:p w14:paraId="62680034">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0.20 </w:t>
            </w:r>
          </w:p>
        </w:tc>
        <w:tc>
          <w:tcPr>
            <w:tcW w:w="1561" w:type="pct"/>
            <w:tcBorders>
              <w:tl2br w:val="nil"/>
              <w:tr2bl w:val="nil"/>
            </w:tcBorders>
            <w:shd w:val="clear" w:color="auto" w:fill="auto"/>
            <w:noWrap/>
            <w:vAlign w:val="center"/>
          </w:tcPr>
          <w:p w14:paraId="515204C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0.15 </w:t>
            </w:r>
          </w:p>
        </w:tc>
      </w:tr>
      <w:tr w14:paraId="19EDE8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2" w:type="pct"/>
            <w:tcBorders>
              <w:tl2br w:val="nil"/>
              <w:tr2bl w:val="nil"/>
            </w:tcBorders>
            <w:shd w:val="clear" w:color="auto" w:fill="auto"/>
            <w:noWrap/>
            <w:vAlign w:val="center"/>
          </w:tcPr>
          <w:p w14:paraId="33DBFFA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60</w:t>
            </w:r>
          </w:p>
        </w:tc>
        <w:tc>
          <w:tcPr>
            <w:tcW w:w="1565" w:type="pct"/>
            <w:tcBorders>
              <w:tl2br w:val="nil"/>
              <w:tr2bl w:val="nil"/>
            </w:tcBorders>
            <w:shd w:val="clear" w:color="auto" w:fill="auto"/>
            <w:noWrap/>
            <w:vAlign w:val="center"/>
          </w:tcPr>
          <w:p w14:paraId="0B2C104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0.25 </w:t>
            </w:r>
          </w:p>
        </w:tc>
        <w:tc>
          <w:tcPr>
            <w:tcW w:w="1561" w:type="pct"/>
            <w:tcBorders>
              <w:tl2br w:val="nil"/>
              <w:tr2bl w:val="nil"/>
            </w:tcBorders>
            <w:shd w:val="clear" w:color="auto" w:fill="auto"/>
            <w:noWrap/>
            <w:vAlign w:val="center"/>
          </w:tcPr>
          <w:p w14:paraId="3442CA0D">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0.19 </w:t>
            </w:r>
          </w:p>
        </w:tc>
      </w:tr>
      <w:tr w14:paraId="4A139B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2" w:type="pct"/>
            <w:tcBorders>
              <w:tl2br w:val="nil"/>
              <w:tr2bl w:val="nil"/>
            </w:tcBorders>
            <w:shd w:val="clear" w:color="auto" w:fill="auto"/>
            <w:noWrap/>
            <w:vAlign w:val="center"/>
          </w:tcPr>
          <w:p w14:paraId="66587D48">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80</w:t>
            </w:r>
          </w:p>
        </w:tc>
        <w:tc>
          <w:tcPr>
            <w:tcW w:w="1565" w:type="pct"/>
            <w:tcBorders>
              <w:tl2br w:val="nil"/>
              <w:tr2bl w:val="nil"/>
            </w:tcBorders>
            <w:shd w:val="clear" w:color="auto" w:fill="auto"/>
            <w:noWrap/>
            <w:vAlign w:val="center"/>
          </w:tcPr>
          <w:p w14:paraId="0AAA7AA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0.40 </w:t>
            </w:r>
          </w:p>
        </w:tc>
        <w:tc>
          <w:tcPr>
            <w:tcW w:w="1561" w:type="pct"/>
            <w:tcBorders>
              <w:tl2br w:val="nil"/>
              <w:tr2bl w:val="nil"/>
            </w:tcBorders>
            <w:shd w:val="clear" w:color="auto" w:fill="auto"/>
            <w:noWrap/>
            <w:vAlign w:val="center"/>
          </w:tcPr>
          <w:p w14:paraId="5F9D1E9A">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0.25 </w:t>
            </w:r>
          </w:p>
        </w:tc>
      </w:tr>
      <w:tr w14:paraId="440E83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2" w:type="pct"/>
            <w:tcBorders>
              <w:tl2br w:val="nil"/>
              <w:tr2bl w:val="nil"/>
            </w:tcBorders>
            <w:shd w:val="clear" w:color="auto" w:fill="auto"/>
            <w:noWrap/>
            <w:vAlign w:val="center"/>
          </w:tcPr>
          <w:p w14:paraId="6A4DA19C">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100</w:t>
            </w:r>
          </w:p>
        </w:tc>
        <w:tc>
          <w:tcPr>
            <w:tcW w:w="1565" w:type="pct"/>
            <w:tcBorders>
              <w:tl2br w:val="nil"/>
              <w:tr2bl w:val="nil"/>
            </w:tcBorders>
            <w:shd w:val="clear" w:color="auto" w:fill="auto"/>
            <w:noWrap/>
            <w:vAlign w:val="center"/>
          </w:tcPr>
          <w:p w14:paraId="09421773">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0.55 </w:t>
            </w:r>
          </w:p>
        </w:tc>
        <w:tc>
          <w:tcPr>
            <w:tcW w:w="1561" w:type="pct"/>
            <w:tcBorders>
              <w:tl2br w:val="nil"/>
              <w:tr2bl w:val="nil"/>
            </w:tcBorders>
            <w:shd w:val="clear" w:color="auto" w:fill="auto"/>
            <w:noWrap/>
            <w:vAlign w:val="center"/>
          </w:tcPr>
          <w:p w14:paraId="45DEA71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0.30 </w:t>
            </w:r>
          </w:p>
        </w:tc>
      </w:tr>
      <w:tr w14:paraId="6C6272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2" w:type="pct"/>
            <w:tcBorders>
              <w:tl2br w:val="nil"/>
              <w:tr2bl w:val="nil"/>
            </w:tcBorders>
            <w:shd w:val="clear" w:color="auto" w:fill="auto"/>
            <w:noWrap/>
            <w:vAlign w:val="center"/>
          </w:tcPr>
          <w:p w14:paraId="40128A7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150</w:t>
            </w:r>
          </w:p>
        </w:tc>
        <w:tc>
          <w:tcPr>
            <w:tcW w:w="1565" w:type="pct"/>
            <w:tcBorders>
              <w:tl2br w:val="nil"/>
              <w:tr2bl w:val="nil"/>
            </w:tcBorders>
            <w:shd w:val="clear" w:color="auto" w:fill="auto"/>
            <w:noWrap/>
            <w:vAlign w:val="center"/>
          </w:tcPr>
          <w:p w14:paraId="1950A28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0.70 </w:t>
            </w:r>
          </w:p>
        </w:tc>
        <w:tc>
          <w:tcPr>
            <w:tcW w:w="1561" w:type="pct"/>
            <w:tcBorders>
              <w:tl2br w:val="nil"/>
              <w:tr2bl w:val="nil"/>
            </w:tcBorders>
            <w:shd w:val="clear" w:color="auto" w:fill="auto"/>
            <w:noWrap/>
            <w:vAlign w:val="center"/>
          </w:tcPr>
          <w:p w14:paraId="6FC776C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0.35 </w:t>
            </w:r>
          </w:p>
        </w:tc>
      </w:tr>
      <w:tr w14:paraId="184EDA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2" w:type="pct"/>
            <w:tcBorders>
              <w:tl2br w:val="nil"/>
              <w:tr2bl w:val="nil"/>
            </w:tcBorders>
            <w:shd w:val="clear" w:color="auto" w:fill="auto"/>
            <w:noWrap/>
            <w:vAlign w:val="center"/>
          </w:tcPr>
          <w:p w14:paraId="7474586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200</w:t>
            </w:r>
          </w:p>
        </w:tc>
        <w:tc>
          <w:tcPr>
            <w:tcW w:w="1565" w:type="pct"/>
            <w:tcBorders>
              <w:tl2br w:val="nil"/>
              <w:tr2bl w:val="nil"/>
            </w:tcBorders>
            <w:shd w:val="clear" w:color="auto" w:fill="auto"/>
            <w:noWrap/>
            <w:vAlign w:val="center"/>
          </w:tcPr>
          <w:p w14:paraId="4921E4F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0.90 </w:t>
            </w:r>
          </w:p>
        </w:tc>
        <w:tc>
          <w:tcPr>
            <w:tcW w:w="1561" w:type="pct"/>
            <w:tcBorders>
              <w:tl2br w:val="nil"/>
              <w:tr2bl w:val="nil"/>
            </w:tcBorders>
            <w:shd w:val="clear" w:color="auto" w:fill="auto"/>
            <w:noWrap/>
            <w:vAlign w:val="center"/>
          </w:tcPr>
          <w:p w14:paraId="353EF52F">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0.40 </w:t>
            </w:r>
          </w:p>
        </w:tc>
      </w:tr>
    </w:tbl>
    <w:p w14:paraId="48736C72">
      <w:pPr>
        <w:widowControl/>
        <w:jc w:val="center"/>
        <w:rPr>
          <w:rFonts w:ascii="Times New Roman" w:hAnsi="Times New Roman" w:eastAsia="黑体" w:cs="Times New Roman"/>
          <w:kern w:val="0"/>
          <w:sz w:val="18"/>
          <w:szCs w:val="18"/>
          <w:lang w:bidi="ar"/>
        </w:rPr>
      </w:pPr>
      <w:r>
        <w:rPr>
          <w:rFonts w:ascii="Times New Roman" w:hAnsi="Times New Roman" w:eastAsia="黑体" w:cs="Times New Roman"/>
          <w:kern w:val="0"/>
          <w:sz w:val="18"/>
          <w:szCs w:val="18"/>
          <w:lang w:bidi="ar"/>
        </w:rPr>
        <w:t>表5</w:t>
      </w:r>
      <w:r>
        <w:rPr>
          <w:rFonts w:ascii="Times New Roman" w:hAnsi="Times New Roman" w:cs="Times New Roman"/>
          <w:kern w:val="0"/>
          <w:sz w:val="18"/>
          <w:szCs w:val="18"/>
          <w:lang w:bidi="ar"/>
        </w:rPr>
        <w:t>.</w:t>
      </w:r>
      <w:r>
        <w:rPr>
          <w:rFonts w:ascii="Times New Roman" w:hAnsi="Times New Roman" w:eastAsia="黑体" w:cs="Times New Roman"/>
          <w:kern w:val="0"/>
          <w:sz w:val="18"/>
          <w:szCs w:val="18"/>
          <w:lang w:bidi="ar"/>
        </w:rPr>
        <w:t>10</w:t>
      </w:r>
      <w:r>
        <w:rPr>
          <w:rFonts w:ascii="Times New Roman" w:hAnsi="Times New Roman" w:cs="Times New Roman"/>
          <w:kern w:val="0"/>
          <w:sz w:val="18"/>
          <w:szCs w:val="18"/>
          <w:lang w:bidi="ar"/>
        </w:rPr>
        <w:t>.</w:t>
      </w:r>
      <w:r>
        <w:rPr>
          <w:rFonts w:hint="eastAsia" w:ascii="Times New Roman" w:hAnsi="Times New Roman" w:eastAsia="黑体" w:cs="Times New Roman"/>
          <w:kern w:val="0"/>
          <w:sz w:val="18"/>
          <w:szCs w:val="18"/>
          <w:lang w:bidi="ar"/>
        </w:rPr>
        <w:t>6</w:t>
      </w:r>
      <w:r>
        <w:rPr>
          <w:rFonts w:ascii="Times New Roman" w:hAnsi="Times New Roman" w:eastAsia="黑体" w:cs="Times New Roman"/>
          <w:kern w:val="0"/>
          <w:sz w:val="18"/>
          <w:szCs w:val="18"/>
          <w:lang w:bidi="ar"/>
        </w:rPr>
        <w:t>-3  带土球乔木种植穴规格</w:t>
      </w:r>
    </w:p>
    <w:tbl>
      <w:tblPr>
        <w:tblStyle w:val="10"/>
        <w:tblW w:w="4998" w:type="pct"/>
        <w:tblInd w:w="0" w:type="dxa"/>
        <w:tblLayout w:type="autofit"/>
        <w:tblCellMar>
          <w:top w:w="0" w:type="dxa"/>
          <w:left w:w="108" w:type="dxa"/>
          <w:bottom w:w="0" w:type="dxa"/>
          <w:right w:w="108" w:type="dxa"/>
        </w:tblCellMar>
      </w:tblPr>
      <w:tblGrid>
        <w:gridCol w:w="3116"/>
        <w:gridCol w:w="1296"/>
        <w:gridCol w:w="1297"/>
        <w:gridCol w:w="1296"/>
        <w:gridCol w:w="1298"/>
      </w:tblGrid>
      <w:tr w14:paraId="0EDA5D00">
        <w:tblPrEx>
          <w:tblCellMar>
            <w:top w:w="0" w:type="dxa"/>
            <w:left w:w="108" w:type="dxa"/>
            <w:bottom w:w="0" w:type="dxa"/>
            <w:right w:w="108" w:type="dxa"/>
          </w:tblCellMar>
        </w:tblPrEx>
        <w:trPr>
          <w:trHeight w:val="45" w:hRule="atLeast"/>
        </w:trPr>
        <w:tc>
          <w:tcPr>
            <w:tcW w:w="1876" w:type="pct"/>
            <w:tcBorders>
              <w:top w:val="single" w:color="000000" w:sz="12" w:space="0"/>
              <w:left w:val="single" w:color="000000" w:sz="12" w:space="0"/>
              <w:bottom w:val="single" w:color="000000" w:sz="4" w:space="0"/>
              <w:right w:val="single" w:color="000000" w:sz="4" w:space="0"/>
            </w:tcBorders>
            <w:shd w:val="clear" w:color="auto" w:fill="auto"/>
            <w:noWrap/>
            <w:vAlign w:val="center"/>
          </w:tcPr>
          <w:p w14:paraId="373D8B44">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乔木规格（cm）</w:t>
            </w:r>
          </w:p>
        </w:tc>
        <w:tc>
          <w:tcPr>
            <w:tcW w:w="1561" w:type="pct"/>
            <w:gridSpan w:val="2"/>
            <w:tcBorders>
              <w:top w:val="single" w:color="000000" w:sz="12" w:space="0"/>
              <w:left w:val="single" w:color="000000" w:sz="4" w:space="0"/>
              <w:bottom w:val="single" w:color="000000" w:sz="4" w:space="0"/>
              <w:right w:val="single" w:color="000000" w:sz="4" w:space="0"/>
            </w:tcBorders>
            <w:shd w:val="clear" w:color="auto" w:fill="auto"/>
            <w:noWrap/>
            <w:vAlign w:val="center"/>
          </w:tcPr>
          <w:p w14:paraId="3297D64B">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土球规格（m）</w:t>
            </w:r>
          </w:p>
        </w:tc>
        <w:tc>
          <w:tcPr>
            <w:tcW w:w="1561" w:type="pct"/>
            <w:gridSpan w:val="2"/>
            <w:tcBorders>
              <w:top w:val="single" w:color="000000" w:sz="12" w:space="0"/>
              <w:left w:val="single" w:color="000000" w:sz="4" w:space="0"/>
              <w:bottom w:val="single" w:color="000000" w:sz="4" w:space="0"/>
              <w:right w:val="single" w:color="000000" w:sz="12" w:space="0"/>
            </w:tcBorders>
            <w:shd w:val="clear" w:color="auto" w:fill="auto"/>
            <w:noWrap/>
            <w:vAlign w:val="center"/>
          </w:tcPr>
          <w:p w14:paraId="576E7375">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种植穴规格（m）</w:t>
            </w:r>
          </w:p>
        </w:tc>
      </w:tr>
      <w:tr w14:paraId="4A7FFEE8">
        <w:tblPrEx>
          <w:tblCellMar>
            <w:top w:w="0" w:type="dxa"/>
            <w:left w:w="108" w:type="dxa"/>
            <w:bottom w:w="0" w:type="dxa"/>
            <w:right w:w="108" w:type="dxa"/>
          </w:tblCellMar>
        </w:tblPrEx>
        <w:trPr>
          <w:trHeight w:val="45" w:hRule="atLeast"/>
        </w:trPr>
        <w:tc>
          <w:tcPr>
            <w:tcW w:w="1876"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6264D2B9">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胸径</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B77A1">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直径</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BC393">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高</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B141">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直径</w:t>
            </w:r>
          </w:p>
        </w:tc>
        <w:tc>
          <w:tcPr>
            <w:tcW w:w="781"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514D627C">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深</w:t>
            </w:r>
          </w:p>
        </w:tc>
      </w:tr>
      <w:tr w14:paraId="361D8458">
        <w:tblPrEx>
          <w:tblCellMar>
            <w:top w:w="0" w:type="dxa"/>
            <w:left w:w="108" w:type="dxa"/>
            <w:bottom w:w="0" w:type="dxa"/>
            <w:right w:w="108" w:type="dxa"/>
          </w:tblCellMar>
        </w:tblPrEx>
        <w:trPr>
          <w:trHeight w:val="45" w:hRule="atLeast"/>
        </w:trPr>
        <w:tc>
          <w:tcPr>
            <w:tcW w:w="1876"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3F988BE2">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4</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70190">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0.28 </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2F3CA">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0.19 </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589A5">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0.48 </w:t>
            </w:r>
          </w:p>
        </w:tc>
        <w:tc>
          <w:tcPr>
            <w:tcW w:w="781"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533FBA39">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0.36 </w:t>
            </w:r>
          </w:p>
        </w:tc>
      </w:tr>
      <w:tr w14:paraId="0515E7F8">
        <w:tblPrEx>
          <w:tblCellMar>
            <w:top w:w="0" w:type="dxa"/>
            <w:left w:w="108" w:type="dxa"/>
            <w:bottom w:w="0" w:type="dxa"/>
            <w:right w:w="108" w:type="dxa"/>
          </w:tblCellMar>
        </w:tblPrEx>
        <w:trPr>
          <w:trHeight w:val="45" w:hRule="atLeast"/>
        </w:trPr>
        <w:tc>
          <w:tcPr>
            <w:tcW w:w="1876"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0D338DBC">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6</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F053">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0.42 </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E5C4">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0.28 </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E2D86">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0.62 </w:t>
            </w:r>
          </w:p>
        </w:tc>
        <w:tc>
          <w:tcPr>
            <w:tcW w:w="781"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28918495">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0.50 </w:t>
            </w:r>
          </w:p>
        </w:tc>
      </w:tr>
      <w:tr w14:paraId="02DD9BC8">
        <w:tblPrEx>
          <w:tblCellMar>
            <w:top w:w="0" w:type="dxa"/>
            <w:left w:w="108" w:type="dxa"/>
            <w:bottom w:w="0" w:type="dxa"/>
            <w:right w:w="108" w:type="dxa"/>
          </w:tblCellMar>
        </w:tblPrEx>
        <w:trPr>
          <w:trHeight w:val="45" w:hRule="atLeast"/>
        </w:trPr>
        <w:tc>
          <w:tcPr>
            <w:tcW w:w="1876"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E0EB95F">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8</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B2241">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0.56 </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8EA96">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0.37 </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28A6A">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0.76 </w:t>
            </w:r>
          </w:p>
        </w:tc>
        <w:tc>
          <w:tcPr>
            <w:tcW w:w="781"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587B7537">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0.60 </w:t>
            </w:r>
          </w:p>
        </w:tc>
      </w:tr>
      <w:tr w14:paraId="184028D5">
        <w:tblPrEx>
          <w:tblCellMar>
            <w:top w:w="0" w:type="dxa"/>
            <w:left w:w="108" w:type="dxa"/>
            <w:bottom w:w="0" w:type="dxa"/>
            <w:right w:w="108" w:type="dxa"/>
          </w:tblCellMar>
        </w:tblPrEx>
        <w:trPr>
          <w:trHeight w:val="45" w:hRule="atLeast"/>
        </w:trPr>
        <w:tc>
          <w:tcPr>
            <w:tcW w:w="1876"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99764B1">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10</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98E5">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0.70 </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FC311">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0.47 </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4A107">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0.95 </w:t>
            </w:r>
          </w:p>
        </w:tc>
        <w:tc>
          <w:tcPr>
            <w:tcW w:w="781"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D0772F5">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0.70 </w:t>
            </w:r>
          </w:p>
        </w:tc>
      </w:tr>
      <w:tr w14:paraId="7C4FA3AA">
        <w:tblPrEx>
          <w:tblCellMar>
            <w:top w:w="0" w:type="dxa"/>
            <w:left w:w="108" w:type="dxa"/>
            <w:bottom w:w="0" w:type="dxa"/>
            <w:right w:w="108" w:type="dxa"/>
          </w:tblCellMar>
        </w:tblPrEx>
        <w:trPr>
          <w:trHeight w:val="45" w:hRule="atLeast"/>
        </w:trPr>
        <w:tc>
          <w:tcPr>
            <w:tcW w:w="1876"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3E26BAB8">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12</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9365">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0.84 </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5A45C">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0.56 </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00D4D">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1.14 </w:t>
            </w:r>
          </w:p>
        </w:tc>
        <w:tc>
          <w:tcPr>
            <w:tcW w:w="781"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3FF82E9F">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0.90 </w:t>
            </w:r>
          </w:p>
        </w:tc>
      </w:tr>
      <w:tr w14:paraId="62692A57">
        <w:tblPrEx>
          <w:tblCellMar>
            <w:top w:w="0" w:type="dxa"/>
            <w:left w:w="108" w:type="dxa"/>
            <w:bottom w:w="0" w:type="dxa"/>
            <w:right w:w="108" w:type="dxa"/>
          </w:tblCellMar>
        </w:tblPrEx>
        <w:trPr>
          <w:trHeight w:val="45" w:hRule="atLeast"/>
        </w:trPr>
        <w:tc>
          <w:tcPr>
            <w:tcW w:w="1876"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68DD481B">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14</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0BD2C">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0.98 </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885F3">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0.65 </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7D2E2">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1.30 </w:t>
            </w:r>
          </w:p>
        </w:tc>
        <w:tc>
          <w:tcPr>
            <w:tcW w:w="781"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6BF364A2">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1.00 </w:t>
            </w:r>
          </w:p>
        </w:tc>
      </w:tr>
      <w:tr w14:paraId="0A7118DA">
        <w:tblPrEx>
          <w:tblCellMar>
            <w:top w:w="0" w:type="dxa"/>
            <w:left w:w="108" w:type="dxa"/>
            <w:bottom w:w="0" w:type="dxa"/>
            <w:right w:w="108" w:type="dxa"/>
          </w:tblCellMar>
        </w:tblPrEx>
        <w:trPr>
          <w:trHeight w:val="45" w:hRule="atLeast"/>
        </w:trPr>
        <w:tc>
          <w:tcPr>
            <w:tcW w:w="1876"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28481D5F">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16</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CE72">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1.12 </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CDD42">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0.75 </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FEC4">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1.47 </w:t>
            </w:r>
          </w:p>
        </w:tc>
        <w:tc>
          <w:tcPr>
            <w:tcW w:w="781"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463E51F6">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1.10 </w:t>
            </w:r>
          </w:p>
        </w:tc>
      </w:tr>
      <w:tr w14:paraId="36281B2E">
        <w:tblPrEx>
          <w:tblCellMar>
            <w:top w:w="0" w:type="dxa"/>
            <w:left w:w="108" w:type="dxa"/>
            <w:bottom w:w="0" w:type="dxa"/>
            <w:right w:w="108" w:type="dxa"/>
          </w:tblCellMar>
        </w:tblPrEx>
        <w:trPr>
          <w:trHeight w:val="45" w:hRule="atLeast"/>
        </w:trPr>
        <w:tc>
          <w:tcPr>
            <w:tcW w:w="1876" w:type="pct"/>
            <w:tcBorders>
              <w:top w:val="single" w:color="000000" w:sz="4" w:space="0"/>
              <w:left w:val="single" w:color="000000" w:sz="12" w:space="0"/>
              <w:bottom w:val="single" w:color="000000" w:sz="4" w:space="0"/>
              <w:right w:val="single" w:color="000000" w:sz="4" w:space="0"/>
            </w:tcBorders>
            <w:shd w:val="clear" w:color="auto" w:fill="auto"/>
            <w:noWrap/>
            <w:vAlign w:val="center"/>
          </w:tcPr>
          <w:p w14:paraId="507BD58E">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18</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F4E1">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1.26 </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6517">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0.84 </w:t>
            </w:r>
          </w:p>
        </w:tc>
        <w:tc>
          <w:tcPr>
            <w:tcW w:w="7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0F0DE">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1.61 </w:t>
            </w:r>
          </w:p>
        </w:tc>
        <w:tc>
          <w:tcPr>
            <w:tcW w:w="781" w:type="pct"/>
            <w:tcBorders>
              <w:top w:val="single" w:color="000000" w:sz="4" w:space="0"/>
              <w:left w:val="single" w:color="000000" w:sz="4" w:space="0"/>
              <w:bottom w:val="single" w:color="000000" w:sz="4" w:space="0"/>
              <w:right w:val="single" w:color="000000" w:sz="12" w:space="0"/>
            </w:tcBorders>
            <w:shd w:val="clear" w:color="auto" w:fill="auto"/>
            <w:noWrap/>
            <w:vAlign w:val="center"/>
          </w:tcPr>
          <w:p w14:paraId="0A88AF5A">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1.20 </w:t>
            </w:r>
          </w:p>
        </w:tc>
      </w:tr>
      <w:tr w14:paraId="49E853B9">
        <w:tblPrEx>
          <w:tblCellMar>
            <w:top w:w="0" w:type="dxa"/>
            <w:left w:w="108" w:type="dxa"/>
            <w:bottom w:w="0" w:type="dxa"/>
            <w:right w:w="108" w:type="dxa"/>
          </w:tblCellMar>
        </w:tblPrEx>
        <w:trPr>
          <w:trHeight w:val="45" w:hRule="atLeast"/>
        </w:trPr>
        <w:tc>
          <w:tcPr>
            <w:tcW w:w="1876" w:type="pct"/>
            <w:tcBorders>
              <w:top w:val="single" w:color="000000" w:sz="4" w:space="0"/>
              <w:left w:val="single" w:color="000000" w:sz="12" w:space="0"/>
              <w:bottom w:val="single" w:color="000000" w:sz="12" w:space="0"/>
              <w:right w:val="single" w:color="000000" w:sz="4" w:space="0"/>
            </w:tcBorders>
            <w:shd w:val="clear" w:color="auto" w:fill="auto"/>
            <w:noWrap/>
            <w:vAlign w:val="center"/>
          </w:tcPr>
          <w:p w14:paraId="4801465A">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20</w:t>
            </w:r>
          </w:p>
        </w:tc>
        <w:tc>
          <w:tcPr>
            <w:tcW w:w="780" w:type="pct"/>
            <w:tcBorders>
              <w:top w:val="single" w:color="000000" w:sz="4" w:space="0"/>
              <w:left w:val="single" w:color="000000" w:sz="4" w:space="0"/>
              <w:bottom w:val="single" w:color="000000" w:sz="12" w:space="0"/>
              <w:right w:val="single" w:color="000000" w:sz="4" w:space="0"/>
            </w:tcBorders>
            <w:shd w:val="clear" w:color="auto" w:fill="auto"/>
            <w:noWrap/>
            <w:vAlign w:val="center"/>
          </w:tcPr>
          <w:p w14:paraId="7B12E536">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1.40 </w:t>
            </w:r>
          </w:p>
        </w:tc>
        <w:tc>
          <w:tcPr>
            <w:tcW w:w="781" w:type="pct"/>
            <w:tcBorders>
              <w:top w:val="single" w:color="000000" w:sz="4" w:space="0"/>
              <w:left w:val="single" w:color="000000" w:sz="4" w:space="0"/>
              <w:bottom w:val="single" w:color="000000" w:sz="12" w:space="0"/>
              <w:right w:val="single" w:color="000000" w:sz="4" w:space="0"/>
            </w:tcBorders>
            <w:shd w:val="clear" w:color="auto" w:fill="auto"/>
            <w:noWrap/>
            <w:vAlign w:val="center"/>
          </w:tcPr>
          <w:p w14:paraId="1F5262CB">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0.93 </w:t>
            </w:r>
          </w:p>
        </w:tc>
        <w:tc>
          <w:tcPr>
            <w:tcW w:w="780" w:type="pct"/>
            <w:tcBorders>
              <w:top w:val="single" w:color="000000" w:sz="4" w:space="0"/>
              <w:left w:val="single" w:color="000000" w:sz="4" w:space="0"/>
              <w:bottom w:val="single" w:color="000000" w:sz="12" w:space="0"/>
              <w:right w:val="single" w:color="000000" w:sz="4" w:space="0"/>
            </w:tcBorders>
            <w:shd w:val="clear" w:color="auto" w:fill="auto"/>
            <w:noWrap/>
            <w:vAlign w:val="center"/>
          </w:tcPr>
          <w:p w14:paraId="0F6CABBA">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1.75 </w:t>
            </w:r>
          </w:p>
        </w:tc>
        <w:tc>
          <w:tcPr>
            <w:tcW w:w="781" w:type="pct"/>
            <w:tcBorders>
              <w:top w:val="single" w:color="000000" w:sz="4" w:space="0"/>
              <w:left w:val="single" w:color="000000" w:sz="4" w:space="0"/>
              <w:bottom w:val="single" w:color="000000" w:sz="12" w:space="0"/>
              <w:right w:val="single" w:color="000000" w:sz="12" w:space="0"/>
            </w:tcBorders>
            <w:shd w:val="clear" w:color="auto" w:fill="auto"/>
            <w:noWrap/>
            <w:vAlign w:val="center"/>
          </w:tcPr>
          <w:p w14:paraId="09443D1F">
            <w:pPr>
              <w:widowControl/>
              <w:adjustRightIn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 xml:space="preserve">1.30 </w:t>
            </w:r>
          </w:p>
        </w:tc>
      </w:tr>
    </w:tbl>
    <w:p w14:paraId="446B15B5">
      <w:pPr>
        <w:widowControl/>
        <w:jc w:val="center"/>
        <w:rPr>
          <w:rFonts w:ascii="Times New Roman" w:hAnsi="Times New Roman" w:eastAsia="黑体" w:cs="Times New Roman"/>
          <w:kern w:val="0"/>
          <w:sz w:val="18"/>
          <w:szCs w:val="18"/>
          <w:lang w:bidi="ar"/>
        </w:rPr>
      </w:pPr>
      <w:r>
        <w:rPr>
          <w:rFonts w:ascii="Times New Roman" w:hAnsi="Times New Roman" w:eastAsia="黑体" w:cs="Times New Roman"/>
          <w:kern w:val="0"/>
          <w:sz w:val="18"/>
          <w:szCs w:val="18"/>
          <w:lang w:bidi="ar"/>
        </w:rPr>
        <w:t>表5</w:t>
      </w:r>
      <w:r>
        <w:rPr>
          <w:rFonts w:ascii="Times New Roman" w:hAnsi="Times New Roman" w:cs="Times New Roman"/>
          <w:kern w:val="0"/>
          <w:sz w:val="18"/>
          <w:szCs w:val="18"/>
          <w:lang w:bidi="ar"/>
        </w:rPr>
        <w:t>.</w:t>
      </w:r>
      <w:r>
        <w:rPr>
          <w:rFonts w:ascii="Times New Roman" w:hAnsi="Times New Roman" w:eastAsia="黑体" w:cs="Times New Roman"/>
          <w:kern w:val="0"/>
          <w:sz w:val="18"/>
          <w:szCs w:val="18"/>
          <w:lang w:bidi="ar"/>
        </w:rPr>
        <w:t>10</w:t>
      </w:r>
      <w:r>
        <w:rPr>
          <w:rFonts w:ascii="Times New Roman" w:hAnsi="Times New Roman" w:cs="Times New Roman"/>
          <w:kern w:val="0"/>
          <w:sz w:val="18"/>
          <w:szCs w:val="18"/>
          <w:lang w:bidi="ar"/>
        </w:rPr>
        <w:t>.</w:t>
      </w:r>
      <w:r>
        <w:rPr>
          <w:rFonts w:hint="eastAsia" w:ascii="Times New Roman" w:hAnsi="Times New Roman" w:eastAsia="黑体" w:cs="Times New Roman"/>
          <w:kern w:val="0"/>
          <w:sz w:val="18"/>
          <w:szCs w:val="18"/>
          <w:lang w:bidi="ar"/>
        </w:rPr>
        <w:t>6</w:t>
      </w:r>
      <w:r>
        <w:rPr>
          <w:rFonts w:ascii="Times New Roman" w:hAnsi="Times New Roman" w:eastAsia="黑体" w:cs="Times New Roman"/>
          <w:kern w:val="0"/>
          <w:sz w:val="18"/>
          <w:szCs w:val="18"/>
          <w:lang w:bidi="ar"/>
        </w:rPr>
        <w:t>-4  带土球灌木种植穴规格</w:t>
      </w:r>
    </w:p>
    <w:tbl>
      <w:tblPr>
        <w:tblStyle w:val="10"/>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3197"/>
        <w:gridCol w:w="1329"/>
        <w:gridCol w:w="1331"/>
        <w:gridCol w:w="1330"/>
        <w:gridCol w:w="1332"/>
      </w:tblGrid>
      <w:tr w14:paraId="1265A0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blHeader/>
        </w:trPr>
        <w:tc>
          <w:tcPr>
            <w:tcW w:w="1876" w:type="pct"/>
            <w:tcBorders>
              <w:tl2br w:val="nil"/>
              <w:tr2bl w:val="nil"/>
            </w:tcBorders>
            <w:shd w:val="clear" w:color="auto" w:fill="auto"/>
            <w:noWrap/>
            <w:vAlign w:val="center"/>
          </w:tcPr>
          <w:p w14:paraId="45C979F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灌木规格（cm）</w:t>
            </w:r>
          </w:p>
        </w:tc>
        <w:tc>
          <w:tcPr>
            <w:tcW w:w="1561" w:type="pct"/>
            <w:gridSpan w:val="2"/>
            <w:tcBorders>
              <w:tl2br w:val="nil"/>
              <w:tr2bl w:val="nil"/>
            </w:tcBorders>
            <w:shd w:val="clear" w:color="auto" w:fill="auto"/>
            <w:noWrap/>
            <w:vAlign w:val="center"/>
          </w:tcPr>
          <w:p w14:paraId="70FD0DEE">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土球规格（m）</w:t>
            </w:r>
          </w:p>
        </w:tc>
        <w:tc>
          <w:tcPr>
            <w:tcW w:w="1561" w:type="pct"/>
            <w:gridSpan w:val="2"/>
            <w:tcBorders>
              <w:tl2br w:val="nil"/>
              <w:tr2bl w:val="nil"/>
            </w:tcBorders>
            <w:shd w:val="clear" w:color="auto" w:fill="auto"/>
            <w:noWrap/>
            <w:vAlign w:val="center"/>
          </w:tcPr>
          <w:p w14:paraId="7EA47947">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种植穴规格（cm））</w:t>
            </w:r>
          </w:p>
        </w:tc>
      </w:tr>
      <w:tr w14:paraId="259E1C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6" w:type="pct"/>
            <w:tcBorders>
              <w:tl2br w:val="nil"/>
              <w:tr2bl w:val="nil"/>
            </w:tcBorders>
            <w:shd w:val="clear" w:color="auto" w:fill="auto"/>
            <w:noWrap/>
            <w:vAlign w:val="center"/>
          </w:tcPr>
          <w:p w14:paraId="524DCD77">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冠幅</w:t>
            </w:r>
          </w:p>
        </w:tc>
        <w:tc>
          <w:tcPr>
            <w:tcW w:w="780" w:type="pct"/>
            <w:tcBorders>
              <w:tl2br w:val="nil"/>
              <w:tr2bl w:val="nil"/>
            </w:tcBorders>
            <w:shd w:val="clear" w:color="auto" w:fill="auto"/>
            <w:noWrap/>
            <w:vAlign w:val="center"/>
          </w:tcPr>
          <w:p w14:paraId="4A7146CD">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直径</w:t>
            </w:r>
          </w:p>
        </w:tc>
        <w:tc>
          <w:tcPr>
            <w:tcW w:w="781" w:type="pct"/>
            <w:tcBorders>
              <w:tl2br w:val="nil"/>
              <w:tr2bl w:val="nil"/>
            </w:tcBorders>
            <w:shd w:val="clear" w:color="auto" w:fill="auto"/>
            <w:noWrap/>
            <w:vAlign w:val="center"/>
          </w:tcPr>
          <w:p w14:paraId="30B352E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高</w:t>
            </w:r>
          </w:p>
        </w:tc>
        <w:tc>
          <w:tcPr>
            <w:tcW w:w="780" w:type="pct"/>
            <w:tcBorders>
              <w:tl2br w:val="nil"/>
              <w:tr2bl w:val="nil"/>
            </w:tcBorders>
            <w:shd w:val="clear" w:color="auto" w:fill="auto"/>
            <w:noWrap/>
            <w:vAlign w:val="center"/>
          </w:tcPr>
          <w:p w14:paraId="15CA2364">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直径</w:t>
            </w:r>
          </w:p>
        </w:tc>
        <w:tc>
          <w:tcPr>
            <w:tcW w:w="781" w:type="pct"/>
            <w:tcBorders>
              <w:tl2br w:val="nil"/>
              <w:tr2bl w:val="nil"/>
            </w:tcBorders>
            <w:shd w:val="clear" w:color="auto" w:fill="auto"/>
            <w:noWrap/>
            <w:vAlign w:val="center"/>
          </w:tcPr>
          <w:p w14:paraId="20D373C2">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深</w:t>
            </w:r>
          </w:p>
        </w:tc>
      </w:tr>
      <w:tr w14:paraId="1CAE09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6" w:type="pct"/>
            <w:tcBorders>
              <w:tl2br w:val="nil"/>
              <w:tr2bl w:val="nil"/>
            </w:tcBorders>
            <w:shd w:val="clear" w:color="auto" w:fill="auto"/>
            <w:noWrap/>
            <w:vAlign w:val="center"/>
          </w:tcPr>
          <w:p w14:paraId="5B418F34">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20</w:t>
            </w:r>
          </w:p>
        </w:tc>
        <w:tc>
          <w:tcPr>
            <w:tcW w:w="780" w:type="pct"/>
            <w:tcBorders>
              <w:tl2br w:val="nil"/>
              <w:tr2bl w:val="nil"/>
            </w:tcBorders>
            <w:shd w:val="clear" w:color="auto" w:fill="auto"/>
            <w:noWrap/>
            <w:vAlign w:val="center"/>
          </w:tcPr>
          <w:p w14:paraId="61F2BD5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0.15 </w:t>
            </w:r>
          </w:p>
        </w:tc>
        <w:tc>
          <w:tcPr>
            <w:tcW w:w="781" w:type="pct"/>
            <w:tcBorders>
              <w:tl2br w:val="nil"/>
              <w:tr2bl w:val="nil"/>
            </w:tcBorders>
            <w:shd w:val="clear" w:color="auto" w:fill="auto"/>
            <w:noWrap/>
            <w:vAlign w:val="center"/>
          </w:tcPr>
          <w:p w14:paraId="3EF4B1E2">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0.10 </w:t>
            </w:r>
          </w:p>
        </w:tc>
        <w:tc>
          <w:tcPr>
            <w:tcW w:w="780" w:type="pct"/>
            <w:tcBorders>
              <w:tl2br w:val="nil"/>
              <w:tr2bl w:val="nil"/>
            </w:tcBorders>
            <w:shd w:val="clear" w:color="auto" w:fill="auto"/>
            <w:noWrap/>
            <w:vAlign w:val="center"/>
          </w:tcPr>
          <w:p w14:paraId="2FC1192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0.25 </w:t>
            </w:r>
          </w:p>
        </w:tc>
        <w:tc>
          <w:tcPr>
            <w:tcW w:w="781" w:type="pct"/>
            <w:tcBorders>
              <w:tl2br w:val="nil"/>
              <w:tr2bl w:val="nil"/>
            </w:tcBorders>
            <w:shd w:val="clear" w:color="auto" w:fill="auto"/>
            <w:noWrap/>
            <w:vAlign w:val="center"/>
          </w:tcPr>
          <w:p w14:paraId="399AF89E">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0.19 </w:t>
            </w:r>
          </w:p>
        </w:tc>
      </w:tr>
      <w:tr w14:paraId="12A068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6" w:type="pct"/>
            <w:tcBorders>
              <w:tl2br w:val="nil"/>
              <w:tr2bl w:val="nil"/>
            </w:tcBorders>
            <w:shd w:val="clear" w:color="auto" w:fill="auto"/>
            <w:noWrap/>
            <w:vAlign w:val="center"/>
          </w:tcPr>
          <w:p w14:paraId="26AABCF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40</w:t>
            </w:r>
          </w:p>
        </w:tc>
        <w:tc>
          <w:tcPr>
            <w:tcW w:w="780" w:type="pct"/>
            <w:tcBorders>
              <w:tl2br w:val="nil"/>
              <w:tr2bl w:val="nil"/>
            </w:tcBorders>
            <w:shd w:val="clear" w:color="auto" w:fill="auto"/>
            <w:noWrap/>
            <w:vAlign w:val="center"/>
          </w:tcPr>
          <w:p w14:paraId="665AAC7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0.20 </w:t>
            </w:r>
          </w:p>
        </w:tc>
        <w:tc>
          <w:tcPr>
            <w:tcW w:w="781" w:type="pct"/>
            <w:tcBorders>
              <w:tl2br w:val="nil"/>
              <w:tr2bl w:val="nil"/>
            </w:tcBorders>
            <w:shd w:val="clear" w:color="auto" w:fill="auto"/>
            <w:noWrap/>
            <w:vAlign w:val="center"/>
          </w:tcPr>
          <w:p w14:paraId="48E7C1DC">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0.13 </w:t>
            </w:r>
          </w:p>
        </w:tc>
        <w:tc>
          <w:tcPr>
            <w:tcW w:w="780" w:type="pct"/>
            <w:tcBorders>
              <w:tl2br w:val="nil"/>
              <w:tr2bl w:val="nil"/>
            </w:tcBorders>
            <w:shd w:val="clear" w:color="auto" w:fill="auto"/>
            <w:noWrap/>
            <w:vAlign w:val="center"/>
          </w:tcPr>
          <w:p w14:paraId="3D32D2C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0.30 </w:t>
            </w:r>
          </w:p>
        </w:tc>
        <w:tc>
          <w:tcPr>
            <w:tcW w:w="781" w:type="pct"/>
            <w:tcBorders>
              <w:tl2br w:val="nil"/>
              <w:tr2bl w:val="nil"/>
            </w:tcBorders>
            <w:shd w:val="clear" w:color="auto" w:fill="auto"/>
            <w:noWrap/>
            <w:vAlign w:val="center"/>
          </w:tcPr>
          <w:p w14:paraId="1A65F22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0.23 </w:t>
            </w:r>
          </w:p>
        </w:tc>
      </w:tr>
      <w:tr w14:paraId="689920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6" w:type="pct"/>
            <w:tcBorders>
              <w:tl2br w:val="nil"/>
              <w:tr2bl w:val="nil"/>
            </w:tcBorders>
            <w:shd w:val="clear" w:color="auto" w:fill="auto"/>
            <w:noWrap/>
            <w:vAlign w:val="center"/>
          </w:tcPr>
          <w:p w14:paraId="7E25D504">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60</w:t>
            </w:r>
          </w:p>
        </w:tc>
        <w:tc>
          <w:tcPr>
            <w:tcW w:w="780" w:type="pct"/>
            <w:tcBorders>
              <w:tl2br w:val="nil"/>
              <w:tr2bl w:val="nil"/>
            </w:tcBorders>
            <w:shd w:val="clear" w:color="auto" w:fill="auto"/>
            <w:noWrap/>
            <w:vAlign w:val="center"/>
          </w:tcPr>
          <w:p w14:paraId="7A0E76E7">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0.25 </w:t>
            </w:r>
          </w:p>
        </w:tc>
        <w:tc>
          <w:tcPr>
            <w:tcW w:w="781" w:type="pct"/>
            <w:tcBorders>
              <w:tl2br w:val="nil"/>
              <w:tr2bl w:val="nil"/>
            </w:tcBorders>
            <w:shd w:val="clear" w:color="auto" w:fill="auto"/>
            <w:noWrap/>
            <w:vAlign w:val="center"/>
          </w:tcPr>
          <w:p w14:paraId="13188A1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0.17 </w:t>
            </w:r>
          </w:p>
        </w:tc>
        <w:tc>
          <w:tcPr>
            <w:tcW w:w="780" w:type="pct"/>
            <w:tcBorders>
              <w:tl2br w:val="nil"/>
              <w:tr2bl w:val="nil"/>
            </w:tcBorders>
            <w:shd w:val="clear" w:color="auto" w:fill="auto"/>
            <w:noWrap/>
            <w:vAlign w:val="center"/>
          </w:tcPr>
          <w:p w14:paraId="34B9FBF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0.35 </w:t>
            </w:r>
          </w:p>
        </w:tc>
        <w:tc>
          <w:tcPr>
            <w:tcW w:w="781" w:type="pct"/>
            <w:tcBorders>
              <w:tl2br w:val="nil"/>
              <w:tr2bl w:val="nil"/>
            </w:tcBorders>
            <w:shd w:val="clear" w:color="auto" w:fill="auto"/>
            <w:noWrap/>
            <w:vAlign w:val="center"/>
          </w:tcPr>
          <w:p w14:paraId="4EF25BE5">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0.26 </w:t>
            </w:r>
          </w:p>
        </w:tc>
      </w:tr>
      <w:tr w14:paraId="7D7FF2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6" w:type="pct"/>
            <w:tcBorders>
              <w:tl2br w:val="nil"/>
              <w:tr2bl w:val="nil"/>
            </w:tcBorders>
            <w:shd w:val="clear" w:color="auto" w:fill="auto"/>
            <w:noWrap/>
            <w:vAlign w:val="center"/>
          </w:tcPr>
          <w:p w14:paraId="5934C88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80</w:t>
            </w:r>
          </w:p>
        </w:tc>
        <w:tc>
          <w:tcPr>
            <w:tcW w:w="780" w:type="pct"/>
            <w:tcBorders>
              <w:tl2br w:val="nil"/>
              <w:tr2bl w:val="nil"/>
            </w:tcBorders>
            <w:shd w:val="clear" w:color="auto" w:fill="auto"/>
            <w:noWrap/>
            <w:vAlign w:val="center"/>
          </w:tcPr>
          <w:p w14:paraId="49D9F78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0.40 </w:t>
            </w:r>
          </w:p>
        </w:tc>
        <w:tc>
          <w:tcPr>
            <w:tcW w:w="781" w:type="pct"/>
            <w:tcBorders>
              <w:tl2br w:val="nil"/>
              <w:tr2bl w:val="nil"/>
            </w:tcBorders>
            <w:shd w:val="clear" w:color="auto" w:fill="auto"/>
            <w:noWrap/>
            <w:vAlign w:val="center"/>
          </w:tcPr>
          <w:p w14:paraId="7C2EEE03">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0.27 </w:t>
            </w:r>
          </w:p>
        </w:tc>
        <w:tc>
          <w:tcPr>
            <w:tcW w:w="780" w:type="pct"/>
            <w:tcBorders>
              <w:tl2br w:val="nil"/>
              <w:tr2bl w:val="nil"/>
            </w:tcBorders>
            <w:shd w:val="clear" w:color="auto" w:fill="auto"/>
            <w:noWrap/>
            <w:vAlign w:val="center"/>
          </w:tcPr>
          <w:p w14:paraId="468FAF3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0.55 </w:t>
            </w:r>
          </w:p>
        </w:tc>
        <w:tc>
          <w:tcPr>
            <w:tcW w:w="781" w:type="pct"/>
            <w:tcBorders>
              <w:tl2br w:val="nil"/>
              <w:tr2bl w:val="nil"/>
            </w:tcBorders>
            <w:shd w:val="clear" w:color="auto" w:fill="auto"/>
            <w:noWrap/>
            <w:vAlign w:val="center"/>
          </w:tcPr>
          <w:p w14:paraId="410F8B00">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0.41 </w:t>
            </w:r>
          </w:p>
        </w:tc>
      </w:tr>
      <w:tr w14:paraId="229C03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6" w:type="pct"/>
            <w:tcBorders>
              <w:tl2br w:val="nil"/>
              <w:tr2bl w:val="nil"/>
            </w:tcBorders>
            <w:shd w:val="clear" w:color="auto" w:fill="auto"/>
            <w:noWrap/>
            <w:vAlign w:val="center"/>
          </w:tcPr>
          <w:p w14:paraId="2B0E791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100</w:t>
            </w:r>
          </w:p>
        </w:tc>
        <w:tc>
          <w:tcPr>
            <w:tcW w:w="780" w:type="pct"/>
            <w:tcBorders>
              <w:tl2br w:val="nil"/>
              <w:tr2bl w:val="nil"/>
            </w:tcBorders>
            <w:shd w:val="clear" w:color="auto" w:fill="auto"/>
            <w:noWrap/>
            <w:vAlign w:val="center"/>
          </w:tcPr>
          <w:p w14:paraId="3440F6FD">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0.55 </w:t>
            </w:r>
          </w:p>
        </w:tc>
        <w:tc>
          <w:tcPr>
            <w:tcW w:w="781" w:type="pct"/>
            <w:tcBorders>
              <w:tl2br w:val="nil"/>
              <w:tr2bl w:val="nil"/>
            </w:tcBorders>
            <w:shd w:val="clear" w:color="auto" w:fill="auto"/>
            <w:noWrap/>
            <w:vAlign w:val="center"/>
          </w:tcPr>
          <w:p w14:paraId="001C4DA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0.37 </w:t>
            </w:r>
          </w:p>
        </w:tc>
        <w:tc>
          <w:tcPr>
            <w:tcW w:w="780" w:type="pct"/>
            <w:tcBorders>
              <w:tl2br w:val="nil"/>
              <w:tr2bl w:val="nil"/>
            </w:tcBorders>
            <w:shd w:val="clear" w:color="auto" w:fill="auto"/>
            <w:noWrap/>
            <w:vAlign w:val="center"/>
          </w:tcPr>
          <w:p w14:paraId="04C95B33">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0.70 </w:t>
            </w:r>
          </w:p>
        </w:tc>
        <w:tc>
          <w:tcPr>
            <w:tcW w:w="781" w:type="pct"/>
            <w:tcBorders>
              <w:tl2br w:val="nil"/>
              <w:tr2bl w:val="nil"/>
            </w:tcBorders>
            <w:shd w:val="clear" w:color="auto" w:fill="auto"/>
            <w:noWrap/>
            <w:vAlign w:val="center"/>
          </w:tcPr>
          <w:p w14:paraId="7AB0E40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0.53 </w:t>
            </w:r>
          </w:p>
        </w:tc>
      </w:tr>
      <w:tr w14:paraId="045B1B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6" w:type="pct"/>
            <w:tcBorders>
              <w:tl2br w:val="nil"/>
              <w:tr2bl w:val="nil"/>
            </w:tcBorders>
            <w:shd w:val="clear" w:color="auto" w:fill="auto"/>
            <w:noWrap/>
            <w:vAlign w:val="center"/>
          </w:tcPr>
          <w:p w14:paraId="54F4BF59">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150</w:t>
            </w:r>
          </w:p>
        </w:tc>
        <w:tc>
          <w:tcPr>
            <w:tcW w:w="780" w:type="pct"/>
            <w:tcBorders>
              <w:tl2br w:val="nil"/>
              <w:tr2bl w:val="nil"/>
            </w:tcBorders>
            <w:shd w:val="clear" w:color="auto" w:fill="auto"/>
            <w:noWrap/>
            <w:vAlign w:val="center"/>
          </w:tcPr>
          <w:p w14:paraId="3DB131F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0.65 </w:t>
            </w:r>
          </w:p>
        </w:tc>
        <w:tc>
          <w:tcPr>
            <w:tcW w:w="781" w:type="pct"/>
            <w:tcBorders>
              <w:tl2br w:val="nil"/>
              <w:tr2bl w:val="nil"/>
            </w:tcBorders>
            <w:shd w:val="clear" w:color="auto" w:fill="auto"/>
            <w:noWrap/>
            <w:vAlign w:val="center"/>
          </w:tcPr>
          <w:p w14:paraId="036B53B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0.43 </w:t>
            </w:r>
          </w:p>
        </w:tc>
        <w:tc>
          <w:tcPr>
            <w:tcW w:w="780" w:type="pct"/>
            <w:tcBorders>
              <w:tl2br w:val="nil"/>
              <w:tr2bl w:val="nil"/>
            </w:tcBorders>
            <w:shd w:val="clear" w:color="auto" w:fill="auto"/>
            <w:noWrap/>
            <w:vAlign w:val="center"/>
          </w:tcPr>
          <w:p w14:paraId="20DB8FC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0.81 </w:t>
            </w:r>
          </w:p>
        </w:tc>
        <w:tc>
          <w:tcPr>
            <w:tcW w:w="781" w:type="pct"/>
            <w:tcBorders>
              <w:tl2br w:val="nil"/>
              <w:tr2bl w:val="nil"/>
            </w:tcBorders>
            <w:shd w:val="clear" w:color="auto" w:fill="auto"/>
            <w:noWrap/>
            <w:vAlign w:val="center"/>
          </w:tcPr>
          <w:p w14:paraId="28EA7E9E">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0.61 </w:t>
            </w:r>
          </w:p>
        </w:tc>
      </w:tr>
      <w:tr w14:paraId="2F3F0E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 w:hRule="atLeast"/>
        </w:trPr>
        <w:tc>
          <w:tcPr>
            <w:tcW w:w="1876" w:type="pct"/>
            <w:tcBorders>
              <w:tl2br w:val="nil"/>
              <w:tr2bl w:val="nil"/>
            </w:tcBorders>
            <w:shd w:val="clear" w:color="auto" w:fill="auto"/>
            <w:noWrap/>
            <w:vAlign w:val="center"/>
          </w:tcPr>
          <w:p w14:paraId="5E78235B">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200</w:t>
            </w:r>
          </w:p>
        </w:tc>
        <w:tc>
          <w:tcPr>
            <w:tcW w:w="780" w:type="pct"/>
            <w:tcBorders>
              <w:tl2br w:val="nil"/>
              <w:tr2bl w:val="nil"/>
            </w:tcBorders>
            <w:shd w:val="clear" w:color="auto" w:fill="auto"/>
            <w:noWrap/>
            <w:vAlign w:val="center"/>
          </w:tcPr>
          <w:p w14:paraId="59190BAF">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0.75 </w:t>
            </w:r>
          </w:p>
        </w:tc>
        <w:tc>
          <w:tcPr>
            <w:tcW w:w="781" w:type="pct"/>
            <w:tcBorders>
              <w:tl2br w:val="nil"/>
              <w:tr2bl w:val="nil"/>
            </w:tcBorders>
            <w:shd w:val="clear" w:color="auto" w:fill="auto"/>
            <w:noWrap/>
            <w:vAlign w:val="center"/>
          </w:tcPr>
          <w:p w14:paraId="25487376">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0.50 </w:t>
            </w:r>
          </w:p>
        </w:tc>
        <w:tc>
          <w:tcPr>
            <w:tcW w:w="780" w:type="pct"/>
            <w:tcBorders>
              <w:tl2br w:val="nil"/>
              <w:tr2bl w:val="nil"/>
            </w:tcBorders>
            <w:shd w:val="clear" w:color="auto" w:fill="auto"/>
            <w:noWrap/>
            <w:vAlign w:val="center"/>
          </w:tcPr>
          <w:p w14:paraId="42DF6DB1">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0.91 </w:t>
            </w:r>
          </w:p>
        </w:tc>
        <w:tc>
          <w:tcPr>
            <w:tcW w:w="781" w:type="pct"/>
            <w:tcBorders>
              <w:tl2br w:val="nil"/>
              <w:tr2bl w:val="nil"/>
            </w:tcBorders>
            <w:shd w:val="clear" w:color="auto" w:fill="auto"/>
            <w:noWrap/>
            <w:vAlign w:val="center"/>
          </w:tcPr>
          <w:p w14:paraId="72BE4F07">
            <w:pPr>
              <w:widowControl/>
              <w:adjustRightInd w:val="0"/>
              <w:jc w:val="center"/>
              <w:textAlignment w:val="center"/>
              <w:rPr>
                <w:rFonts w:ascii="Times New Roman" w:hAnsi="Times New Roman" w:cs="Times New Roman"/>
                <w:kern w:val="0"/>
                <w:sz w:val="15"/>
                <w:szCs w:val="15"/>
                <w:lang w:bidi="ar"/>
              </w:rPr>
            </w:pPr>
            <w:r>
              <w:rPr>
                <w:rFonts w:ascii="Times New Roman" w:hAnsi="Times New Roman" w:cs="Times New Roman"/>
                <w:kern w:val="0"/>
                <w:sz w:val="15"/>
                <w:szCs w:val="15"/>
                <w:lang w:bidi="ar"/>
              </w:rPr>
              <w:t xml:space="preserve">0.68 </w:t>
            </w:r>
          </w:p>
        </w:tc>
      </w:tr>
    </w:tbl>
    <w:p w14:paraId="2E80901D">
      <w:pPr>
        <w:pBdr>
          <w:top w:val="none" w:color="000000" w:sz="0" w:space="0"/>
          <w:left w:val="none" w:color="000000" w:sz="0" w:space="0"/>
          <w:bottom w:val="none" w:color="000000" w:sz="0" w:space="0"/>
          <w:right w:val="none" w:color="000000" w:sz="0" w:space="0"/>
        </w:pBdr>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 xml:space="preserve">7 </w:t>
      </w:r>
      <w:r>
        <w:rPr>
          <w:rFonts w:ascii="Times New Roman" w:hAnsi="Times New Roman" w:eastAsia="黑体" w:cs="Times New Roman"/>
          <w:sz w:val="21"/>
        </w:rPr>
        <w:t xml:space="preserve"> </w:t>
      </w:r>
      <w:r>
        <w:rPr>
          <w:rFonts w:ascii="Times New Roman" w:hAnsi="Times New Roman" w:cs="Times New Roman"/>
          <w:sz w:val="21"/>
        </w:rPr>
        <w:t>在原土上整地种植，因土壤不能满足植物生长要求的，应采取换土措施。</w:t>
      </w:r>
    </w:p>
    <w:p w14:paraId="48E8EDC6">
      <w:pPr>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8</w:t>
      </w:r>
      <w:r>
        <w:rPr>
          <w:rFonts w:ascii="Times New Roman" w:hAnsi="Times New Roman" w:cs="Times New Roman"/>
          <w:b/>
          <w:sz w:val="21"/>
        </w:rPr>
        <w:t xml:space="preserve"> </w:t>
      </w:r>
      <w:r>
        <w:rPr>
          <w:rFonts w:ascii="Times New Roman" w:hAnsi="Times New Roman" w:cs="Times New Roman"/>
          <w:sz w:val="21"/>
        </w:rPr>
        <w:t xml:space="preserve"> 施工组织设计应充分考虑种植时间受限的可能性，苗木入场后不能及时种植的，应采取假植措施；栽植胸径8cm以上乔木，应采用树棍桩支撑；昼夜温差大、日照强烈地区，应进行苗木涂白；冬季栽植乔木应采用草绳绑扎树干；北方地区种植常绿植物，秋冬季宜采用编织布在苗木外围搭设风障。</w:t>
      </w:r>
    </w:p>
    <w:p w14:paraId="3007B72F">
      <w:pPr>
        <w:pBdr>
          <w:top w:val="none" w:color="000000" w:sz="0" w:space="0"/>
          <w:left w:val="none" w:color="000000" w:sz="0" w:space="0"/>
          <w:bottom w:val="none" w:color="000000" w:sz="0" w:space="0"/>
          <w:right w:val="none" w:color="000000" w:sz="0" w:space="0"/>
        </w:pBdr>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 xml:space="preserve">9 </w:t>
      </w:r>
      <w:r>
        <w:rPr>
          <w:rFonts w:ascii="Times New Roman" w:hAnsi="Times New Roman" w:eastAsia="黑体" w:cs="Times New Roman"/>
          <w:sz w:val="21"/>
        </w:rPr>
        <w:t xml:space="preserve"> </w:t>
      </w:r>
      <w:r>
        <w:rPr>
          <w:rFonts w:ascii="Times New Roman" w:hAnsi="Times New Roman" w:cs="Times New Roman"/>
          <w:sz w:val="21"/>
        </w:rPr>
        <w:t>降水量不能满足植物生长需要的地区或保水能力不足的区域，应配套灌溉设施或雨水集蓄利用措施。灌溉设计应符合现行国家标准《喷灌工程技术规范》GB/T</w:t>
      </w:r>
      <w:r>
        <w:rPr>
          <w:rFonts w:hint="eastAsia" w:ascii="Times New Roman" w:hAnsi="Times New Roman" w:cs="Times New Roman"/>
          <w:sz w:val="21"/>
        </w:rPr>
        <w:t xml:space="preserve"> </w:t>
      </w:r>
      <w:r>
        <w:rPr>
          <w:rFonts w:ascii="Times New Roman" w:hAnsi="Times New Roman" w:cs="Times New Roman"/>
          <w:sz w:val="21"/>
        </w:rPr>
        <w:t>50085、《微灌工程技术规范》GB/T</w:t>
      </w:r>
      <w:r>
        <w:rPr>
          <w:rFonts w:hint="eastAsia" w:ascii="Times New Roman" w:hAnsi="Times New Roman" w:cs="Times New Roman"/>
          <w:sz w:val="21"/>
        </w:rPr>
        <w:t xml:space="preserve"> </w:t>
      </w:r>
      <w:r>
        <w:rPr>
          <w:rFonts w:ascii="Times New Roman" w:hAnsi="Times New Roman" w:cs="Times New Roman"/>
          <w:sz w:val="21"/>
        </w:rPr>
        <w:t>50485的规定。灌溉类型应按下列要求确定：</w:t>
      </w:r>
    </w:p>
    <w:p w14:paraId="691E078B">
      <w:pPr>
        <w:autoSpaceDE w:val="0"/>
        <w:autoSpaceDN w:val="0"/>
        <w:adjustRightInd w:val="0"/>
        <w:spacing w:line="360" w:lineRule="auto"/>
        <w:ind w:firstLine="422" w:firstLineChars="200"/>
        <w:rPr>
          <w:rFonts w:ascii="Times New Roman" w:hAnsi="Times New Roman" w:cs="Times New Roman"/>
          <w:sz w:val="21"/>
        </w:rPr>
      </w:pPr>
      <w:r>
        <w:rPr>
          <w:rFonts w:ascii="Times New Roman" w:hAnsi="Times New Roman" w:eastAsia="黑体" w:cs="Times New Roman"/>
          <w:b/>
          <w:sz w:val="21"/>
        </w:rPr>
        <w:t xml:space="preserve">1 </w:t>
      </w:r>
      <w:r>
        <w:rPr>
          <w:rFonts w:ascii="Times New Roman" w:hAnsi="Times New Roman" w:eastAsia="黑体" w:cs="Times New Roman"/>
          <w:sz w:val="21"/>
        </w:rPr>
        <w:t xml:space="preserve"> </w:t>
      </w:r>
      <w:r>
        <w:rPr>
          <w:rFonts w:ascii="Times New Roman" w:hAnsi="Times New Roman" w:cs="Times New Roman"/>
          <w:sz w:val="21"/>
        </w:rPr>
        <w:t>确定为植被恢复与建设1级工程的场地，宜采用喷灌或微灌。</w:t>
      </w:r>
    </w:p>
    <w:p w14:paraId="40D183DB">
      <w:pPr>
        <w:autoSpaceDE w:val="0"/>
        <w:autoSpaceDN w:val="0"/>
        <w:adjustRightInd w:val="0"/>
        <w:spacing w:line="360" w:lineRule="auto"/>
        <w:ind w:firstLine="422" w:firstLineChars="200"/>
        <w:rPr>
          <w:rFonts w:ascii="Times New Roman" w:hAnsi="Times New Roman" w:eastAsia="黑体" w:cs="Times New Roman"/>
          <w:sz w:val="21"/>
        </w:rPr>
      </w:pPr>
      <w:r>
        <w:rPr>
          <w:rFonts w:ascii="Times New Roman" w:hAnsi="Times New Roman" w:eastAsia="黑体" w:cs="Times New Roman"/>
          <w:b/>
          <w:sz w:val="21"/>
        </w:rPr>
        <w:t>2</w:t>
      </w:r>
      <w:r>
        <w:rPr>
          <w:rFonts w:ascii="Times New Roman" w:hAnsi="Times New Roman" w:eastAsia="黑体" w:cs="Times New Roman"/>
          <w:sz w:val="21"/>
        </w:rPr>
        <w:t xml:space="preserve">  </w:t>
      </w:r>
      <w:r>
        <w:rPr>
          <w:rFonts w:ascii="Times New Roman" w:hAnsi="Times New Roman" w:cs="Times New Roman"/>
          <w:sz w:val="21"/>
        </w:rPr>
        <w:t>确定为植被恢复与建设2级、3级工程的场地，宜采用移动式灌溉。</w:t>
      </w:r>
    </w:p>
    <w:p w14:paraId="74C27413">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 2 \* ROMAN \* MERGEFORMAT </w:instrText>
      </w:r>
      <w:r>
        <w:rPr>
          <w:rFonts w:ascii="Times New Roman" w:hAnsi="Times New Roman" w:cs="Times New Roman"/>
          <w:bCs/>
          <w:sz w:val="24"/>
          <w:szCs w:val="24"/>
        </w:rPr>
        <w:fldChar w:fldCharType="separate"/>
      </w:r>
      <w:r>
        <w:rPr>
          <w:rFonts w:ascii="Times New Roman" w:hAnsi="Times New Roman" w:cs="Times New Roman"/>
          <w:bCs/>
          <w:sz w:val="24"/>
          <w:szCs w:val="24"/>
        </w:rPr>
        <w:t>II</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Pr>
          <w:rFonts w:ascii="Times New Roman" w:hAnsi="Times New Roman" w:eastAsia="黑体" w:cs="Times New Roman"/>
          <w:bCs/>
          <w:sz w:val="24"/>
          <w:szCs w:val="24"/>
        </w:rPr>
        <w:t>工程总体布置</w:t>
      </w:r>
    </w:p>
    <w:p w14:paraId="025CE8CA">
      <w:pPr>
        <w:autoSpaceDE w:val="0"/>
        <w:autoSpaceDN w:val="0"/>
        <w:adjustRightInd w:val="0"/>
        <w:spacing w:line="360" w:lineRule="auto"/>
        <w:jc w:val="left"/>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sz w:val="21"/>
        </w:rPr>
        <w:t xml:space="preserve">  植被恢复与建设工程总体布置应符合下列规定：</w:t>
      </w:r>
    </w:p>
    <w:p w14:paraId="0C1063BC">
      <w:pPr>
        <w:autoSpaceDE w:val="0"/>
        <w:autoSpaceDN w:val="0"/>
        <w:adjustRightInd w:val="0"/>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 xml:space="preserve">1 </w:t>
      </w:r>
      <w:r>
        <w:rPr>
          <w:rFonts w:ascii="Times New Roman" w:hAnsi="Times New Roman" w:eastAsia="黑体" w:cs="Times New Roman"/>
          <w:sz w:val="21"/>
        </w:rPr>
        <w:t xml:space="preserve"> </w:t>
      </w:r>
      <w:r>
        <w:rPr>
          <w:rFonts w:ascii="Times New Roman" w:hAnsi="Times New Roman" w:cs="Times New Roman"/>
          <w:sz w:val="21"/>
        </w:rPr>
        <w:t>应按对水土资源的扰动程度和潜在危害程度，配合水土保持工程措施，因地制宜地布置植物措施。</w:t>
      </w:r>
    </w:p>
    <w:p w14:paraId="5A0CEAE7">
      <w:pPr>
        <w:autoSpaceDE w:val="0"/>
        <w:autoSpaceDN w:val="0"/>
        <w:adjustRightInd w:val="0"/>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 xml:space="preserve">2 </w:t>
      </w:r>
      <w:r>
        <w:rPr>
          <w:rFonts w:ascii="Times New Roman" w:hAnsi="Times New Roman" w:eastAsia="黑体" w:cs="Times New Roman"/>
          <w:sz w:val="21"/>
        </w:rPr>
        <w:t xml:space="preserve"> </w:t>
      </w:r>
      <w:r>
        <w:rPr>
          <w:rFonts w:ascii="Times New Roman" w:hAnsi="Times New Roman" w:cs="Times New Roman"/>
          <w:sz w:val="21"/>
        </w:rPr>
        <w:t>应统筹布局，生态和景观要求相结合，并应与周边自然景观协调。</w:t>
      </w:r>
    </w:p>
    <w:p w14:paraId="079689F7">
      <w:pPr>
        <w:pBdr>
          <w:top w:val="none" w:color="000000" w:sz="0" w:space="0"/>
          <w:left w:val="none" w:color="000000" w:sz="0" w:space="0"/>
          <w:bottom w:val="none" w:color="000000" w:sz="0" w:space="0"/>
          <w:right w:val="none" w:color="000000" w:sz="0" w:space="0"/>
        </w:pBdr>
        <w:autoSpaceDE w:val="0"/>
        <w:autoSpaceDN w:val="0"/>
        <w:adjustRightInd w:val="0"/>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3</w:t>
      </w:r>
      <w:r>
        <w:rPr>
          <w:rFonts w:ascii="Times New Roman" w:hAnsi="Times New Roman" w:cs="Times New Roman"/>
          <w:b/>
          <w:sz w:val="21"/>
        </w:rPr>
        <w:t xml:space="preserve"> </w:t>
      </w:r>
      <w:r>
        <w:rPr>
          <w:rFonts w:ascii="Times New Roman" w:hAnsi="Times New Roman" w:cs="Times New Roman"/>
          <w:sz w:val="21"/>
        </w:rPr>
        <w:t xml:space="preserve"> 应满足为项目区生产、生活服务的功能要求。</w:t>
      </w:r>
    </w:p>
    <w:p w14:paraId="3447BC19">
      <w:pPr>
        <w:autoSpaceDE w:val="0"/>
        <w:autoSpaceDN w:val="0"/>
        <w:adjustRightInd w:val="0"/>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 xml:space="preserve">4 </w:t>
      </w:r>
      <w:r>
        <w:rPr>
          <w:rFonts w:ascii="Times New Roman" w:hAnsi="Times New Roman" w:cs="Times New Roman"/>
          <w:sz w:val="21"/>
        </w:rPr>
        <w:t xml:space="preserve"> 确定为植被恢复与建设1级工程的场地，应按生态景观绿化工程布置。</w:t>
      </w:r>
    </w:p>
    <w:p w14:paraId="0C22FAAB">
      <w:pPr>
        <w:autoSpaceDE w:val="0"/>
        <w:autoSpaceDN w:val="0"/>
        <w:adjustRightInd w:val="0"/>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 xml:space="preserve">5 </w:t>
      </w:r>
      <w:r>
        <w:rPr>
          <w:rFonts w:ascii="Times New Roman" w:hAnsi="Times New Roman" w:eastAsia="黑体" w:cs="Times New Roman"/>
          <w:sz w:val="21"/>
        </w:rPr>
        <w:t xml:space="preserve"> </w:t>
      </w:r>
      <w:r>
        <w:rPr>
          <w:rFonts w:ascii="Times New Roman" w:hAnsi="Times New Roman" w:cs="Times New Roman"/>
          <w:sz w:val="21"/>
        </w:rPr>
        <w:t>确定为植被恢复与建设2级工程的场地，工程布置应以植被恢复工程为主，生态景观绿化工程为辅。</w:t>
      </w:r>
    </w:p>
    <w:p w14:paraId="7F7A0E0B">
      <w:pPr>
        <w:autoSpaceDE w:val="0"/>
        <w:autoSpaceDN w:val="0"/>
        <w:adjustRightInd w:val="0"/>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 xml:space="preserve">6 </w:t>
      </w:r>
      <w:r>
        <w:rPr>
          <w:rFonts w:ascii="Times New Roman" w:hAnsi="Times New Roman" w:eastAsia="黑体" w:cs="Times New Roman"/>
          <w:sz w:val="21"/>
        </w:rPr>
        <w:t xml:space="preserve"> </w:t>
      </w:r>
      <w:r>
        <w:rPr>
          <w:rFonts w:ascii="Times New Roman" w:hAnsi="Times New Roman" w:cs="Times New Roman"/>
          <w:sz w:val="21"/>
        </w:rPr>
        <w:t>确定为植被恢复与建设3级工程的场地，应按植被恢复工程布置。</w:t>
      </w:r>
    </w:p>
    <w:p w14:paraId="1315ED7B">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 3 \* ROMAN \* MERGEFORMAT </w:instrText>
      </w:r>
      <w:r>
        <w:rPr>
          <w:rFonts w:ascii="Times New Roman" w:hAnsi="Times New Roman" w:cs="Times New Roman"/>
          <w:bCs/>
          <w:sz w:val="24"/>
          <w:szCs w:val="24"/>
        </w:rPr>
        <w:fldChar w:fldCharType="separate"/>
      </w:r>
      <w:r>
        <w:rPr>
          <w:rFonts w:ascii="Times New Roman" w:hAnsi="Times New Roman" w:cs="Times New Roman"/>
          <w:bCs/>
          <w:sz w:val="24"/>
          <w:szCs w:val="24"/>
        </w:rPr>
        <w:t>III</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Pr>
          <w:rFonts w:ascii="Times New Roman" w:hAnsi="Times New Roman" w:eastAsia="黑体" w:cs="Times New Roman"/>
          <w:bCs/>
          <w:sz w:val="24"/>
          <w:szCs w:val="24"/>
        </w:rPr>
        <w:t>立地类型划分</w:t>
      </w:r>
    </w:p>
    <w:p w14:paraId="5DE1DC99">
      <w:pPr>
        <w:autoSpaceDE w:val="0"/>
        <w:autoSpaceDN w:val="0"/>
        <w:adjustRightInd w:val="0"/>
        <w:spacing w:line="360" w:lineRule="auto"/>
        <w:jc w:val="left"/>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11</w:t>
      </w:r>
      <w:r>
        <w:rPr>
          <w:rFonts w:ascii="Times New Roman" w:hAnsi="Times New Roman" w:cs="Times New Roman"/>
          <w:b/>
          <w:sz w:val="21"/>
        </w:rPr>
        <w:t xml:space="preserve"> </w:t>
      </w:r>
      <w:r>
        <w:rPr>
          <w:rFonts w:ascii="Times New Roman" w:hAnsi="Times New Roman" w:cs="Times New Roman"/>
          <w:sz w:val="21"/>
        </w:rPr>
        <w:t xml:space="preserve"> 立地类型划分应符合下列规定： </w:t>
      </w:r>
    </w:p>
    <w:p w14:paraId="7DF7E7F7">
      <w:pPr>
        <w:autoSpaceDE w:val="0"/>
        <w:autoSpaceDN w:val="0"/>
        <w:adjustRightInd w:val="0"/>
        <w:spacing w:line="360" w:lineRule="auto"/>
        <w:ind w:firstLine="422" w:firstLineChars="200"/>
        <w:jc w:val="left"/>
        <w:rPr>
          <w:rFonts w:ascii="Times New Roman" w:hAnsi="Times New Roman" w:eastAsia="黑体" w:cs="Times New Roman"/>
          <w:sz w:val="21"/>
        </w:rPr>
      </w:pPr>
      <w:r>
        <w:rPr>
          <w:rFonts w:ascii="Times New Roman" w:hAnsi="Times New Roman" w:eastAsia="黑体" w:cs="Times New Roman"/>
          <w:b/>
          <w:sz w:val="21"/>
        </w:rPr>
        <w:t>1</w:t>
      </w:r>
      <w:r>
        <w:rPr>
          <w:rFonts w:ascii="Times New Roman" w:hAnsi="Times New Roman" w:eastAsia="黑体" w:cs="Times New Roman"/>
          <w:sz w:val="21"/>
        </w:rPr>
        <w:t xml:space="preserve">  </w:t>
      </w:r>
      <w:r>
        <w:rPr>
          <w:rFonts w:ascii="Times New Roman" w:hAnsi="Times New Roman" w:cs="Times New Roman"/>
          <w:sz w:val="21"/>
        </w:rPr>
        <w:t>应按工程所处自然气候区和植被分布带，确定其基本植被类型区。</w:t>
      </w:r>
      <w:r>
        <w:rPr>
          <w:rFonts w:ascii="Times New Roman" w:hAnsi="Times New Roman" w:eastAsia="黑体" w:cs="Times New Roman"/>
          <w:sz w:val="21"/>
        </w:rPr>
        <w:t xml:space="preserve"> </w:t>
      </w:r>
    </w:p>
    <w:p w14:paraId="036B613F">
      <w:pPr>
        <w:autoSpaceDE w:val="0"/>
        <w:autoSpaceDN w:val="0"/>
        <w:adjustRightInd w:val="0"/>
        <w:spacing w:line="360" w:lineRule="auto"/>
        <w:ind w:firstLine="422" w:firstLineChars="200"/>
        <w:jc w:val="left"/>
        <w:rPr>
          <w:rFonts w:ascii="Times New Roman" w:hAnsi="Times New Roman" w:eastAsia="黑体" w:cs="Times New Roman"/>
          <w:sz w:val="21"/>
        </w:rPr>
      </w:pPr>
      <w:r>
        <w:rPr>
          <w:rFonts w:ascii="Times New Roman" w:hAnsi="Times New Roman" w:eastAsia="黑体" w:cs="Times New Roman"/>
          <w:b/>
          <w:sz w:val="21"/>
        </w:rPr>
        <w:t xml:space="preserve">2 </w:t>
      </w:r>
      <w:r>
        <w:rPr>
          <w:rFonts w:ascii="Times New Roman" w:hAnsi="Times New Roman" w:eastAsia="黑体" w:cs="Times New Roman"/>
          <w:sz w:val="21"/>
        </w:rPr>
        <w:t xml:space="preserve"> </w:t>
      </w:r>
      <w:r>
        <w:rPr>
          <w:rFonts w:ascii="Times New Roman" w:hAnsi="Times New Roman" w:cs="Times New Roman"/>
          <w:sz w:val="21"/>
        </w:rPr>
        <w:t xml:space="preserve">立地类型宜按地面物质组成、覆土状况、特殊地形和条件等主要因子确定。 </w:t>
      </w:r>
    </w:p>
    <w:p w14:paraId="04395724">
      <w:pPr>
        <w:autoSpaceDE w:val="0"/>
        <w:autoSpaceDN w:val="0"/>
        <w:adjustRightInd w:val="0"/>
        <w:spacing w:line="360" w:lineRule="auto"/>
        <w:ind w:firstLine="422" w:firstLineChars="200"/>
        <w:jc w:val="left"/>
        <w:rPr>
          <w:rFonts w:ascii="Times New Roman" w:hAnsi="Times New Roman" w:eastAsia="黑体" w:cs="Times New Roman"/>
          <w:sz w:val="21"/>
        </w:rPr>
      </w:pPr>
      <w:r>
        <w:rPr>
          <w:rFonts w:ascii="Times New Roman" w:hAnsi="Times New Roman" w:eastAsia="黑体" w:cs="Times New Roman"/>
          <w:b/>
          <w:sz w:val="21"/>
        </w:rPr>
        <w:t xml:space="preserve">3 </w:t>
      </w:r>
      <w:r>
        <w:rPr>
          <w:rFonts w:ascii="Times New Roman" w:hAnsi="Times New Roman" w:eastAsia="黑体" w:cs="Times New Roman"/>
          <w:sz w:val="21"/>
        </w:rPr>
        <w:t xml:space="preserve"> </w:t>
      </w:r>
      <w:r>
        <w:rPr>
          <w:rFonts w:ascii="Times New Roman" w:hAnsi="Times New Roman" w:cs="Times New Roman"/>
          <w:sz w:val="21"/>
        </w:rPr>
        <w:t>线型工程跨越若干地域时，应以水热条件和主要地貌，首先划分若干立地类型组， 再划分立地类型。</w:t>
      </w:r>
      <w:r>
        <w:rPr>
          <w:rFonts w:ascii="Times New Roman" w:hAnsi="Times New Roman" w:eastAsia="黑体" w:cs="Times New Roman"/>
          <w:sz w:val="21"/>
        </w:rPr>
        <w:t xml:space="preserve"> </w:t>
      </w:r>
    </w:p>
    <w:p w14:paraId="59417D1A">
      <w:pPr>
        <w:keepNext/>
        <w:keepLines/>
        <w:spacing w:before="260" w:after="260" w:line="416" w:lineRule="auto"/>
        <w:jc w:val="center"/>
        <w:outlineLvl w:val="2"/>
        <w:rPr>
          <w:rFonts w:ascii="Times New Roman" w:hAnsi="Times New Roman" w:eastAsia="黑体" w:cs="Times New Roman"/>
          <w:bCs/>
          <w:sz w:val="24"/>
          <w:szCs w:val="24"/>
        </w:rPr>
      </w:pP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 4 \* ROMAN \* MERGEFORMAT </w:instrText>
      </w:r>
      <w:r>
        <w:rPr>
          <w:rFonts w:ascii="Times New Roman" w:hAnsi="Times New Roman" w:cs="Times New Roman"/>
          <w:bCs/>
          <w:sz w:val="24"/>
          <w:szCs w:val="24"/>
        </w:rPr>
        <w:fldChar w:fldCharType="separate"/>
      </w:r>
      <w:r>
        <w:rPr>
          <w:rFonts w:ascii="Times New Roman" w:hAnsi="Times New Roman" w:cs="Times New Roman"/>
          <w:bCs/>
          <w:sz w:val="24"/>
          <w:szCs w:val="24"/>
        </w:rPr>
        <w:t>IV</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Pr>
          <w:rFonts w:ascii="Times New Roman" w:hAnsi="Times New Roman" w:eastAsia="黑体" w:cs="Times New Roman"/>
          <w:bCs/>
          <w:sz w:val="24"/>
          <w:szCs w:val="24"/>
        </w:rPr>
        <w:t>植物选择</w:t>
      </w:r>
    </w:p>
    <w:p w14:paraId="0C44B79C">
      <w:pPr>
        <w:autoSpaceDE w:val="0"/>
        <w:autoSpaceDN w:val="0"/>
        <w:adjustRightInd w:val="0"/>
        <w:spacing w:line="360" w:lineRule="auto"/>
        <w:jc w:val="left"/>
        <w:rPr>
          <w:rFonts w:ascii="Times New Roman" w:hAnsi="Times New Roman" w:eastAsia="黑体"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 xml:space="preserve">12 </w:t>
      </w:r>
      <w:r>
        <w:rPr>
          <w:rFonts w:ascii="Times New Roman" w:hAnsi="Times New Roman" w:cs="Times New Roman"/>
          <w:sz w:val="21"/>
        </w:rPr>
        <w:t xml:space="preserve"> 植物选择应符合下列规定：</w:t>
      </w:r>
      <w:r>
        <w:rPr>
          <w:rFonts w:ascii="Times New Roman" w:hAnsi="Times New Roman" w:eastAsia="黑体" w:cs="Times New Roman"/>
          <w:sz w:val="21"/>
        </w:rPr>
        <w:t xml:space="preserve"> </w:t>
      </w:r>
    </w:p>
    <w:p w14:paraId="6429F7B7">
      <w:pPr>
        <w:autoSpaceDE w:val="0"/>
        <w:autoSpaceDN w:val="0"/>
        <w:adjustRightInd w:val="0"/>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1</w:t>
      </w:r>
      <w:r>
        <w:rPr>
          <w:rFonts w:ascii="Times New Roman" w:hAnsi="Times New Roman" w:eastAsia="黑体" w:cs="Times New Roman"/>
          <w:sz w:val="21"/>
        </w:rPr>
        <w:t xml:space="preserve">  </w:t>
      </w:r>
      <w:r>
        <w:rPr>
          <w:rFonts w:ascii="Times New Roman" w:hAnsi="Times New Roman" w:cs="Times New Roman"/>
          <w:sz w:val="21"/>
        </w:rPr>
        <w:t>应根据基本植被类型区、立地类型划分、基本防护功能、生态景观要求和适地适树原则确定植物措施的基本类型。</w:t>
      </w:r>
    </w:p>
    <w:p w14:paraId="643D3DBE">
      <w:pPr>
        <w:pBdr>
          <w:top w:val="none" w:color="000000" w:sz="0" w:space="0"/>
          <w:left w:val="none" w:color="000000" w:sz="0" w:space="0"/>
          <w:bottom w:val="none" w:color="000000" w:sz="0" w:space="0"/>
          <w:right w:val="none" w:color="000000" w:sz="0" w:space="0"/>
        </w:pBdr>
        <w:autoSpaceDE w:val="0"/>
        <w:autoSpaceDN w:val="0"/>
        <w:adjustRightInd w:val="0"/>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 xml:space="preserve">2 </w:t>
      </w:r>
      <w:r>
        <w:rPr>
          <w:rFonts w:ascii="Times New Roman" w:hAnsi="Times New Roman" w:eastAsia="黑体" w:cs="Times New Roman"/>
          <w:sz w:val="21"/>
        </w:rPr>
        <w:t xml:space="preserve"> </w:t>
      </w:r>
      <w:r>
        <w:rPr>
          <w:rFonts w:ascii="Times New Roman" w:hAnsi="Times New Roman" w:cs="Times New Roman"/>
          <w:sz w:val="21"/>
          <w:szCs w:val="21"/>
        </w:rPr>
        <w:t>应根据植物措施的基本类型、植被恢复工程级别、立地条件、限制性因子等选择适宜的植物种类。</w:t>
      </w:r>
    </w:p>
    <w:p w14:paraId="145FA3A8">
      <w:pPr>
        <w:autoSpaceDE w:val="0"/>
        <w:autoSpaceDN w:val="0"/>
        <w:adjustRightInd w:val="0"/>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3</w:t>
      </w:r>
      <w:r>
        <w:rPr>
          <w:rFonts w:ascii="Times New Roman" w:hAnsi="Times New Roman" w:eastAsia="黑体" w:cs="Times New Roman"/>
          <w:sz w:val="21"/>
        </w:rPr>
        <w:t xml:space="preserve">  </w:t>
      </w:r>
      <w:r>
        <w:rPr>
          <w:rFonts w:ascii="Times New Roman" w:hAnsi="Times New Roman" w:cs="Times New Roman"/>
          <w:sz w:val="21"/>
        </w:rPr>
        <w:t>植物选择应优先选择乡土植物和引种驯化后在当地适生的植物，并应结合场地环境保护自然生态资源。</w:t>
      </w:r>
    </w:p>
    <w:p w14:paraId="7A683A64">
      <w:pPr>
        <w:autoSpaceDE w:val="0"/>
        <w:autoSpaceDN w:val="0"/>
        <w:adjustRightInd w:val="0"/>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4</w:t>
      </w:r>
      <w:r>
        <w:rPr>
          <w:rFonts w:ascii="Times New Roman" w:hAnsi="Times New Roman" w:cs="Times New Roman"/>
          <w:sz w:val="21"/>
        </w:rPr>
        <w:t xml:space="preserve">  生态景观绿化工程宜种植容器苗和带土球大苗，植物可</w:t>
      </w:r>
      <w:r>
        <w:rPr>
          <w:rFonts w:hint="eastAsia" w:ascii="Times New Roman" w:hAnsi="Times New Roman" w:cs="Times New Roman"/>
          <w:sz w:val="21"/>
        </w:rPr>
        <w:t>按</w:t>
      </w:r>
      <w:r>
        <w:rPr>
          <w:rFonts w:ascii="Times New Roman" w:hAnsi="Times New Roman" w:cs="Times New Roman"/>
          <w:sz w:val="21"/>
        </w:rPr>
        <w:t>本标准附录C选择。</w:t>
      </w:r>
    </w:p>
    <w:p w14:paraId="20DB39D8">
      <w:pPr>
        <w:autoSpaceDE w:val="0"/>
        <w:autoSpaceDN w:val="0"/>
        <w:adjustRightInd w:val="0"/>
        <w:spacing w:line="360" w:lineRule="auto"/>
        <w:ind w:firstLine="422" w:firstLineChars="200"/>
        <w:jc w:val="left"/>
        <w:rPr>
          <w:rFonts w:ascii="Times New Roman" w:hAnsi="Times New Roman" w:eastAsia="黑体" w:cs="Times New Roman"/>
          <w:sz w:val="21"/>
        </w:rPr>
      </w:pPr>
      <w:r>
        <w:rPr>
          <w:rFonts w:ascii="Times New Roman" w:hAnsi="Times New Roman" w:eastAsia="黑体" w:cs="Times New Roman"/>
          <w:b/>
          <w:sz w:val="21"/>
        </w:rPr>
        <w:t>5</w:t>
      </w:r>
      <w:r>
        <w:rPr>
          <w:rFonts w:ascii="Times New Roman" w:hAnsi="Times New Roman" w:eastAsia="黑体" w:cs="Times New Roman"/>
          <w:sz w:val="21"/>
        </w:rPr>
        <w:t xml:space="preserve">  </w:t>
      </w:r>
      <w:r>
        <w:rPr>
          <w:rFonts w:ascii="Times New Roman" w:hAnsi="Times New Roman" w:cs="Times New Roman"/>
          <w:sz w:val="21"/>
        </w:rPr>
        <w:t>植被恢复工程的植物可</w:t>
      </w:r>
      <w:r>
        <w:rPr>
          <w:rFonts w:hint="eastAsia" w:ascii="Times New Roman" w:hAnsi="Times New Roman" w:cs="Times New Roman"/>
          <w:sz w:val="21"/>
        </w:rPr>
        <w:t>按</w:t>
      </w:r>
      <w:r>
        <w:rPr>
          <w:rFonts w:ascii="Times New Roman" w:hAnsi="Times New Roman" w:cs="Times New Roman"/>
          <w:sz w:val="21"/>
        </w:rPr>
        <w:t>本标准附录C选择。</w:t>
      </w:r>
    </w:p>
    <w:p w14:paraId="161C2C80">
      <w:pPr>
        <w:keepNext/>
        <w:keepLines/>
        <w:spacing w:before="260" w:after="260" w:line="416" w:lineRule="auto"/>
        <w:jc w:val="center"/>
        <w:outlineLvl w:val="2"/>
        <w:rPr>
          <w:rFonts w:ascii="Times New Roman" w:hAnsi="Times New Roman" w:eastAsia="黑体" w:cs="Times New Roman"/>
          <w:bCs/>
          <w:sz w:val="24"/>
          <w:szCs w:val="24"/>
        </w:rPr>
      </w:pP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 5 \* ROMAN \* MERGEFORMAT </w:instrText>
      </w:r>
      <w:r>
        <w:rPr>
          <w:rFonts w:ascii="Times New Roman" w:hAnsi="Times New Roman" w:cs="Times New Roman"/>
          <w:bCs/>
          <w:sz w:val="24"/>
          <w:szCs w:val="24"/>
        </w:rPr>
        <w:fldChar w:fldCharType="separate"/>
      </w:r>
      <w:r>
        <w:rPr>
          <w:rFonts w:ascii="Times New Roman" w:hAnsi="Times New Roman" w:cs="Times New Roman"/>
          <w:bCs/>
          <w:sz w:val="24"/>
          <w:szCs w:val="24"/>
        </w:rPr>
        <w:t>V</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Pr>
          <w:rFonts w:ascii="Times New Roman" w:hAnsi="Times New Roman" w:eastAsia="黑体" w:cs="Times New Roman"/>
          <w:bCs/>
          <w:sz w:val="24"/>
          <w:szCs w:val="24"/>
        </w:rPr>
        <w:t>生态景观绿化工程设计</w:t>
      </w:r>
    </w:p>
    <w:p w14:paraId="06D04472">
      <w:pPr>
        <w:autoSpaceDE w:val="0"/>
        <w:autoSpaceDN w:val="0"/>
        <w:adjustRightInd w:val="0"/>
        <w:spacing w:line="360" w:lineRule="auto"/>
        <w:jc w:val="left"/>
        <w:rPr>
          <w:rFonts w:ascii="Times New Roman" w:hAnsi="Times New Roman" w:eastAsia="黑体"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13</w:t>
      </w:r>
      <w:r>
        <w:rPr>
          <w:rFonts w:ascii="Times New Roman" w:hAnsi="Times New Roman" w:eastAsia="黑体" w:cs="Times New Roman"/>
          <w:sz w:val="21"/>
        </w:rPr>
        <w:t xml:space="preserve">  </w:t>
      </w:r>
      <w:r>
        <w:rPr>
          <w:rFonts w:ascii="Times New Roman" w:hAnsi="Times New Roman" w:cs="Times New Roman"/>
          <w:sz w:val="21"/>
        </w:rPr>
        <w:t>生态景观绿化工程设计应首先满足水土保持功能，在确保水土流失得到有效治理的前提下采用园林式种植绿化，营造环境景观。</w:t>
      </w:r>
    </w:p>
    <w:p w14:paraId="32F13EF3">
      <w:pPr>
        <w:autoSpaceDE w:val="0"/>
        <w:autoSpaceDN w:val="0"/>
        <w:adjustRightInd w:val="0"/>
        <w:spacing w:line="360" w:lineRule="auto"/>
        <w:jc w:val="left"/>
        <w:rPr>
          <w:rFonts w:ascii="Times New Roman" w:hAnsi="Times New Roman" w:eastAsia="黑体"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 xml:space="preserve">14 </w:t>
      </w:r>
      <w:r>
        <w:rPr>
          <w:rFonts w:ascii="Times New Roman" w:hAnsi="Times New Roman" w:cs="Times New Roman"/>
          <w:sz w:val="21"/>
        </w:rPr>
        <w:t xml:space="preserve"> 生态景观绿化工程设计应符合下列原则：</w:t>
      </w:r>
    </w:p>
    <w:p w14:paraId="7044C233">
      <w:pPr>
        <w:autoSpaceDE w:val="0"/>
        <w:autoSpaceDN w:val="0"/>
        <w:adjustRightInd w:val="0"/>
        <w:spacing w:line="360" w:lineRule="auto"/>
        <w:ind w:firstLine="422" w:firstLineChars="200"/>
        <w:jc w:val="left"/>
        <w:rPr>
          <w:rFonts w:ascii="Times New Roman" w:hAnsi="Times New Roman" w:eastAsia="黑体" w:cs="Times New Roman"/>
          <w:sz w:val="21"/>
        </w:rPr>
      </w:pPr>
      <w:r>
        <w:rPr>
          <w:rFonts w:ascii="Times New Roman" w:hAnsi="Times New Roman" w:eastAsia="黑体" w:cs="Times New Roman"/>
          <w:b/>
          <w:sz w:val="21"/>
        </w:rPr>
        <w:t xml:space="preserve">1 </w:t>
      </w:r>
      <w:r>
        <w:rPr>
          <w:rFonts w:ascii="Times New Roman" w:hAnsi="Times New Roman" w:eastAsia="黑体" w:cs="Times New Roman"/>
          <w:sz w:val="21"/>
        </w:rPr>
        <w:t xml:space="preserve"> </w:t>
      </w:r>
      <w:r>
        <w:rPr>
          <w:rFonts w:ascii="Times New Roman" w:hAnsi="Times New Roman" w:cs="Times New Roman"/>
          <w:sz w:val="21"/>
        </w:rPr>
        <w:t>应根据生产建设项目特点，明确总体景观风格，确定总体景观布局和功能分区，并应与周边自然景观协调。</w:t>
      </w:r>
    </w:p>
    <w:p w14:paraId="2120CFDD">
      <w:pPr>
        <w:autoSpaceDE w:val="0"/>
        <w:autoSpaceDN w:val="0"/>
        <w:adjustRightInd w:val="0"/>
        <w:spacing w:line="360" w:lineRule="auto"/>
        <w:ind w:firstLine="422" w:firstLineChars="200"/>
        <w:jc w:val="left"/>
        <w:rPr>
          <w:rFonts w:ascii="Times New Roman" w:hAnsi="Times New Roman" w:eastAsia="黑体" w:cs="Times New Roman"/>
          <w:sz w:val="21"/>
        </w:rPr>
      </w:pPr>
      <w:r>
        <w:rPr>
          <w:rFonts w:ascii="Times New Roman" w:hAnsi="Times New Roman" w:eastAsia="黑体" w:cs="Times New Roman"/>
          <w:b/>
          <w:sz w:val="21"/>
        </w:rPr>
        <w:t>2</w:t>
      </w:r>
      <w:r>
        <w:rPr>
          <w:rFonts w:ascii="Times New Roman" w:hAnsi="Times New Roman" w:eastAsia="黑体" w:cs="Times New Roman"/>
          <w:sz w:val="21"/>
        </w:rPr>
        <w:t xml:space="preserve">  </w:t>
      </w:r>
      <w:r>
        <w:rPr>
          <w:rFonts w:ascii="Times New Roman" w:hAnsi="Times New Roman" w:cs="Times New Roman"/>
          <w:sz w:val="21"/>
        </w:rPr>
        <w:t>应因地制宜、主次分明、以点带面（线）、点面（线）结合，确定景观绿化的重点区域和景观节点。</w:t>
      </w:r>
      <w:r>
        <w:rPr>
          <w:rFonts w:ascii="Times New Roman" w:hAnsi="Times New Roman" w:eastAsia="黑体" w:cs="Times New Roman"/>
          <w:sz w:val="21"/>
        </w:rPr>
        <w:t xml:space="preserve"> </w:t>
      </w:r>
    </w:p>
    <w:p w14:paraId="1FD3B0D8">
      <w:pPr>
        <w:autoSpaceDE w:val="0"/>
        <w:autoSpaceDN w:val="0"/>
        <w:adjustRightInd w:val="0"/>
        <w:spacing w:line="360" w:lineRule="auto"/>
        <w:ind w:firstLine="422" w:firstLineChars="200"/>
        <w:jc w:val="left"/>
        <w:rPr>
          <w:rFonts w:ascii="Times New Roman" w:hAnsi="Times New Roman" w:cs="Times New Roman"/>
          <w:snapToGrid w:val="0"/>
          <w:kern w:val="0"/>
          <w:sz w:val="21"/>
        </w:rPr>
      </w:pPr>
      <w:r>
        <w:rPr>
          <w:rFonts w:ascii="Times New Roman" w:hAnsi="Times New Roman" w:eastAsia="黑体" w:cs="Times New Roman"/>
          <w:b/>
          <w:snapToGrid w:val="0"/>
          <w:kern w:val="0"/>
          <w:sz w:val="21"/>
        </w:rPr>
        <w:t xml:space="preserve">3 </w:t>
      </w:r>
      <w:r>
        <w:rPr>
          <w:rFonts w:ascii="Times New Roman" w:hAnsi="Times New Roman" w:eastAsia="黑体" w:cs="Times New Roman"/>
          <w:snapToGrid w:val="0"/>
          <w:kern w:val="0"/>
          <w:sz w:val="21"/>
        </w:rPr>
        <w:t xml:space="preserve"> </w:t>
      </w:r>
      <w:r>
        <w:rPr>
          <w:rFonts w:ascii="Times New Roman" w:hAnsi="Times New Roman" w:cs="Times New Roman"/>
          <w:snapToGrid w:val="0"/>
          <w:kern w:val="0"/>
          <w:sz w:val="21"/>
        </w:rPr>
        <w:t>应结合生产建设项目各功能分区对景观节点进行设计，满足安全、生态、生产、生活、游憩、科研、教育等功能要求。</w:t>
      </w:r>
    </w:p>
    <w:p w14:paraId="65BB5CF6">
      <w:pPr>
        <w:autoSpaceDE w:val="0"/>
        <w:autoSpaceDN w:val="0"/>
        <w:adjustRightInd w:val="0"/>
        <w:spacing w:line="360" w:lineRule="auto"/>
        <w:jc w:val="left"/>
        <w:rPr>
          <w:rFonts w:ascii="Times New Roman" w:hAnsi="Times New Roman" w:cs="Times New Roman"/>
          <w:snapToGrid w:val="0"/>
          <w:kern w:val="0"/>
          <w:sz w:val="21"/>
        </w:rPr>
      </w:pPr>
      <w:r>
        <w:rPr>
          <w:rFonts w:ascii="Times New Roman" w:hAnsi="Times New Roman" w:eastAsia="黑体" w:cs="Times New Roman"/>
          <w:b/>
          <w:snapToGrid w:val="0"/>
          <w:kern w:val="0"/>
          <w:sz w:val="21"/>
        </w:rPr>
        <w:t>5</w:t>
      </w:r>
      <w:r>
        <w:rPr>
          <w:rFonts w:ascii="Times New Roman" w:hAnsi="Times New Roman" w:cs="Times New Roman"/>
          <w:b/>
          <w:snapToGrid w:val="0"/>
          <w:kern w:val="0"/>
          <w:sz w:val="21"/>
        </w:rPr>
        <w:t>.</w:t>
      </w:r>
      <w:r>
        <w:rPr>
          <w:rFonts w:ascii="Times New Roman" w:hAnsi="Times New Roman" w:eastAsia="黑体" w:cs="Times New Roman"/>
          <w:b/>
          <w:snapToGrid w:val="0"/>
          <w:kern w:val="0"/>
          <w:sz w:val="21"/>
        </w:rPr>
        <w:t>10</w:t>
      </w:r>
      <w:r>
        <w:rPr>
          <w:rFonts w:ascii="Times New Roman" w:hAnsi="Times New Roman" w:cs="Times New Roman"/>
          <w:b/>
          <w:snapToGrid w:val="0"/>
          <w:kern w:val="0"/>
          <w:sz w:val="21"/>
        </w:rPr>
        <w:t>.</w:t>
      </w:r>
      <w:r>
        <w:rPr>
          <w:rFonts w:ascii="Times New Roman" w:hAnsi="Times New Roman" w:eastAsia="黑体" w:cs="Times New Roman"/>
          <w:b/>
          <w:snapToGrid w:val="0"/>
          <w:kern w:val="0"/>
          <w:sz w:val="21"/>
        </w:rPr>
        <w:t xml:space="preserve">15 </w:t>
      </w:r>
      <w:r>
        <w:rPr>
          <w:rFonts w:ascii="Times New Roman" w:hAnsi="Times New Roman" w:eastAsia="黑体" w:cs="Times New Roman"/>
          <w:snapToGrid w:val="0"/>
          <w:kern w:val="0"/>
          <w:sz w:val="21"/>
        </w:rPr>
        <w:t xml:space="preserve"> </w:t>
      </w:r>
      <w:r>
        <w:rPr>
          <w:rFonts w:ascii="Times New Roman" w:hAnsi="Times New Roman" w:cs="Times New Roman"/>
          <w:snapToGrid w:val="0"/>
          <w:kern w:val="0"/>
          <w:sz w:val="21"/>
        </w:rPr>
        <w:t>应充分利用并结合现有地形地貌进行设计，可利用工程挖填余方适度塑造微地形。</w:t>
      </w:r>
    </w:p>
    <w:p w14:paraId="014A9FC6">
      <w:pPr>
        <w:autoSpaceDE w:val="0"/>
        <w:autoSpaceDN w:val="0"/>
        <w:adjustRightInd w:val="0"/>
        <w:spacing w:line="360" w:lineRule="auto"/>
        <w:jc w:val="left"/>
        <w:rPr>
          <w:rFonts w:ascii="Times New Roman" w:hAnsi="Times New Roman" w:cs="Times New Roman"/>
          <w:snapToGrid w:val="0"/>
          <w:kern w:val="0"/>
          <w:sz w:val="21"/>
        </w:rPr>
      </w:pPr>
      <w:r>
        <w:rPr>
          <w:rFonts w:ascii="Times New Roman" w:hAnsi="Times New Roman" w:eastAsia="黑体" w:cs="Times New Roman"/>
          <w:b/>
          <w:snapToGrid w:val="0"/>
          <w:kern w:val="0"/>
          <w:sz w:val="21"/>
        </w:rPr>
        <w:t>5</w:t>
      </w:r>
      <w:r>
        <w:rPr>
          <w:rFonts w:ascii="Times New Roman" w:hAnsi="Times New Roman" w:cs="Times New Roman"/>
          <w:b/>
          <w:snapToGrid w:val="0"/>
          <w:kern w:val="0"/>
          <w:sz w:val="21"/>
        </w:rPr>
        <w:t>.</w:t>
      </w:r>
      <w:r>
        <w:rPr>
          <w:rFonts w:ascii="Times New Roman" w:hAnsi="Times New Roman" w:eastAsia="黑体" w:cs="Times New Roman"/>
          <w:b/>
          <w:snapToGrid w:val="0"/>
          <w:kern w:val="0"/>
          <w:sz w:val="21"/>
        </w:rPr>
        <w:t>10</w:t>
      </w:r>
      <w:r>
        <w:rPr>
          <w:rFonts w:ascii="Times New Roman" w:hAnsi="Times New Roman" w:cs="Times New Roman"/>
          <w:b/>
          <w:snapToGrid w:val="0"/>
          <w:kern w:val="0"/>
          <w:sz w:val="21"/>
        </w:rPr>
        <w:t>.</w:t>
      </w:r>
      <w:r>
        <w:rPr>
          <w:rFonts w:ascii="Times New Roman" w:hAnsi="Times New Roman" w:eastAsia="黑体" w:cs="Times New Roman"/>
          <w:b/>
          <w:snapToGrid w:val="0"/>
          <w:kern w:val="0"/>
          <w:sz w:val="21"/>
        </w:rPr>
        <w:t>16</w:t>
      </w:r>
      <w:r>
        <w:rPr>
          <w:rFonts w:ascii="Times New Roman" w:hAnsi="Times New Roman" w:cs="Times New Roman"/>
          <w:b/>
          <w:snapToGrid w:val="0"/>
          <w:kern w:val="0"/>
          <w:sz w:val="21"/>
        </w:rPr>
        <w:t xml:space="preserve"> </w:t>
      </w:r>
      <w:r>
        <w:rPr>
          <w:rFonts w:ascii="Times New Roman" w:hAnsi="Times New Roman" w:cs="Times New Roman"/>
          <w:snapToGrid w:val="0"/>
          <w:kern w:val="0"/>
          <w:sz w:val="21"/>
        </w:rPr>
        <w:t xml:space="preserve"> 防治范围涉及水体需设计驳岸的，宜采用生态护岸，设计应符合本标准4.7的有关规定。</w:t>
      </w:r>
    </w:p>
    <w:p w14:paraId="3D5E1024">
      <w:pPr>
        <w:autoSpaceDE w:val="0"/>
        <w:autoSpaceDN w:val="0"/>
        <w:adjustRightInd w:val="0"/>
        <w:spacing w:line="360" w:lineRule="auto"/>
        <w:jc w:val="left"/>
        <w:rPr>
          <w:rFonts w:ascii="Times New Roman" w:hAnsi="Times New Roman" w:eastAsia="黑体" w:cs="Times New Roman"/>
          <w:snapToGrid w:val="0"/>
          <w:kern w:val="0"/>
          <w:sz w:val="21"/>
        </w:rPr>
      </w:pPr>
      <w:r>
        <w:rPr>
          <w:rFonts w:ascii="Times New Roman" w:hAnsi="Times New Roman" w:eastAsia="黑体" w:cs="Times New Roman"/>
          <w:b/>
          <w:snapToGrid w:val="0"/>
          <w:kern w:val="0"/>
          <w:sz w:val="21"/>
        </w:rPr>
        <w:t>5</w:t>
      </w:r>
      <w:r>
        <w:rPr>
          <w:rFonts w:ascii="Times New Roman" w:hAnsi="Times New Roman" w:cs="Times New Roman"/>
          <w:b/>
          <w:snapToGrid w:val="0"/>
          <w:kern w:val="0"/>
          <w:sz w:val="21"/>
        </w:rPr>
        <w:t>.</w:t>
      </w:r>
      <w:r>
        <w:rPr>
          <w:rFonts w:ascii="Times New Roman" w:hAnsi="Times New Roman" w:eastAsia="黑体" w:cs="Times New Roman"/>
          <w:b/>
          <w:snapToGrid w:val="0"/>
          <w:kern w:val="0"/>
          <w:sz w:val="21"/>
        </w:rPr>
        <w:t>10</w:t>
      </w:r>
      <w:r>
        <w:rPr>
          <w:rFonts w:ascii="Times New Roman" w:hAnsi="Times New Roman" w:cs="Times New Roman"/>
          <w:b/>
          <w:snapToGrid w:val="0"/>
          <w:kern w:val="0"/>
          <w:sz w:val="21"/>
        </w:rPr>
        <w:t>.</w:t>
      </w:r>
      <w:r>
        <w:rPr>
          <w:rFonts w:ascii="Times New Roman" w:hAnsi="Times New Roman" w:eastAsia="黑体" w:cs="Times New Roman"/>
          <w:b/>
          <w:snapToGrid w:val="0"/>
          <w:kern w:val="0"/>
          <w:sz w:val="21"/>
        </w:rPr>
        <w:t xml:space="preserve">17 </w:t>
      </w:r>
      <w:r>
        <w:rPr>
          <w:rFonts w:ascii="Times New Roman" w:hAnsi="Times New Roman" w:eastAsia="黑体" w:cs="Times New Roman"/>
          <w:snapToGrid w:val="0"/>
          <w:kern w:val="0"/>
          <w:sz w:val="21"/>
        </w:rPr>
        <w:t xml:space="preserve"> </w:t>
      </w:r>
      <w:r>
        <w:rPr>
          <w:rFonts w:ascii="Times New Roman" w:hAnsi="Times New Roman" w:cs="Times New Roman"/>
          <w:snapToGrid w:val="0"/>
          <w:kern w:val="0"/>
          <w:sz w:val="21"/>
        </w:rPr>
        <w:t>园林式种植绿化应符合下列规定：</w:t>
      </w:r>
    </w:p>
    <w:p w14:paraId="643428CE">
      <w:pPr>
        <w:autoSpaceDE w:val="0"/>
        <w:autoSpaceDN w:val="0"/>
        <w:adjustRightInd w:val="0"/>
        <w:spacing w:line="360" w:lineRule="auto"/>
        <w:ind w:firstLine="422" w:firstLineChars="200"/>
        <w:jc w:val="left"/>
        <w:rPr>
          <w:rFonts w:ascii="Times New Roman" w:hAnsi="Times New Roman" w:eastAsia="黑体" w:cs="Times New Roman"/>
          <w:snapToGrid w:val="0"/>
          <w:kern w:val="0"/>
          <w:sz w:val="21"/>
        </w:rPr>
      </w:pPr>
      <w:r>
        <w:rPr>
          <w:rFonts w:ascii="Times New Roman" w:hAnsi="Times New Roman" w:eastAsia="黑体" w:cs="Times New Roman"/>
          <w:b/>
          <w:snapToGrid w:val="0"/>
          <w:kern w:val="0"/>
          <w:sz w:val="21"/>
        </w:rPr>
        <w:t xml:space="preserve">1 </w:t>
      </w:r>
      <w:r>
        <w:rPr>
          <w:rFonts w:ascii="Times New Roman" w:hAnsi="Times New Roman" w:eastAsia="黑体" w:cs="Times New Roman"/>
          <w:snapToGrid w:val="0"/>
          <w:kern w:val="0"/>
          <w:sz w:val="21"/>
        </w:rPr>
        <w:t xml:space="preserve"> </w:t>
      </w:r>
      <w:r>
        <w:rPr>
          <w:rFonts w:ascii="Times New Roman" w:hAnsi="Times New Roman" w:cs="Times New Roman"/>
          <w:snapToGrid w:val="0"/>
          <w:kern w:val="0"/>
          <w:sz w:val="21"/>
        </w:rPr>
        <w:t>应按植物生态习性和景观布局要求，合理配置各种植物，以发挥其景观功能和观赏特性。</w:t>
      </w:r>
    </w:p>
    <w:p w14:paraId="79F324DF">
      <w:pPr>
        <w:autoSpaceDE w:val="0"/>
        <w:autoSpaceDN w:val="0"/>
        <w:adjustRightInd w:val="0"/>
        <w:spacing w:line="360" w:lineRule="auto"/>
        <w:ind w:firstLine="422" w:firstLineChars="200"/>
        <w:jc w:val="left"/>
        <w:rPr>
          <w:rFonts w:ascii="Times New Roman" w:hAnsi="Times New Roman" w:eastAsia="黑体" w:cs="Times New Roman"/>
          <w:snapToGrid w:val="0"/>
          <w:kern w:val="0"/>
          <w:sz w:val="21"/>
        </w:rPr>
      </w:pPr>
      <w:r>
        <w:rPr>
          <w:rFonts w:ascii="Times New Roman" w:hAnsi="Times New Roman" w:eastAsia="黑体" w:cs="Times New Roman"/>
          <w:b/>
          <w:snapToGrid w:val="0"/>
          <w:kern w:val="0"/>
          <w:sz w:val="21"/>
        </w:rPr>
        <w:t xml:space="preserve">2 </w:t>
      </w:r>
      <w:r>
        <w:rPr>
          <w:rFonts w:ascii="Times New Roman" w:hAnsi="Times New Roman" w:eastAsia="黑体" w:cs="Times New Roman"/>
          <w:snapToGrid w:val="0"/>
          <w:kern w:val="0"/>
          <w:sz w:val="21"/>
        </w:rPr>
        <w:t xml:space="preserve"> </w:t>
      </w:r>
      <w:r>
        <w:rPr>
          <w:rFonts w:ascii="Times New Roman" w:hAnsi="Times New Roman" w:cs="Times New Roman"/>
          <w:snapToGrid w:val="0"/>
          <w:kern w:val="0"/>
          <w:sz w:val="21"/>
        </w:rPr>
        <w:t>植物配置除了应考虑植物种类选择、树丛组合、平面和立面构图、色彩、季相以及园林意境外，还应考虑植物与其它景观要素如建筑、道路、山石、水体等相互之间的关联。</w:t>
      </w:r>
    </w:p>
    <w:p w14:paraId="52CE8551">
      <w:pPr>
        <w:autoSpaceDE w:val="0"/>
        <w:autoSpaceDN w:val="0"/>
        <w:adjustRightInd w:val="0"/>
        <w:spacing w:line="360" w:lineRule="auto"/>
        <w:ind w:firstLine="422" w:firstLineChars="200"/>
        <w:jc w:val="left"/>
        <w:rPr>
          <w:rFonts w:ascii="Times New Roman" w:hAnsi="Times New Roman" w:eastAsia="黑体" w:cs="Times New Roman"/>
          <w:snapToGrid w:val="0"/>
          <w:kern w:val="0"/>
          <w:sz w:val="21"/>
        </w:rPr>
      </w:pPr>
      <w:r>
        <w:rPr>
          <w:rFonts w:ascii="Times New Roman" w:hAnsi="Times New Roman" w:eastAsia="黑体" w:cs="Times New Roman"/>
          <w:b/>
          <w:snapToGrid w:val="0"/>
          <w:kern w:val="0"/>
          <w:sz w:val="21"/>
        </w:rPr>
        <w:t xml:space="preserve">3 </w:t>
      </w:r>
      <w:r>
        <w:rPr>
          <w:rFonts w:ascii="Times New Roman" w:hAnsi="Times New Roman" w:eastAsia="黑体" w:cs="Times New Roman"/>
          <w:snapToGrid w:val="0"/>
          <w:kern w:val="0"/>
          <w:sz w:val="21"/>
        </w:rPr>
        <w:t xml:space="preserve"> </w:t>
      </w:r>
      <w:r>
        <w:rPr>
          <w:rFonts w:ascii="Times New Roman" w:hAnsi="Times New Roman" w:cs="Times New Roman"/>
          <w:snapToGrid w:val="0"/>
          <w:kern w:val="0"/>
          <w:sz w:val="21"/>
        </w:rPr>
        <w:t>乔灌木设计应根据植物形态和环境需要合理采用孤植、对植、列植、丛植、片植等形式。</w:t>
      </w:r>
    </w:p>
    <w:p w14:paraId="08553E7A">
      <w:pPr>
        <w:autoSpaceDE w:val="0"/>
        <w:autoSpaceDN w:val="0"/>
        <w:adjustRightInd w:val="0"/>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4</w:t>
      </w:r>
      <w:r>
        <w:rPr>
          <w:rFonts w:ascii="Times New Roman" w:hAnsi="Times New Roman" w:eastAsia="黑体" w:cs="Times New Roman"/>
          <w:sz w:val="21"/>
        </w:rPr>
        <w:t xml:space="preserve">  </w:t>
      </w:r>
      <w:r>
        <w:rPr>
          <w:rFonts w:ascii="Times New Roman" w:hAnsi="Times New Roman" w:cs="Times New Roman"/>
          <w:sz w:val="21"/>
        </w:rPr>
        <w:t>地被设计应与整体环境协调，应按光照强度、地形、土壤等条件选择植物，宜采用片植、花带及装饰等形式。</w:t>
      </w:r>
    </w:p>
    <w:p w14:paraId="40FD0C46">
      <w:pPr>
        <w:autoSpaceDE w:val="0"/>
        <w:autoSpaceDN w:val="0"/>
        <w:adjustRightInd w:val="0"/>
        <w:spacing w:line="360" w:lineRule="auto"/>
        <w:ind w:firstLine="422" w:firstLineChars="200"/>
        <w:jc w:val="left"/>
        <w:rPr>
          <w:rFonts w:ascii="Times New Roman" w:hAnsi="Times New Roman" w:eastAsia="黑体" w:cs="Times New Roman"/>
          <w:sz w:val="21"/>
        </w:rPr>
      </w:pPr>
      <w:r>
        <w:rPr>
          <w:rFonts w:ascii="Times New Roman" w:hAnsi="Times New Roman" w:eastAsia="黑体" w:cs="Times New Roman"/>
          <w:b/>
          <w:sz w:val="21"/>
        </w:rPr>
        <w:t xml:space="preserve">5 </w:t>
      </w:r>
      <w:r>
        <w:rPr>
          <w:rFonts w:ascii="Times New Roman" w:hAnsi="Times New Roman" w:eastAsia="黑体" w:cs="Times New Roman"/>
          <w:sz w:val="21"/>
        </w:rPr>
        <w:t xml:space="preserve"> </w:t>
      </w:r>
      <w:r>
        <w:rPr>
          <w:rFonts w:ascii="Times New Roman" w:hAnsi="Times New Roman" w:cs="Times New Roman"/>
          <w:sz w:val="21"/>
        </w:rPr>
        <w:t>花坛设计应与整体环境协调，主题突出。</w:t>
      </w:r>
    </w:p>
    <w:p w14:paraId="4F865075">
      <w:pPr>
        <w:autoSpaceDE w:val="0"/>
        <w:autoSpaceDN w:val="0"/>
        <w:adjustRightInd w:val="0"/>
        <w:spacing w:line="360" w:lineRule="auto"/>
        <w:ind w:firstLine="422" w:firstLineChars="200"/>
        <w:jc w:val="left"/>
        <w:rPr>
          <w:rFonts w:ascii="Times New Roman" w:hAnsi="Times New Roman" w:eastAsia="黑体" w:cs="Times New Roman"/>
          <w:sz w:val="21"/>
        </w:rPr>
      </w:pPr>
      <w:r>
        <w:rPr>
          <w:rFonts w:ascii="Times New Roman" w:hAnsi="Times New Roman" w:eastAsia="黑体" w:cs="Times New Roman"/>
          <w:b/>
          <w:sz w:val="21"/>
        </w:rPr>
        <w:t>6</w:t>
      </w:r>
      <w:r>
        <w:rPr>
          <w:rFonts w:ascii="Times New Roman" w:hAnsi="Times New Roman" w:eastAsia="黑体" w:cs="Times New Roman"/>
          <w:sz w:val="21"/>
        </w:rPr>
        <w:t xml:space="preserve">  </w:t>
      </w:r>
      <w:r>
        <w:rPr>
          <w:rFonts w:ascii="Times New Roman" w:hAnsi="Times New Roman" w:cs="Times New Roman"/>
          <w:sz w:val="21"/>
        </w:rPr>
        <w:t>草坪设计应根据其观赏效果、气候因素、生长条件及是否准许游人进入踩踏等要求，选择适宜的草种和种植类型。</w:t>
      </w:r>
    </w:p>
    <w:p w14:paraId="3C8087CC">
      <w:pPr>
        <w:autoSpaceDE w:val="0"/>
        <w:autoSpaceDN w:val="0"/>
        <w:adjustRightInd w:val="0"/>
        <w:spacing w:line="360" w:lineRule="auto"/>
        <w:ind w:firstLine="422" w:firstLineChars="200"/>
        <w:jc w:val="left"/>
        <w:rPr>
          <w:rFonts w:ascii="Times New Roman" w:hAnsi="Times New Roman" w:cs="Times New Roman"/>
          <w:sz w:val="21"/>
        </w:rPr>
      </w:pPr>
      <w:r>
        <w:rPr>
          <w:rFonts w:ascii="Times New Roman" w:hAnsi="Times New Roman" w:eastAsia="黑体" w:cs="Times New Roman"/>
          <w:b/>
          <w:sz w:val="21"/>
        </w:rPr>
        <w:t>7</w:t>
      </w:r>
      <w:r>
        <w:rPr>
          <w:rFonts w:ascii="Times New Roman" w:hAnsi="Times New Roman" w:eastAsia="黑体" w:cs="Times New Roman"/>
          <w:sz w:val="21"/>
        </w:rPr>
        <w:t xml:space="preserve">  </w:t>
      </w:r>
      <w:r>
        <w:rPr>
          <w:rFonts w:ascii="Times New Roman" w:hAnsi="Times New Roman" w:cs="Times New Roman"/>
          <w:sz w:val="21"/>
        </w:rPr>
        <w:t>行道树设计应选择树干通直、分支点高的树木。</w:t>
      </w:r>
    </w:p>
    <w:p w14:paraId="5C2D1639">
      <w:pPr>
        <w:keepNext/>
        <w:keepLines/>
        <w:spacing w:before="260" w:after="260" w:line="416" w:lineRule="auto"/>
        <w:jc w:val="center"/>
        <w:outlineLvl w:val="2"/>
        <w:rPr>
          <w:rFonts w:ascii="Times New Roman" w:hAnsi="Times New Roman" w:cs="Times New Roman"/>
          <w:bCs/>
          <w:sz w:val="24"/>
          <w:szCs w:val="24"/>
        </w:rPr>
      </w:pPr>
      <w:r>
        <w:rPr>
          <w:rFonts w:ascii="Times New Roman" w:hAnsi="Times New Roman" w:cs="Times New Roman"/>
          <w:bCs/>
          <w:sz w:val="24"/>
          <w:szCs w:val="24"/>
        </w:rPr>
        <w:t xml:space="preserve">Ⅵ </w:t>
      </w:r>
      <w:r>
        <w:rPr>
          <w:rFonts w:ascii="Times New Roman" w:hAnsi="Times New Roman" w:eastAsia="黑体" w:cs="Times New Roman"/>
          <w:bCs/>
          <w:sz w:val="24"/>
          <w:szCs w:val="24"/>
        </w:rPr>
        <w:t>植被恢复工程设计</w:t>
      </w:r>
    </w:p>
    <w:p w14:paraId="6962084B">
      <w:pPr>
        <w:pBdr>
          <w:top w:val="none" w:color="000000" w:sz="0" w:space="0"/>
          <w:left w:val="none" w:color="000000" w:sz="0" w:space="0"/>
          <w:bottom w:val="none" w:color="000000" w:sz="0" w:space="0"/>
          <w:right w:val="none" w:color="000000" w:sz="0" w:space="0"/>
        </w:pBdr>
        <w:autoSpaceDE w:val="0"/>
        <w:autoSpaceDN w:val="0"/>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 xml:space="preserve">18 </w:t>
      </w:r>
      <w:r>
        <w:rPr>
          <w:rFonts w:ascii="Times New Roman" w:hAnsi="Times New Roman" w:eastAsia="黑体" w:cs="Times New Roman"/>
          <w:sz w:val="21"/>
        </w:rPr>
        <w:t xml:space="preserve"> </w:t>
      </w:r>
      <w:r>
        <w:rPr>
          <w:rFonts w:ascii="Times New Roman" w:hAnsi="Times New Roman" w:cs="Times New Roman"/>
          <w:sz w:val="21"/>
        </w:rPr>
        <w:t>植被恢复工程设计宜乔灌草相结合，并应充分利用现有立地条件或适当改良立地条件后恢复植被。</w:t>
      </w:r>
    </w:p>
    <w:p w14:paraId="09780473">
      <w:pPr>
        <w:pBdr>
          <w:top w:val="none" w:color="000000" w:sz="0" w:space="0"/>
          <w:left w:val="none" w:color="000000" w:sz="0" w:space="0"/>
          <w:bottom w:val="none" w:color="000000" w:sz="0" w:space="0"/>
          <w:right w:val="none" w:color="000000" w:sz="0" w:space="0"/>
        </w:pBdr>
        <w:autoSpaceDE w:val="0"/>
        <w:autoSpaceDN w:val="0"/>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19</w:t>
      </w:r>
      <w:r>
        <w:rPr>
          <w:rFonts w:ascii="Times New Roman" w:hAnsi="Times New Roman" w:cs="Times New Roman"/>
          <w:b/>
          <w:sz w:val="21"/>
        </w:rPr>
        <w:t xml:space="preserve"> </w:t>
      </w:r>
      <w:r>
        <w:rPr>
          <w:rFonts w:ascii="Times New Roman" w:hAnsi="Times New Roman" w:cs="Times New Roman"/>
          <w:sz w:val="21"/>
        </w:rPr>
        <w:t xml:space="preserve"> 应根据地块的土地恢复利用方向，优先考虑其主导生态功能，确定相应植物措施类型。</w:t>
      </w:r>
    </w:p>
    <w:p w14:paraId="50DBFCDA">
      <w:pPr>
        <w:pBdr>
          <w:top w:val="none" w:color="000000" w:sz="0" w:space="0"/>
          <w:left w:val="none" w:color="000000" w:sz="0" w:space="0"/>
          <w:bottom w:val="none" w:color="000000" w:sz="0" w:space="0"/>
          <w:right w:val="none" w:color="000000" w:sz="0" w:space="0"/>
        </w:pBdr>
        <w:autoSpaceDE w:val="0"/>
        <w:autoSpaceDN w:val="0"/>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20</w:t>
      </w:r>
      <w:r>
        <w:rPr>
          <w:rFonts w:ascii="Times New Roman" w:hAnsi="Times New Roman" w:cs="Times New Roman"/>
          <w:sz w:val="21"/>
        </w:rPr>
        <w:t xml:space="preserve">  应结合整地方式确定植物种植方法。采取全面整地的，可直接种植林草。采用穴状整地的，宜种植带土球苗或容器苗。</w:t>
      </w:r>
    </w:p>
    <w:p w14:paraId="4A852410">
      <w:pPr>
        <w:pBdr>
          <w:top w:val="none" w:color="000000" w:sz="0" w:space="0"/>
          <w:left w:val="none" w:color="000000" w:sz="0" w:space="0"/>
          <w:bottom w:val="none" w:color="000000" w:sz="0" w:space="0"/>
          <w:right w:val="none" w:color="000000" w:sz="0" w:space="0"/>
        </w:pBdr>
        <w:autoSpaceDE w:val="0"/>
        <w:autoSpaceDN w:val="0"/>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21</w:t>
      </w:r>
      <w:r>
        <w:rPr>
          <w:rFonts w:ascii="Times New Roman" w:hAnsi="Times New Roman" w:cs="Times New Roman"/>
          <w:b/>
          <w:sz w:val="21"/>
        </w:rPr>
        <w:t xml:space="preserve"> </w:t>
      </w:r>
      <w:r>
        <w:rPr>
          <w:rFonts w:ascii="Times New Roman" w:hAnsi="Times New Roman" w:cs="Times New Roman"/>
          <w:sz w:val="21"/>
        </w:rPr>
        <w:t xml:space="preserve"> 成片种植宜采取行状、带状、块状和植生组等混交方式。 </w:t>
      </w:r>
    </w:p>
    <w:p w14:paraId="213D0348">
      <w:pPr>
        <w:pBdr>
          <w:top w:val="none" w:color="000000" w:sz="0" w:space="0"/>
          <w:left w:val="none" w:color="000000" w:sz="0" w:space="0"/>
          <w:bottom w:val="none" w:color="000000" w:sz="0" w:space="0"/>
          <w:right w:val="none" w:color="000000" w:sz="0" w:space="0"/>
        </w:pBdr>
        <w:autoSpaceDE w:val="0"/>
        <w:autoSpaceDN w:val="0"/>
        <w:adjustRightInd w:val="0"/>
        <w:spacing w:line="360" w:lineRule="auto"/>
        <w:rPr>
          <w:rFonts w:ascii="Times New Roman" w:hAnsi="Times New Roman" w:eastAsia="黑体" w:cs="Times New Roman"/>
          <w:b/>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22</w:t>
      </w:r>
      <w:r>
        <w:rPr>
          <w:rFonts w:ascii="Times New Roman" w:hAnsi="Times New Roman" w:cs="Times New Roman"/>
          <w:b/>
          <w:sz w:val="21"/>
        </w:rPr>
        <w:t xml:space="preserve"> </w:t>
      </w:r>
      <w:r>
        <w:rPr>
          <w:rFonts w:ascii="Times New Roman" w:hAnsi="Times New Roman" w:cs="Times New Roman"/>
          <w:sz w:val="21"/>
        </w:rPr>
        <w:t xml:space="preserve"> 有积水或盐渍化问题的地块，选择耐水湿或耐盐碱树草种。</w:t>
      </w:r>
    </w:p>
    <w:p w14:paraId="7A16CD75">
      <w:pPr>
        <w:pBdr>
          <w:top w:val="none" w:color="000000" w:sz="0" w:space="0"/>
          <w:left w:val="none" w:color="000000" w:sz="0" w:space="0"/>
          <w:bottom w:val="none" w:color="000000" w:sz="0" w:space="0"/>
          <w:right w:val="none" w:color="000000" w:sz="0" w:space="0"/>
        </w:pBdr>
        <w:autoSpaceDE w:val="0"/>
        <w:autoSpaceDN w:val="0"/>
        <w:adjustRightInd w:val="0"/>
        <w:spacing w:line="360" w:lineRule="auto"/>
        <w:rPr>
          <w:rFonts w:ascii="Times New Roman" w:hAnsi="Times New Roman" w:cs="Times New Roman"/>
          <w:sz w:val="21"/>
        </w:rPr>
      </w:pPr>
      <w:r>
        <w:rPr>
          <w:rFonts w:ascii="Times New Roman" w:hAnsi="Times New Roman" w:eastAsia="黑体" w:cs="Times New Roman"/>
          <w:b/>
          <w:sz w:val="21"/>
        </w:rPr>
        <w:t>5</w:t>
      </w:r>
      <w:r>
        <w:rPr>
          <w:rFonts w:ascii="Times New Roman" w:hAnsi="Times New Roman" w:cs="Times New Roman"/>
          <w:b/>
          <w:sz w:val="21"/>
        </w:rPr>
        <w:t>.</w:t>
      </w:r>
      <w:r>
        <w:rPr>
          <w:rFonts w:ascii="Times New Roman" w:hAnsi="Times New Roman" w:eastAsia="黑体" w:cs="Times New Roman"/>
          <w:b/>
          <w:sz w:val="21"/>
        </w:rPr>
        <w:t>10</w:t>
      </w:r>
      <w:r>
        <w:rPr>
          <w:rFonts w:ascii="Times New Roman" w:hAnsi="Times New Roman" w:cs="Times New Roman"/>
          <w:b/>
          <w:sz w:val="21"/>
        </w:rPr>
        <w:t>.</w:t>
      </w:r>
      <w:r>
        <w:rPr>
          <w:rFonts w:ascii="Times New Roman" w:hAnsi="Times New Roman" w:eastAsia="黑体" w:cs="Times New Roman"/>
          <w:b/>
          <w:sz w:val="21"/>
        </w:rPr>
        <w:t>23</w:t>
      </w:r>
      <w:r>
        <w:rPr>
          <w:rFonts w:ascii="Times New Roman" w:hAnsi="Times New Roman" w:cs="Times New Roman"/>
          <w:sz w:val="21"/>
        </w:rPr>
        <w:t xml:space="preserve">  恢复为草地的，疏松土质地块可采用撒播、喷播或铺草皮；密实土质地块可采取穴播（植）、沟播（植）或植生块（袋）种植；风蚀或水蚀严重地块应结合地表覆盖等措施进行播种。 </w:t>
      </w:r>
    </w:p>
    <w:p w14:paraId="437E1167">
      <w:pPr>
        <w:pBdr>
          <w:top w:val="none" w:color="000000" w:sz="0" w:space="0"/>
          <w:left w:val="none" w:color="000000" w:sz="0" w:space="0"/>
          <w:bottom w:val="none" w:color="000000" w:sz="0" w:space="0"/>
          <w:right w:val="none" w:color="000000" w:sz="0" w:space="0"/>
        </w:pBdr>
        <w:autoSpaceDE w:val="0"/>
        <w:autoSpaceDN w:val="0"/>
        <w:adjustRightInd w:val="0"/>
        <w:spacing w:line="360" w:lineRule="auto"/>
        <w:rPr>
          <w:rFonts w:ascii="Times New Roman" w:hAnsi="Times New Roman" w:cs="Times New Roman"/>
          <w:sz w:val="21"/>
        </w:rPr>
      </w:pPr>
      <w:r>
        <w:rPr>
          <w:rFonts w:ascii="Times New Roman" w:hAnsi="Times New Roman" w:cs="Times New Roman"/>
          <w:b/>
          <w:sz w:val="21"/>
        </w:rPr>
        <w:t>5.10.24</w:t>
      </w:r>
      <w:r>
        <w:rPr>
          <w:rFonts w:ascii="Times New Roman" w:hAnsi="Times New Roman" w:cs="Times New Roman"/>
          <w:sz w:val="21"/>
        </w:rPr>
        <w:t xml:space="preserve">  种植密度及整地规格可参照现行国家标准《生态公益林建设技术规程》GB/T 18337.3的规定执行。</w:t>
      </w:r>
    </w:p>
    <w:p w14:paraId="4195A08C">
      <w:pPr>
        <w:pBdr>
          <w:top w:val="none" w:color="000000" w:sz="0" w:space="0"/>
          <w:left w:val="none" w:color="000000" w:sz="0" w:space="0"/>
          <w:bottom w:val="none" w:color="000000" w:sz="0" w:space="0"/>
          <w:right w:val="none" w:color="000000" w:sz="0" w:space="0"/>
        </w:pBdr>
        <w:autoSpaceDE w:val="0"/>
        <w:autoSpaceDN w:val="0"/>
        <w:adjustRightInd w:val="0"/>
        <w:spacing w:line="360" w:lineRule="auto"/>
        <w:rPr>
          <w:rFonts w:ascii="Times New Roman" w:hAnsi="Times New Roman" w:cs="Times New Roman"/>
          <w:sz w:val="21"/>
        </w:rPr>
      </w:pPr>
      <w:r>
        <w:rPr>
          <w:rFonts w:ascii="Times New Roman" w:hAnsi="Times New Roman" w:cs="Times New Roman"/>
          <w:b/>
          <w:sz w:val="21"/>
        </w:rPr>
        <w:t xml:space="preserve">5.10.25 </w:t>
      </w:r>
      <w:r>
        <w:rPr>
          <w:rFonts w:ascii="Times New Roman" w:hAnsi="Times New Roman" w:cs="Times New Roman"/>
          <w:sz w:val="21"/>
        </w:rPr>
        <w:t xml:space="preserve"> 涉及生态功能重要区域或立地条件特殊、植被恢复困难的生产建设项目，植被恢复工程设计宜结合必要的生态修复试验研究开展。</w:t>
      </w:r>
    </w:p>
    <w:p w14:paraId="31F514B2">
      <w:pPr>
        <w:keepNext/>
        <w:keepLines/>
        <w:spacing w:before="260" w:after="260" w:line="416" w:lineRule="auto"/>
        <w:jc w:val="center"/>
        <w:outlineLvl w:val="1"/>
        <w:rPr>
          <w:rFonts w:ascii="Times New Roman" w:hAnsi="Times New Roman" w:eastAsia="黑体" w:cs="Times New Roman"/>
          <w:bCs/>
          <w:sz w:val="30"/>
          <w:szCs w:val="32"/>
        </w:rPr>
      </w:pPr>
      <w:bookmarkStart w:id="554" w:name="_Toc25604"/>
      <w:r>
        <w:rPr>
          <w:rFonts w:ascii="Times New Roman" w:hAnsi="Times New Roman" w:eastAsia="黑体" w:cs="Times New Roman"/>
          <w:bCs/>
          <w:sz w:val="30"/>
          <w:szCs w:val="32"/>
        </w:rPr>
        <w:t>5.11 临时防护工程</w:t>
      </w:r>
      <w:bookmarkEnd w:id="554"/>
    </w:p>
    <w:p w14:paraId="71743623">
      <w:pPr>
        <w:keepNext/>
        <w:keepLines/>
        <w:spacing w:before="260" w:after="260" w:line="416" w:lineRule="auto"/>
        <w:jc w:val="center"/>
        <w:outlineLvl w:val="2"/>
        <w:rPr>
          <w:rFonts w:ascii="黑体" w:hAnsi="黑体" w:eastAsia="黑体" w:cs="黑体"/>
          <w:bCs/>
          <w:sz w:val="24"/>
          <w:szCs w:val="24"/>
        </w:rPr>
      </w:pPr>
      <w:r>
        <w:rPr>
          <w:rFonts w:ascii="Times New Roman" w:hAnsi="Times New Roman" w:cs="Times New Roman"/>
          <w:bCs/>
          <w:sz w:val="24"/>
          <w:szCs w:val="24"/>
        </w:rPr>
        <w:t xml:space="preserve">Ⅰ </w:t>
      </w:r>
      <w:r>
        <w:rPr>
          <w:rFonts w:hint="eastAsia" w:ascii="黑体" w:hAnsi="黑体" w:eastAsia="黑体" w:cs="黑体"/>
          <w:bCs/>
          <w:sz w:val="24"/>
          <w:szCs w:val="24"/>
        </w:rPr>
        <w:t>一般规定</w:t>
      </w:r>
    </w:p>
    <w:p w14:paraId="44C980FC">
      <w:pPr>
        <w:spacing w:line="360" w:lineRule="auto"/>
        <w:rPr>
          <w:rFonts w:ascii="Times New Roman" w:hAnsi="Times New Roman" w:cs="Times New Roman"/>
          <w:sz w:val="21"/>
        </w:rPr>
      </w:pPr>
      <w:r>
        <w:rPr>
          <w:rFonts w:ascii="Times New Roman" w:hAnsi="Times New Roman" w:cs="Times New Roman"/>
          <w:b/>
          <w:sz w:val="21"/>
        </w:rPr>
        <w:t xml:space="preserve">5.11.1 </w:t>
      </w:r>
      <w:r>
        <w:rPr>
          <w:rFonts w:ascii="Times New Roman" w:hAnsi="Times New Roman" w:cs="Times New Roman"/>
          <w:sz w:val="21"/>
        </w:rPr>
        <w:t>临时防护工程类型应根据地表裸露时间、防护对象、降雨条件等确定，宜简便易行、永临结合。</w:t>
      </w:r>
    </w:p>
    <w:p w14:paraId="34CED00D">
      <w:pPr>
        <w:spacing w:line="360" w:lineRule="auto"/>
        <w:rPr>
          <w:rFonts w:ascii="Times New Roman" w:hAnsi="Times New Roman" w:cs="Times New Roman"/>
          <w:sz w:val="21"/>
        </w:rPr>
      </w:pPr>
      <w:r>
        <w:rPr>
          <w:rFonts w:ascii="Times New Roman" w:hAnsi="Times New Roman" w:cs="Times New Roman"/>
          <w:b/>
          <w:sz w:val="21"/>
        </w:rPr>
        <w:t xml:space="preserve">5.11.2 </w:t>
      </w:r>
      <w:r>
        <w:rPr>
          <w:rFonts w:ascii="Times New Roman" w:hAnsi="Times New Roman" w:cs="Times New Roman"/>
          <w:sz w:val="21"/>
        </w:rPr>
        <w:t>临时防护工程主要包括临时拦挡、苫盖</w:t>
      </w:r>
      <w:r>
        <w:rPr>
          <w:rFonts w:hint="eastAsia" w:ascii="Times New Roman" w:hAnsi="Times New Roman" w:cs="Times New Roman"/>
          <w:sz w:val="21"/>
        </w:rPr>
        <w:t>、</w:t>
      </w:r>
      <w:r>
        <w:rPr>
          <w:rFonts w:ascii="Times New Roman" w:hAnsi="Times New Roman" w:cs="Times New Roman"/>
          <w:sz w:val="21"/>
        </w:rPr>
        <w:t>排水、沉沙和</w:t>
      </w:r>
      <w:r>
        <w:rPr>
          <w:rFonts w:hint="eastAsia" w:ascii="Times New Roman" w:hAnsi="Times New Roman" w:cs="Times New Roman"/>
          <w:sz w:val="21"/>
        </w:rPr>
        <w:t>植物防护</w:t>
      </w:r>
      <w:r>
        <w:rPr>
          <w:rFonts w:ascii="Times New Roman" w:hAnsi="Times New Roman" w:cs="Times New Roman"/>
          <w:sz w:val="21"/>
        </w:rPr>
        <w:t>等。</w:t>
      </w:r>
    </w:p>
    <w:p w14:paraId="4077DF0D">
      <w:pPr>
        <w:keepNext/>
        <w:keepLines/>
        <w:spacing w:before="260" w:after="260" w:line="416" w:lineRule="auto"/>
        <w:jc w:val="center"/>
        <w:outlineLvl w:val="2"/>
        <w:rPr>
          <w:rFonts w:ascii="黑体" w:hAnsi="黑体" w:eastAsia="黑体" w:cs="黑体"/>
          <w:bCs/>
          <w:sz w:val="24"/>
          <w:szCs w:val="24"/>
        </w:rPr>
      </w:pPr>
      <w:r>
        <w:rPr>
          <w:rFonts w:ascii="Times New Roman" w:hAnsi="Times New Roman" w:cs="Times New Roman"/>
          <w:bCs/>
          <w:sz w:val="24"/>
          <w:szCs w:val="24"/>
        </w:rPr>
        <w:t xml:space="preserve">Ⅱ </w:t>
      </w:r>
      <w:r>
        <w:rPr>
          <w:rFonts w:hint="eastAsia" w:ascii="黑体" w:hAnsi="黑体" w:eastAsia="黑体" w:cs="黑体"/>
          <w:bCs/>
          <w:sz w:val="24"/>
          <w:szCs w:val="24"/>
        </w:rPr>
        <w:t>设计要求</w:t>
      </w:r>
    </w:p>
    <w:p w14:paraId="6B5949F4">
      <w:pPr>
        <w:spacing w:line="360" w:lineRule="auto"/>
        <w:rPr>
          <w:rFonts w:ascii="Times New Roman" w:hAnsi="Times New Roman" w:cs="Times New Roman"/>
          <w:sz w:val="21"/>
        </w:rPr>
      </w:pPr>
      <w:r>
        <w:rPr>
          <w:rFonts w:ascii="Times New Roman" w:hAnsi="Times New Roman" w:cs="Times New Roman"/>
          <w:b/>
          <w:sz w:val="21"/>
        </w:rPr>
        <w:t>5.11.3</w:t>
      </w:r>
      <w:r>
        <w:rPr>
          <w:rFonts w:ascii="Times New Roman" w:hAnsi="Times New Roman" w:cs="Times New Roman"/>
          <w:sz w:val="21"/>
        </w:rPr>
        <w:t xml:space="preserve">  临时拦挡措施设计应符合下列要求:</w:t>
      </w:r>
    </w:p>
    <w:p w14:paraId="5F54463A">
      <w:pPr>
        <w:spacing w:line="360" w:lineRule="auto"/>
        <w:ind w:firstLine="422" w:firstLineChars="200"/>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临时开挖或填筑边坡、表土堆存场、临时堆渣场、料场或中转料场等可能对周围造成水土流失的，应采取临时拦挡措施。</w:t>
      </w:r>
    </w:p>
    <w:p w14:paraId="412F3E89">
      <w:pPr>
        <w:spacing w:line="360" w:lineRule="auto"/>
        <w:ind w:firstLine="422" w:firstLineChars="200"/>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有防洪要求的宜参照临时堆渣场拦挡工程防洪标准。</w:t>
      </w:r>
    </w:p>
    <w:p w14:paraId="66387D33">
      <w:pPr>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3 </w:t>
      </w:r>
      <w:r>
        <w:rPr>
          <w:rFonts w:ascii="Times New Roman" w:hAnsi="Times New Roman" w:cs="Times New Roman"/>
          <w:sz w:val="21"/>
        </w:rPr>
        <w:t xml:space="preserve"> 材质可采用袋装土、土埂、石笼、砌石、砌砖、木栅栏、木板等。</w:t>
      </w:r>
    </w:p>
    <w:p w14:paraId="6405CC3B">
      <w:pPr>
        <w:spacing w:line="360" w:lineRule="auto"/>
        <w:rPr>
          <w:rFonts w:ascii="Times New Roman" w:hAnsi="Times New Roman" w:cs="Times New Roman"/>
          <w:sz w:val="21"/>
        </w:rPr>
      </w:pPr>
      <w:r>
        <w:rPr>
          <w:rFonts w:ascii="Times New Roman" w:hAnsi="Times New Roman" w:cs="Times New Roman"/>
          <w:b/>
          <w:sz w:val="21"/>
        </w:rPr>
        <w:t>5.11.4</w:t>
      </w:r>
      <w:r>
        <w:rPr>
          <w:rFonts w:ascii="Times New Roman" w:hAnsi="Times New Roman" w:cs="Times New Roman"/>
          <w:sz w:val="21"/>
        </w:rPr>
        <w:t xml:space="preserve">  临时苫盖措施设计应符合下列要求:</w:t>
      </w:r>
    </w:p>
    <w:p w14:paraId="229397DC">
      <w:pPr>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1 </w:t>
      </w:r>
      <w:r>
        <w:rPr>
          <w:rFonts w:ascii="Times New Roman" w:hAnsi="Times New Roman" w:cs="Times New Roman"/>
          <w:sz w:val="21"/>
        </w:rPr>
        <w:t xml:space="preserve"> 工程建设形成的开挖或填筑边坡、临时堆土等裸露区域，可采用土工布、彩条布、密目网和防尘网等苫盖防护</w:t>
      </w:r>
      <w:r>
        <w:fldChar w:fldCharType="begin"/>
      </w:r>
      <w:r>
        <w:instrText xml:space="preserve"> HYPERLINK "http://max.book118.com/html/2025/0326/8053111142007045.shtm" \t "https://www.kimi.com/chat/_blank" </w:instrText>
      </w:r>
      <w:r>
        <w:fldChar w:fldCharType="separate"/>
      </w:r>
      <w:r>
        <w:fldChar w:fldCharType="end"/>
      </w:r>
      <w:r>
        <w:rPr>
          <w:rFonts w:ascii="Times New Roman" w:hAnsi="Times New Roman" w:cs="Times New Roman"/>
          <w:sz w:val="21"/>
        </w:rPr>
        <w:t>。</w:t>
      </w:r>
    </w:p>
    <w:p w14:paraId="396D1065">
      <w:pPr>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2 </w:t>
      </w:r>
      <w:r>
        <w:rPr>
          <w:rFonts w:ascii="Times New Roman" w:hAnsi="Times New Roman" w:cs="Times New Roman"/>
          <w:sz w:val="21"/>
        </w:rPr>
        <w:t xml:space="preserve"> 易受风沙危害的裸露地表宜采用砾石覆盖。</w:t>
      </w:r>
    </w:p>
    <w:p w14:paraId="249748B3">
      <w:pPr>
        <w:spacing w:line="360" w:lineRule="auto"/>
        <w:ind w:firstLine="422" w:firstLineChars="200"/>
        <w:rPr>
          <w:rFonts w:ascii="Times New Roman" w:hAnsi="Times New Roman" w:cs="Times New Roman"/>
          <w:sz w:val="21"/>
        </w:rPr>
      </w:pPr>
      <w:r>
        <w:rPr>
          <w:rFonts w:ascii="Times New Roman" w:hAnsi="Times New Roman" w:cs="Times New Roman"/>
          <w:b/>
          <w:sz w:val="21"/>
        </w:rPr>
        <w:t>3</w:t>
      </w:r>
      <w:r>
        <w:rPr>
          <w:rFonts w:ascii="Times New Roman" w:hAnsi="Times New Roman" w:cs="Times New Roman"/>
          <w:sz w:val="21"/>
        </w:rPr>
        <w:t xml:space="preserve">  </w:t>
      </w:r>
      <w:r>
        <w:rPr>
          <w:rFonts w:hint="eastAsia" w:ascii="Times New Roman" w:hAnsi="Times New Roman" w:cs="Times New Roman"/>
          <w:sz w:val="21"/>
        </w:rPr>
        <w:t>宜采用就地保护措施保护原地表的表土、草甸等时，采取就地铺设草垫、钢板等材料，减少施工对地表的扰动。</w:t>
      </w:r>
    </w:p>
    <w:p w14:paraId="0713C43B">
      <w:pPr>
        <w:spacing w:line="360" w:lineRule="auto"/>
        <w:rPr>
          <w:rFonts w:ascii="Times New Roman" w:hAnsi="Times New Roman" w:cs="Times New Roman"/>
          <w:sz w:val="21"/>
        </w:rPr>
      </w:pPr>
      <w:r>
        <w:rPr>
          <w:rFonts w:ascii="Times New Roman" w:hAnsi="Times New Roman" w:cs="Times New Roman"/>
          <w:b/>
          <w:sz w:val="21"/>
        </w:rPr>
        <w:t>5.11.5</w:t>
      </w:r>
      <w:r>
        <w:rPr>
          <w:rFonts w:ascii="Times New Roman" w:hAnsi="Times New Roman" w:cs="Times New Roman"/>
          <w:sz w:val="21"/>
        </w:rPr>
        <w:t xml:space="preserve">  临时排水措施设计应符合下列要求:</w:t>
      </w:r>
    </w:p>
    <w:p w14:paraId="7855993C">
      <w:pPr>
        <w:spacing w:line="360" w:lineRule="auto"/>
        <w:ind w:firstLine="422" w:firstLineChars="200"/>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应布设在工程征占地范围内，并与周边水系顺接。</w:t>
      </w:r>
    </w:p>
    <w:p w14:paraId="0EE0801F">
      <w:pPr>
        <w:spacing w:line="360" w:lineRule="auto"/>
        <w:ind w:firstLine="422" w:firstLineChars="200"/>
        <w:rPr>
          <w:rFonts w:ascii="Times New Roman" w:hAnsi="Times New Roman" w:cs="Times New Roman"/>
          <w:sz w:val="21"/>
        </w:rPr>
      </w:pPr>
      <w:r>
        <w:rPr>
          <w:rFonts w:ascii="Times New Roman" w:hAnsi="Times New Roman" w:cs="Times New Roman"/>
          <w:b/>
          <w:sz w:val="21"/>
        </w:rPr>
        <w:t>2</w:t>
      </w:r>
      <w:r>
        <w:rPr>
          <w:rFonts w:ascii="Times New Roman" w:hAnsi="Times New Roman" w:cs="Times New Roman"/>
          <w:sz w:val="21"/>
        </w:rPr>
        <w:t xml:space="preserve">  材质可采用土质、砌砖、素混凝土抹面、植草、预制排水管等。土质排水沟宜采用梯形断面和土工布衬垫。</w:t>
      </w:r>
    </w:p>
    <w:p w14:paraId="0C981AE2">
      <w:pPr>
        <w:spacing w:line="360" w:lineRule="auto"/>
        <w:ind w:firstLine="422" w:firstLineChars="200"/>
        <w:rPr>
          <w:rFonts w:ascii="Times New Roman" w:hAnsi="Times New Roman" w:cs="Times New Roman"/>
          <w:color w:val="000000"/>
          <w:sz w:val="21"/>
        </w:rPr>
      </w:pPr>
      <w:r>
        <w:rPr>
          <w:rFonts w:ascii="Times New Roman" w:hAnsi="Times New Roman" w:cs="Times New Roman"/>
          <w:b/>
          <w:color w:val="000000"/>
          <w:sz w:val="21"/>
        </w:rPr>
        <w:t>3</w:t>
      </w:r>
      <w:r>
        <w:rPr>
          <w:rFonts w:ascii="Times New Roman" w:hAnsi="Times New Roman" w:cs="Times New Roman"/>
          <w:color w:val="000000"/>
          <w:sz w:val="21"/>
        </w:rPr>
        <w:t xml:space="preserve">  断面尺寸应不小于施工最小断面要求。</w:t>
      </w:r>
    </w:p>
    <w:p w14:paraId="08B80FE2">
      <w:pPr>
        <w:spacing w:line="360" w:lineRule="auto"/>
        <w:rPr>
          <w:rFonts w:ascii="Times New Roman" w:hAnsi="Times New Roman" w:cs="Times New Roman"/>
          <w:sz w:val="21"/>
        </w:rPr>
      </w:pPr>
      <w:r>
        <w:rPr>
          <w:rFonts w:hint="eastAsia" w:ascii="Times New Roman" w:hAnsi="Times New Roman" w:cs="Times New Roman"/>
          <w:b/>
          <w:bCs/>
          <w:color w:val="000000"/>
          <w:sz w:val="21"/>
        </w:rPr>
        <w:t>5.11.6</w:t>
      </w:r>
      <w:r>
        <w:rPr>
          <w:rFonts w:hint="eastAsia" w:ascii="Times New Roman" w:hAnsi="Times New Roman" w:cs="Times New Roman"/>
          <w:color w:val="000000"/>
          <w:sz w:val="21"/>
        </w:rPr>
        <w:t xml:space="preserve">  弃渣场施工期临时排洪（水）设计</w:t>
      </w:r>
      <w:r>
        <w:rPr>
          <w:rFonts w:ascii="Times New Roman" w:hAnsi="Times New Roman" w:cs="Times New Roman"/>
          <w:sz w:val="21"/>
        </w:rPr>
        <w:t>应符合下列要求</w:t>
      </w:r>
      <w:r>
        <w:rPr>
          <w:rFonts w:hint="eastAsia" w:ascii="Times New Roman" w:hAnsi="Times New Roman" w:cs="Times New Roman"/>
          <w:sz w:val="21"/>
        </w:rPr>
        <w:t>：</w:t>
      </w:r>
    </w:p>
    <w:p w14:paraId="66EC6510">
      <w:pPr>
        <w:spacing w:line="360" w:lineRule="auto"/>
        <w:ind w:firstLine="420" w:firstLineChars="200"/>
        <w:rPr>
          <w:rFonts w:ascii="Times New Roman" w:hAnsi="Times New Roman" w:cs="Times New Roman"/>
          <w:color w:val="000000"/>
          <w:sz w:val="21"/>
        </w:rPr>
      </w:pPr>
      <w:r>
        <w:rPr>
          <w:rFonts w:hint="eastAsia" w:ascii="Times New Roman" w:hAnsi="Times New Roman" w:cs="Times New Roman"/>
          <w:color w:val="000000"/>
          <w:sz w:val="21"/>
        </w:rPr>
        <w:t>1  对于场外洪水，宜按照“永临结合”原则与永久排洪工程结合布设；单独设置临时排洪工程时应采取排洪隧洞、涵洞（管）等方式，确保堆渣体安全。</w:t>
      </w:r>
    </w:p>
    <w:p w14:paraId="56E50633">
      <w:pPr>
        <w:spacing w:line="360" w:lineRule="auto"/>
        <w:ind w:firstLine="420" w:firstLineChars="200"/>
        <w:rPr>
          <w:rFonts w:ascii="Times New Roman" w:hAnsi="Times New Roman" w:cs="Times New Roman"/>
          <w:color w:val="000000"/>
          <w:sz w:val="21"/>
        </w:rPr>
      </w:pPr>
      <w:r>
        <w:rPr>
          <w:rFonts w:ascii="Times New Roman" w:hAnsi="Times New Roman" w:cs="Times New Roman"/>
          <w:color w:val="000000"/>
          <w:sz w:val="21"/>
        </w:rPr>
        <w:t xml:space="preserve">2  </w:t>
      </w:r>
      <w:r>
        <w:rPr>
          <w:rFonts w:hint="eastAsia" w:ascii="Times New Roman" w:hAnsi="Times New Roman" w:cs="Times New Roman"/>
          <w:color w:val="000000"/>
          <w:sz w:val="21"/>
        </w:rPr>
        <w:t>当堆存时限超过</w:t>
      </w:r>
      <w:r>
        <w:rPr>
          <w:rFonts w:ascii="Times New Roman" w:hAnsi="Times New Roman" w:cs="Times New Roman"/>
          <w:color w:val="000000"/>
          <w:sz w:val="21"/>
        </w:rPr>
        <w:t>1</w:t>
      </w:r>
      <w:r>
        <w:rPr>
          <w:rFonts w:hint="eastAsia" w:ascii="Times New Roman" w:hAnsi="Times New Roman" w:cs="Times New Roman"/>
          <w:color w:val="000000"/>
          <w:sz w:val="21"/>
        </w:rPr>
        <w:t>年时，可分期（高程）布置排洪措施。</w:t>
      </w:r>
    </w:p>
    <w:p w14:paraId="0E64743C">
      <w:pPr>
        <w:spacing w:line="360" w:lineRule="auto"/>
        <w:ind w:firstLine="420" w:firstLineChars="200"/>
        <w:rPr>
          <w:rFonts w:ascii="Times New Roman" w:hAnsi="Times New Roman" w:cs="Times New Roman"/>
          <w:color w:val="000000"/>
          <w:sz w:val="21"/>
        </w:rPr>
      </w:pPr>
      <w:r>
        <w:rPr>
          <w:rFonts w:ascii="Times New Roman" w:hAnsi="Times New Roman" w:cs="Times New Roman"/>
          <w:color w:val="000000"/>
          <w:sz w:val="21"/>
        </w:rPr>
        <w:t xml:space="preserve">3  </w:t>
      </w:r>
      <w:r>
        <w:rPr>
          <w:rFonts w:hint="eastAsia" w:ascii="Times New Roman" w:hAnsi="Times New Roman" w:cs="Times New Roman"/>
          <w:color w:val="000000"/>
          <w:sz w:val="21"/>
        </w:rPr>
        <w:t>当场内汇水面积超过</w:t>
      </w:r>
      <w:r>
        <w:rPr>
          <w:rFonts w:ascii="Times New Roman" w:hAnsi="Times New Roman" w:cs="Times New Roman"/>
          <w:color w:val="000000"/>
          <w:sz w:val="21"/>
        </w:rPr>
        <w:t>1</w:t>
      </w:r>
      <w:r>
        <w:rPr>
          <w:rFonts w:hint="eastAsia" w:ascii="Times New Roman" w:hAnsi="Times New Roman" w:cs="Times New Roman"/>
          <w:color w:val="000000"/>
          <w:sz w:val="21"/>
        </w:rPr>
        <w:t>公顷，应分区布置临时排水措施。</w:t>
      </w:r>
    </w:p>
    <w:p w14:paraId="12BC0770">
      <w:pPr>
        <w:spacing w:line="360" w:lineRule="auto"/>
        <w:ind w:firstLine="420" w:firstLineChars="200"/>
        <w:rPr>
          <w:rFonts w:ascii="Times New Roman" w:hAnsi="Times New Roman" w:cs="Times New Roman"/>
          <w:color w:val="000000"/>
          <w:sz w:val="21"/>
        </w:rPr>
      </w:pPr>
      <w:r>
        <w:rPr>
          <w:rFonts w:ascii="Times New Roman" w:hAnsi="Times New Roman" w:cs="Times New Roman"/>
          <w:color w:val="000000"/>
          <w:sz w:val="21"/>
        </w:rPr>
        <w:t xml:space="preserve">4  </w:t>
      </w:r>
      <w:r>
        <w:rPr>
          <w:rFonts w:hint="eastAsia" w:ascii="Times New Roman" w:hAnsi="Times New Roman" w:cs="Times New Roman"/>
          <w:color w:val="000000"/>
          <w:sz w:val="21"/>
        </w:rPr>
        <w:t>排洪（水）沟应具备充足的过流能力和抗冲能力，必要时应做好防淤积和沉沙设施。</w:t>
      </w:r>
    </w:p>
    <w:p w14:paraId="0F00D6E8">
      <w:pPr>
        <w:spacing w:line="360" w:lineRule="auto"/>
        <w:rPr>
          <w:rFonts w:ascii="Times New Roman" w:hAnsi="Times New Roman" w:cs="Times New Roman"/>
          <w:sz w:val="21"/>
        </w:rPr>
      </w:pPr>
      <w:r>
        <w:rPr>
          <w:rFonts w:ascii="Times New Roman" w:hAnsi="Times New Roman" w:cs="Times New Roman"/>
          <w:b/>
          <w:sz w:val="21"/>
        </w:rPr>
        <w:t>5.11.</w:t>
      </w:r>
      <w:r>
        <w:rPr>
          <w:rFonts w:hint="eastAsia" w:ascii="Times New Roman" w:hAnsi="Times New Roman" w:cs="Times New Roman"/>
          <w:b/>
          <w:sz w:val="21"/>
        </w:rPr>
        <w:t>7</w:t>
      </w:r>
      <w:r>
        <w:rPr>
          <w:rFonts w:ascii="Times New Roman" w:hAnsi="Times New Roman" w:cs="Times New Roman"/>
          <w:sz w:val="21"/>
        </w:rPr>
        <w:t xml:space="preserve">  临时沉沙措施设计应符合下列要求</w:t>
      </w:r>
      <w:r>
        <w:rPr>
          <w:rFonts w:hint="eastAsia" w:ascii="宋体" w:hAnsi="宋体"/>
          <w:sz w:val="21"/>
        </w:rPr>
        <w:t>:</w:t>
      </w:r>
    </w:p>
    <w:p w14:paraId="7B327FE9">
      <w:pPr>
        <w:spacing w:line="360" w:lineRule="auto"/>
        <w:ind w:firstLine="422" w:firstLineChars="200"/>
        <w:rPr>
          <w:rFonts w:ascii="Times New Roman" w:hAnsi="Times New Roman" w:cs="Times New Roman"/>
          <w:sz w:val="21"/>
        </w:rPr>
      </w:pPr>
      <w:r>
        <w:rPr>
          <w:rFonts w:ascii="Times New Roman" w:hAnsi="Times New Roman" w:cs="Times New Roman"/>
          <w:b/>
          <w:sz w:val="21"/>
        </w:rPr>
        <w:t>1</w:t>
      </w:r>
      <w:r>
        <w:rPr>
          <w:rFonts w:ascii="Times New Roman" w:hAnsi="Times New Roman" w:cs="Times New Roman"/>
          <w:sz w:val="21"/>
        </w:rPr>
        <w:t xml:space="preserve">  宜结合临时排水沟布置、清淤便捷性进行合理设置。</w:t>
      </w:r>
    </w:p>
    <w:p w14:paraId="072FCD2C">
      <w:pPr>
        <w:spacing w:line="360" w:lineRule="auto"/>
        <w:ind w:firstLine="422" w:firstLineChars="200"/>
        <w:rPr>
          <w:rFonts w:ascii="Times New Roman" w:hAnsi="Times New Roman" w:cs="Times New Roman"/>
          <w:sz w:val="21"/>
        </w:rPr>
      </w:pPr>
      <w:r>
        <w:rPr>
          <w:rFonts w:ascii="Times New Roman" w:hAnsi="Times New Roman" w:cs="Times New Roman"/>
          <w:b/>
          <w:bCs/>
          <w:sz w:val="21"/>
        </w:rPr>
        <w:t>2</w:t>
      </w:r>
      <w:r>
        <w:rPr>
          <w:rFonts w:ascii="Times New Roman" w:hAnsi="Times New Roman" w:cs="Times New Roman"/>
          <w:sz w:val="21"/>
        </w:rPr>
        <w:t xml:space="preserve">  宽度宜取临时排水沟宽度的2</w:t>
      </w:r>
      <w:r>
        <w:rPr>
          <w:rFonts w:hint="eastAsia" w:ascii="Times New Roman" w:hAnsi="Times New Roman" w:cs="Times New Roman"/>
          <w:sz w:val="21"/>
        </w:rPr>
        <w:t>倍～</w:t>
      </w:r>
      <w:r>
        <w:rPr>
          <w:rFonts w:ascii="Times New Roman" w:hAnsi="Times New Roman" w:cs="Times New Roman"/>
          <w:sz w:val="21"/>
        </w:rPr>
        <w:t>3倍，长度为宽度的2</w:t>
      </w:r>
      <w:r>
        <w:rPr>
          <w:rFonts w:hint="eastAsia" w:ascii="Times New Roman" w:hAnsi="Times New Roman" w:cs="Times New Roman"/>
          <w:sz w:val="21"/>
        </w:rPr>
        <w:t>倍～</w:t>
      </w:r>
      <w:r>
        <w:rPr>
          <w:rFonts w:ascii="Times New Roman" w:hAnsi="Times New Roman" w:cs="Times New Roman"/>
          <w:sz w:val="21"/>
        </w:rPr>
        <w:t>3倍，深度宜取1</w:t>
      </w:r>
      <w:r>
        <w:rPr>
          <w:rFonts w:hint="eastAsia" w:ascii="Times New Roman" w:hAnsi="Times New Roman" w:cs="Times New Roman"/>
          <w:sz w:val="21"/>
        </w:rPr>
        <w:t>.0m～</w:t>
      </w:r>
      <w:r>
        <w:rPr>
          <w:rFonts w:ascii="Times New Roman" w:hAnsi="Times New Roman" w:cs="Times New Roman"/>
          <w:sz w:val="21"/>
        </w:rPr>
        <w:t>1.5m。</w:t>
      </w:r>
    </w:p>
    <w:p w14:paraId="113FD5F0">
      <w:pPr>
        <w:spacing w:line="360" w:lineRule="auto"/>
        <w:ind w:firstLine="422" w:firstLineChars="200"/>
        <w:rPr>
          <w:rFonts w:ascii="Times New Roman" w:hAnsi="Times New Roman" w:cs="Times New Roman"/>
          <w:sz w:val="21"/>
        </w:rPr>
      </w:pPr>
      <w:r>
        <w:rPr>
          <w:rFonts w:ascii="Times New Roman" w:hAnsi="Times New Roman" w:cs="Times New Roman"/>
          <w:b/>
          <w:bCs/>
          <w:sz w:val="21"/>
        </w:rPr>
        <w:t>3</w:t>
      </w:r>
      <w:r>
        <w:rPr>
          <w:rFonts w:ascii="Times New Roman" w:hAnsi="Times New Roman" w:cs="Times New Roman"/>
          <w:sz w:val="21"/>
        </w:rPr>
        <w:t xml:space="preserve">  南方地区降雨量大的，宜采用2</w:t>
      </w:r>
      <w:r>
        <w:rPr>
          <w:rFonts w:hint="eastAsia" w:ascii="Times New Roman" w:hAnsi="Times New Roman" w:cs="Times New Roman"/>
          <w:sz w:val="21"/>
        </w:rPr>
        <w:t>级～</w:t>
      </w:r>
      <w:r>
        <w:rPr>
          <w:rFonts w:ascii="Times New Roman" w:hAnsi="Times New Roman" w:cs="Times New Roman"/>
          <w:sz w:val="21"/>
        </w:rPr>
        <w:t>3级布置。</w:t>
      </w:r>
    </w:p>
    <w:p w14:paraId="6BAA691F">
      <w:pPr>
        <w:spacing w:line="360" w:lineRule="auto"/>
        <w:ind w:firstLine="422" w:firstLineChars="200"/>
        <w:rPr>
          <w:rFonts w:ascii="Times New Roman" w:hAnsi="Times New Roman" w:cs="Times New Roman"/>
          <w:sz w:val="21"/>
        </w:rPr>
      </w:pPr>
      <w:r>
        <w:rPr>
          <w:rFonts w:ascii="Times New Roman" w:hAnsi="Times New Roman" w:cs="Times New Roman"/>
          <w:b/>
          <w:sz w:val="21"/>
        </w:rPr>
        <w:t>4</w:t>
      </w:r>
      <w:r>
        <w:rPr>
          <w:rFonts w:ascii="Times New Roman" w:hAnsi="Times New Roman" w:cs="Times New Roman"/>
          <w:sz w:val="21"/>
        </w:rPr>
        <w:t xml:space="preserve">  材质可采用土质、砌砖、素混凝土抹面等。</w:t>
      </w:r>
    </w:p>
    <w:p w14:paraId="6D1E6549">
      <w:pPr>
        <w:spacing w:line="360" w:lineRule="auto"/>
        <w:rPr>
          <w:rFonts w:ascii="Times New Roman" w:hAnsi="Times New Roman" w:cs="Times New Roman"/>
          <w:sz w:val="21"/>
        </w:rPr>
      </w:pPr>
      <w:r>
        <w:rPr>
          <w:rFonts w:ascii="Times New Roman" w:hAnsi="Times New Roman" w:cs="Times New Roman"/>
          <w:b/>
          <w:sz w:val="21"/>
        </w:rPr>
        <w:t>5.11.</w:t>
      </w:r>
      <w:r>
        <w:rPr>
          <w:rFonts w:hint="eastAsia" w:ascii="Times New Roman" w:hAnsi="Times New Roman" w:cs="Times New Roman"/>
          <w:b/>
          <w:sz w:val="21"/>
        </w:rPr>
        <w:t>8</w:t>
      </w:r>
      <w:r>
        <w:rPr>
          <w:rFonts w:ascii="Times New Roman" w:hAnsi="Times New Roman" w:cs="Times New Roman"/>
          <w:sz w:val="21"/>
        </w:rPr>
        <w:t xml:space="preserve">  临时</w:t>
      </w:r>
      <w:r>
        <w:rPr>
          <w:rFonts w:hint="eastAsia" w:ascii="Times New Roman" w:hAnsi="Times New Roman" w:cs="Times New Roman"/>
          <w:sz w:val="21"/>
        </w:rPr>
        <w:t>植物防护</w:t>
      </w:r>
      <w:r>
        <w:rPr>
          <w:rFonts w:ascii="Times New Roman" w:hAnsi="Times New Roman" w:cs="Times New Roman"/>
          <w:sz w:val="21"/>
        </w:rPr>
        <w:t>措施设计应符合下列规定</w:t>
      </w:r>
      <w:r>
        <w:rPr>
          <w:rFonts w:hint="eastAsia" w:asciiTheme="majorEastAsia" w:hAnsiTheme="majorEastAsia" w:eastAsiaTheme="majorEastAsia" w:cstheme="majorEastAsia"/>
          <w:sz w:val="21"/>
        </w:rPr>
        <w:t>:</w:t>
      </w:r>
    </w:p>
    <w:p w14:paraId="2941DD8C">
      <w:pPr>
        <w:widowControl/>
        <w:spacing w:line="360" w:lineRule="auto"/>
        <w:ind w:firstLine="422" w:firstLineChars="200"/>
        <w:rPr>
          <w:rFonts w:ascii="Times New Roman" w:hAnsi="Times New Roman" w:cs="Times New Roman"/>
          <w:sz w:val="21"/>
        </w:rPr>
      </w:pPr>
      <w:r>
        <w:rPr>
          <w:rFonts w:ascii="Times New Roman" w:hAnsi="Times New Roman" w:cs="Times New Roman"/>
          <w:b/>
          <w:sz w:val="21"/>
        </w:rPr>
        <w:t xml:space="preserve">1 </w:t>
      </w:r>
      <w:r>
        <w:rPr>
          <w:rFonts w:ascii="Times New Roman" w:hAnsi="Times New Roman" w:cs="Times New Roman"/>
          <w:sz w:val="21"/>
        </w:rPr>
        <w:t xml:space="preserve"> 裸露时间超过1年且</w:t>
      </w:r>
      <w:r>
        <w:rPr>
          <w:rFonts w:hint="eastAsia" w:ascii="Times New Roman" w:hAnsi="Times New Roman" w:cs="Times New Roman"/>
          <w:sz w:val="21"/>
        </w:rPr>
        <w:t>多年平均降水量在</w:t>
      </w:r>
      <w:r>
        <w:rPr>
          <w:rFonts w:ascii="Times New Roman" w:hAnsi="Times New Roman" w:cs="Times New Roman"/>
          <w:sz w:val="21"/>
        </w:rPr>
        <w:t>600mm</w:t>
      </w:r>
      <w:r>
        <w:rPr>
          <w:rFonts w:hint="eastAsia" w:ascii="Times New Roman" w:hAnsi="Times New Roman" w:cs="Times New Roman"/>
          <w:sz w:val="21"/>
        </w:rPr>
        <w:t>以上</w:t>
      </w:r>
      <w:r>
        <w:rPr>
          <w:rFonts w:ascii="Times New Roman" w:hAnsi="Times New Roman" w:cs="Times New Roman"/>
          <w:sz w:val="21"/>
        </w:rPr>
        <w:t>的表土堆存场、施工生产生活等区域宜采取临时</w:t>
      </w:r>
      <w:r>
        <w:rPr>
          <w:rFonts w:hint="eastAsia" w:ascii="Times New Roman" w:hAnsi="Times New Roman" w:cs="Times New Roman"/>
          <w:sz w:val="21"/>
        </w:rPr>
        <w:t>植物防护</w:t>
      </w:r>
      <w:r>
        <w:rPr>
          <w:rFonts w:ascii="Times New Roman" w:hAnsi="Times New Roman" w:cs="Times New Roman"/>
          <w:sz w:val="21"/>
        </w:rPr>
        <w:t>措施。</w:t>
      </w:r>
    </w:p>
    <w:p w14:paraId="676E56D7">
      <w:pPr>
        <w:widowControl/>
        <w:spacing w:line="360" w:lineRule="auto"/>
        <w:ind w:firstLine="422" w:firstLineChars="200"/>
        <w:rPr>
          <w:rFonts w:ascii="Times New Roman" w:hAnsi="Times New Roman" w:cs="Times New Roman"/>
          <w:color w:val="FF0000"/>
          <w:sz w:val="21"/>
          <w:highlight w:val="yellow"/>
        </w:rPr>
      </w:pPr>
      <w:r>
        <w:rPr>
          <w:rFonts w:ascii="Times New Roman" w:hAnsi="Times New Roman" w:cs="Times New Roman"/>
          <w:b/>
          <w:sz w:val="21"/>
        </w:rPr>
        <w:t xml:space="preserve">2 </w:t>
      </w:r>
      <w:r>
        <w:rPr>
          <w:rFonts w:ascii="Times New Roman" w:hAnsi="Times New Roman" w:cs="Times New Roman"/>
          <w:sz w:val="21"/>
        </w:rPr>
        <w:t xml:space="preserve"> 绿化植物宜选用速生草种或灌木。</w:t>
      </w:r>
    </w:p>
    <w:p w14:paraId="04B57CE5">
      <w:pPr>
        <w:spacing w:line="360" w:lineRule="auto"/>
        <w:jc w:val="left"/>
        <w:rPr>
          <w:rFonts w:ascii="Times New Roman" w:hAnsi="Times New Roman" w:cs="Times New Roman"/>
          <w:sz w:val="21"/>
        </w:rPr>
      </w:pPr>
    </w:p>
    <w:p w14:paraId="7CCF9FC2">
      <w:pPr>
        <w:spacing w:line="360" w:lineRule="auto"/>
        <w:jc w:val="left"/>
        <w:rPr>
          <w:rFonts w:ascii="Times New Roman" w:hAnsi="Times New Roman" w:cs="Times New Roman"/>
          <w:sz w:val="21"/>
        </w:rPr>
        <w:sectPr>
          <w:footerReference r:id="rId12" w:type="default"/>
          <w:pgSz w:w="11906" w:h="16838"/>
          <w:pgMar w:top="1440" w:right="1800" w:bottom="1440" w:left="1800" w:header="851" w:footer="992" w:gutter="0"/>
          <w:cols w:space="425" w:num="1"/>
          <w:docGrid w:type="lines" w:linePitch="312" w:charSpace="0"/>
        </w:sectPr>
      </w:pPr>
    </w:p>
    <w:p w14:paraId="64B753CF">
      <w:pPr>
        <w:keepNext/>
        <w:keepLines/>
        <w:spacing w:before="340" w:after="330" w:line="578" w:lineRule="auto"/>
        <w:jc w:val="center"/>
        <w:outlineLvl w:val="0"/>
        <w:rPr>
          <w:rFonts w:ascii="Times New Roman" w:hAnsi="Times New Roman" w:eastAsia="黑体" w:cs="Times New Roman"/>
          <w:bCs/>
          <w:kern w:val="44"/>
          <w:sz w:val="30"/>
          <w:szCs w:val="30"/>
        </w:rPr>
      </w:pPr>
      <w:bookmarkStart w:id="555" w:name="_Toc323805677"/>
      <w:bookmarkStart w:id="556" w:name="_Toc310519748"/>
      <w:bookmarkStart w:id="557" w:name="_Toc16316"/>
      <w:bookmarkStart w:id="558" w:name="_Toc324282335"/>
      <w:bookmarkStart w:id="559" w:name="_Toc319591707"/>
      <w:bookmarkStart w:id="560" w:name="_Toc360526315"/>
      <w:bookmarkStart w:id="561" w:name="_Toc360520035"/>
      <w:bookmarkStart w:id="562" w:name="_Toc360528909"/>
      <w:bookmarkStart w:id="563" w:name="_Toc310842250"/>
      <w:bookmarkStart w:id="564" w:name="_Toc310525460"/>
      <w:bookmarkStart w:id="565" w:name="_Toc15742"/>
      <w:bookmarkStart w:id="566" w:name="_Toc324287627"/>
      <w:bookmarkStart w:id="567" w:name="_Toc324280300"/>
      <w:bookmarkStart w:id="568" w:name="_Toc319512966"/>
      <w:bookmarkStart w:id="569" w:name="_Toc323828713"/>
      <w:bookmarkStart w:id="570" w:name="_Toc360520040"/>
      <w:bookmarkStart w:id="571" w:name="_Toc302742765"/>
      <w:bookmarkStart w:id="572" w:name="_Toc304214386"/>
      <w:bookmarkStart w:id="573" w:name="_Toc302661208"/>
      <w:bookmarkStart w:id="574" w:name="_Toc303251069"/>
      <w:bookmarkStart w:id="575" w:name="_Toc302639489"/>
      <w:bookmarkStart w:id="576" w:name="_Toc302721782"/>
      <w:r>
        <w:rPr>
          <w:rFonts w:ascii="Times New Roman" w:hAnsi="Times New Roman" w:eastAsia="黑体" w:cs="Times New Roman"/>
          <w:bCs/>
          <w:kern w:val="44"/>
          <w:sz w:val="30"/>
          <w:szCs w:val="30"/>
        </w:rPr>
        <w:t>附录A 水文计算</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67831B7F">
      <w:pPr>
        <w:keepNext/>
        <w:keepLines/>
        <w:spacing w:before="260" w:after="260"/>
        <w:jc w:val="center"/>
        <w:outlineLvl w:val="2"/>
        <w:rPr>
          <w:rFonts w:ascii="Times New Roman" w:hAnsi="Times New Roman" w:eastAsia="黑体" w:cs="Times New Roman"/>
          <w:bCs/>
          <w:sz w:val="24"/>
          <w:szCs w:val="24"/>
        </w:rPr>
      </w:pPr>
      <w:bookmarkStart w:id="577" w:name="_Toc360526316"/>
      <w:bookmarkStart w:id="578" w:name="_Toc324287628"/>
      <w:bookmarkStart w:id="579" w:name="_Toc360520036"/>
      <w:bookmarkStart w:id="580" w:name="_Toc324687836"/>
      <w:bookmarkStart w:id="581" w:name="_Toc360528910"/>
      <w:bookmarkStart w:id="582" w:name="_Toc324358155"/>
      <w:bookmarkStart w:id="583" w:name="_Toc19592"/>
      <w:bookmarkStart w:id="584" w:name="_Toc324280301"/>
      <w:bookmarkStart w:id="585" w:name="_Toc324282336"/>
      <w:r>
        <w:rPr>
          <w:rFonts w:ascii="Times New Roman" w:hAnsi="Times New Roman" w:eastAsia="黑体" w:cs="Times New Roman"/>
          <w:bCs/>
          <w:sz w:val="24"/>
          <w:szCs w:val="24"/>
        </w:rPr>
        <w:t>A</w:t>
      </w:r>
      <w:r>
        <w:rPr>
          <w:rFonts w:ascii="Times New Roman" w:hAnsi="Times New Roman" w:cs="Times New Roman"/>
          <w:bCs/>
          <w:sz w:val="24"/>
          <w:szCs w:val="24"/>
        </w:rPr>
        <w:t>.</w:t>
      </w:r>
      <w:r>
        <w:rPr>
          <w:rFonts w:ascii="Times New Roman" w:hAnsi="Times New Roman" w:eastAsia="黑体" w:cs="Times New Roman"/>
          <w:bCs/>
          <w:sz w:val="24"/>
          <w:szCs w:val="24"/>
        </w:rPr>
        <w:t>1 一般规定</w:t>
      </w:r>
      <w:bookmarkEnd w:id="577"/>
      <w:bookmarkEnd w:id="578"/>
      <w:bookmarkEnd w:id="579"/>
      <w:bookmarkEnd w:id="580"/>
      <w:bookmarkEnd w:id="581"/>
      <w:bookmarkEnd w:id="582"/>
      <w:bookmarkEnd w:id="583"/>
      <w:bookmarkEnd w:id="584"/>
      <w:bookmarkEnd w:id="585"/>
    </w:p>
    <w:p w14:paraId="27865CB6">
      <w:pPr>
        <w:spacing w:line="360" w:lineRule="auto"/>
        <w:jc w:val="left"/>
        <w:rPr>
          <w:rFonts w:ascii="Times New Roman" w:hAnsi="Times New Roman" w:cs="Times New Roman"/>
          <w:bCs/>
          <w:spacing w:val="4"/>
          <w:sz w:val="21"/>
          <w:szCs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1</w:t>
      </w:r>
      <w:r>
        <w:rPr>
          <w:rFonts w:ascii="Times New Roman" w:hAnsi="Times New Roman" w:cs="Times New Roman"/>
          <w:b/>
          <w:sz w:val="21"/>
        </w:rPr>
        <w:t>.</w:t>
      </w:r>
      <w:r>
        <w:rPr>
          <w:rFonts w:ascii="Times New Roman" w:hAnsi="Times New Roman" w:eastAsia="黑体" w:cs="Times New Roman"/>
          <w:b/>
          <w:sz w:val="21"/>
        </w:rPr>
        <w:t>1</w:t>
      </w:r>
      <w:r>
        <w:rPr>
          <w:rFonts w:ascii="Times New Roman" w:hAnsi="Times New Roman" w:cs="Times New Roman"/>
          <w:b/>
          <w:bCs/>
          <w:spacing w:val="4"/>
          <w:sz w:val="21"/>
          <w:szCs w:val="21"/>
        </w:rPr>
        <w:t xml:space="preserve"> </w:t>
      </w:r>
      <w:r>
        <w:rPr>
          <w:rFonts w:ascii="Times New Roman" w:hAnsi="Times New Roman" w:cs="Times New Roman"/>
          <w:bCs/>
          <w:spacing w:val="4"/>
          <w:sz w:val="21"/>
          <w:szCs w:val="21"/>
        </w:rPr>
        <w:t xml:space="preserve"> 计算设计洪水和输沙量应从实际出发,深入调查了解流域特性或集水区域基本情况，注重基本资料的可靠性。</w:t>
      </w:r>
    </w:p>
    <w:p w14:paraId="393943E9">
      <w:pPr>
        <w:spacing w:line="360" w:lineRule="auto"/>
        <w:jc w:val="left"/>
        <w:rPr>
          <w:rFonts w:ascii="Times New Roman" w:hAnsi="Times New Roman" w:cs="Times New Roman"/>
          <w:bCs/>
          <w:spacing w:val="4"/>
          <w:sz w:val="21"/>
          <w:szCs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1</w:t>
      </w:r>
      <w:r>
        <w:rPr>
          <w:rFonts w:ascii="Times New Roman" w:hAnsi="Times New Roman" w:cs="Times New Roman"/>
          <w:b/>
          <w:sz w:val="21"/>
        </w:rPr>
        <w:t>.</w:t>
      </w:r>
      <w:r>
        <w:rPr>
          <w:rFonts w:ascii="Times New Roman" w:hAnsi="Times New Roman" w:eastAsia="黑体" w:cs="Times New Roman"/>
          <w:b/>
          <w:sz w:val="21"/>
        </w:rPr>
        <w:t>2</w:t>
      </w:r>
      <w:r>
        <w:rPr>
          <w:rFonts w:ascii="Times New Roman" w:hAnsi="Times New Roman" w:cs="Times New Roman"/>
          <w:b/>
          <w:bCs/>
          <w:spacing w:val="4"/>
          <w:sz w:val="21"/>
          <w:szCs w:val="21"/>
        </w:rPr>
        <w:t xml:space="preserve">  </w:t>
      </w:r>
      <w:r>
        <w:rPr>
          <w:rFonts w:ascii="Times New Roman" w:hAnsi="Times New Roman" w:cs="Times New Roman"/>
          <w:bCs/>
          <w:spacing w:val="4"/>
          <w:sz w:val="21"/>
          <w:szCs w:val="21"/>
        </w:rPr>
        <w:t>具有长系列流量实测资料的，应根据资料条件和设计要求，采用频率分析法计算设计洪水；具有长系列暴雨资料，并具有暴雨洪水对应关系时，可采用频率分析法计算设计暴雨，并由设计暴雨计算设计洪水；洪水和暴雨资料均短缺时，可利用邻近地区实测或调查洪水和暴雨资料，进行地区综合分析，计算设计洪水。洪水计算分析方法宜参照现行行业标准《水利水电工程设计洪水计算规范》SL 44的有关规定进行。</w:t>
      </w:r>
    </w:p>
    <w:p w14:paraId="0F780383">
      <w:pPr>
        <w:spacing w:line="360" w:lineRule="auto"/>
        <w:jc w:val="left"/>
        <w:rPr>
          <w:rFonts w:ascii="Times New Roman" w:hAnsi="Times New Roman" w:cs="Times New Roman"/>
          <w:bCs/>
          <w:spacing w:val="4"/>
          <w:sz w:val="21"/>
          <w:szCs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1</w:t>
      </w:r>
      <w:r>
        <w:rPr>
          <w:rFonts w:ascii="Times New Roman" w:hAnsi="Times New Roman" w:cs="Times New Roman"/>
          <w:b/>
          <w:sz w:val="21"/>
        </w:rPr>
        <w:t>.</w:t>
      </w:r>
      <w:r>
        <w:rPr>
          <w:rFonts w:ascii="Times New Roman" w:hAnsi="Times New Roman" w:eastAsia="黑体" w:cs="Times New Roman"/>
          <w:b/>
          <w:sz w:val="21"/>
        </w:rPr>
        <w:t>3</w:t>
      </w:r>
      <w:r>
        <w:rPr>
          <w:rFonts w:ascii="Times New Roman" w:hAnsi="Times New Roman" w:cs="Times New Roman"/>
          <w:bCs/>
          <w:spacing w:val="4"/>
          <w:sz w:val="21"/>
          <w:szCs w:val="21"/>
        </w:rPr>
        <w:t xml:space="preserve">  泥沙应分为悬移质和推移质分别分析计算，具有泥沙实测资料的，可统计泥沙特征值；无实测泥沙资料的，可估算多年平均输沙量。泥沙计算分析方法宜参照现行行业标准《水利水电工程水文计算规范》SL 278的有关规定进行。</w:t>
      </w:r>
    </w:p>
    <w:p w14:paraId="3E53E349">
      <w:pPr>
        <w:keepNext/>
        <w:keepLines/>
        <w:spacing w:before="260" w:after="260"/>
        <w:jc w:val="center"/>
        <w:outlineLvl w:val="2"/>
        <w:rPr>
          <w:rFonts w:ascii="Times New Roman" w:hAnsi="Times New Roman" w:eastAsia="黑体" w:cs="Times New Roman"/>
          <w:bCs/>
          <w:sz w:val="24"/>
          <w:szCs w:val="24"/>
        </w:rPr>
      </w:pPr>
      <w:bookmarkStart w:id="586" w:name="_Toc360526317"/>
      <w:bookmarkStart w:id="587" w:name="_Toc324687837"/>
      <w:bookmarkStart w:id="588" w:name="_Toc525"/>
      <w:bookmarkStart w:id="589" w:name="_Toc324282337"/>
      <w:bookmarkStart w:id="590" w:name="_Toc360520037"/>
      <w:bookmarkStart w:id="591" w:name="_Toc324280302"/>
      <w:bookmarkStart w:id="592" w:name="_Toc324358156"/>
      <w:bookmarkStart w:id="593" w:name="_Toc360528911"/>
      <w:bookmarkStart w:id="594" w:name="_Toc324287629"/>
      <w:r>
        <w:rPr>
          <w:rFonts w:ascii="Times New Roman" w:hAnsi="Times New Roman" w:eastAsia="黑体" w:cs="Times New Roman"/>
          <w:bCs/>
          <w:sz w:val="24"/>
          <w:szCs w:val="24"/>
        </w:rPr>
        <w:t>A</w:t>
      </w:r>
      <w:r>
        <w:rPr>
          <w:rFonts w:ascii="Times New Roman" w:hAnsi="Times New Roman" w:cs="Times New Roman"/>
          <w:bCs/>
          <w:sz w:val="24"/>
          <w:szCs w:val="24"/>
        </w:rPr>
        <w:t>.</w:t>
      </w:r>
      <w:r>
        <w:rPr>
          <w:rFonts w:ascii="Times New Roman" w:hAnsi="Times New Roman" w:eastAsia="黑体" w:cs="Times New Roman"/>
          <w:bCs/>
          <w:sz w:val="24"/>
          <w:szCs w:val="24"/>
        </w:rPr>
        <w:t>2 设计洪水计算</w:t>
      </w:r>
      <w:bookmarkEnd w:id="586"/>
      <w:bookmarkEnd w:id="587"/>
      <w:bookmarkEnd w:id="588"/>
      <w:bookmarkEnd w:id="589"/>
      <w:bookmarkEnd w:id="590"/>
      <w:bookmarkEnd w:id="591"/>
      <w:bookmarkEnd w:id="592"/>
      <w:bookmarkEnd w:id="593"/>
      <w:bookmarkEnd w:id="594"/>
    </w:p>
    <w:p w14:paraId="589C060A">
      <w:pPr>
        <w:spacing w:line="360" w:lineRule="auto"/>
        <w:jc w:val="left"/>
        <w:rPr>
          <w:rFonts w:ascii="Times New Roman" w:hAnsi="Times New Roman" w:cs="Times New Roman"/>
          <w:bCs/>
          <w:spacing w:val="4"/>
          <w:sz w:val="21"/>
          <w:szCs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2</w:t>
      </w:r>
      <w:r>
        <w:rPr>
          <w:rFonts w:ascii="Times New Roman" w:hAnsi="Times New Roman" w:cs="Times New Roman"/>
          <w:b/>
          <w:sz w:val="21"/>
        </w:rPr>
        <w:t>.</w:t>
      </w:r>
      <w:r>
        <w:rPr>
          <w:rFonts w:ascii="Times New Roman" w:hAnsi="Times New Roman" w:eastAsia="黑体" w:cs="Times New Roman"/>
          <w:b/>
          <w:sz w:val="21"/>
        </w:rPr>
        <w:t>1</w:t>
      </w:r>
      <w:r>
        <w:rPr>
          <w:rFonts w:ascii="Times New Roman" w:hAnsi="Times New Roman" w:cs="Times New Roman"/>
          <w:sz w:val="21"/>
          <w:szCs w:val="21"/>
        </w:rPr>
        <w:t xml:space="preserve"> </w:t>
      </w:r>
      <w:r>
        <w:rPr>
          <w:rFonts w:ascii="Times New Roman" w:hAnsi="Times New Roman" w:cs="Times New Roman"/>
          <w:bCs/>
          <w:spacing w:val="4"/>
          <w:sz w:val="21"/>
          <w:szCs w:val="21"/>
        </w:rPr>
        <w:t xml:space="preserve"> 水土保持工程设计所依据的各种标准的设计洪水，应包括设计洪峰流量、设计洪水总量、设计洪水过程线等，可根据工程设计要求计算其全部或部分内容。</w:t>
      </w:r>
    </w:p>
    <w:p w14:paraId="070BA90A">
      <w:pPr>
        <w:spacing w:line="360" w:lineRule="auto"/>
        <w:jc w:val="left"/>
        <w:rPr>
          <w:rFonts w:ascii="Times New Roman" w:hAnsi="Times New Roman" w:cs="Times New Roman"/>
          <w:bCs/>
          <w:spacing w:val="4"/>
          <w:sz w:val="21"/>
          <w:szCs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2</w:t>
      </w:r>
      <w:r>
        <w:rPr>
          <w:rFonts w:ascii="Times New Roman" w:hAnsi="Times New Roman" w:cs="Times New Roman"/>
          <w:b/>
          <w:sz w:val="21"/>
        </w:rPr>
        <w:t>.</w:t>
      </w:r>
      <w:r>
        <w:rPr>
          <w:rFonts w:ascii="Times New Roman" w:hAnsi="Times New Roman" w:eastAsia="黑体" w:cs="Times New Roman"/>
          <w:b/>
          <w:sz w:val="21"/>
        </w:rPr>
        <w:t>2</w:t>
      </w:r>
      <w:r>
        <w:rPr>
          <w:rFonts w:ascii="Times New Roman" w:hAnsi="Times New Roman" w:eastAsia="黑体" w:cs="Times New Roman"/>
          <w:sz w:val="21"/>
        </w:rPr>
        <w:t xml:space="preserve"> </w:t>
      </w:r>
      <w:r>
        <w:rPr>
          <w:rFonts w:ascii="Times New Roman" w:hAnsi="Times New Roman" w:cs="Times New Roman"/>
          <w:bCs/>
          <w:spacing w:val="4"/>
          <w:sz w:val="21"/>
          <w:szCs w:val="21"/>
        </w:rPr>
        <w:t xml:space="preserve"> 对于汇水面积小于300km</w:t>
      </w:r>
      <w:r>
        <w:rPr>
          <w:rFonts w:ascii="Times New Roman" w:hAnsi="Times New Roman" w:cs="Times New Roman"/>
          <w:bCs/>
          <w:spacing w:val="4"/>
          <w:sz w:val="21"/>
          <w:szCs w:val="21"/>
          <w:vertAlign w:val="superscript"/>
        </w:rPr>
        <w:t>2</w:t>
      </w:r>
      <w:r>
        <w:rPr>
          <w:rFonts w:ascii="Times New Roman" w:hAnsi="Times New Roman" w:cs="Times New Roman"/>
          <w:bCs/>
          <w:spacing w:val="4"/>
          <w:sz w:val="21"/>
          <w:szCs w:val="21"/>
        </w:rPr>
        <w:t>的小流域，无长系列流量实测资料，采用推理公式法计算设计洪峰流量时，应符合下列规定：</w:t>
      </w:r>
    </w:p>
    <w:p w14:paraId="22E09A1F">
      <w:pPr>
        <w:spacing w:line="360" w:lineRule="auto"/>
        <w:ind w:firstLine="438" w:firstLineChars="200"/>
        <w:jc w:val="left"/>
        <w:rPr>
          <w:rFonts w:ascii="Times New Roman" w:hAnsi="Times New Roman" w:cs="Times New Roman"/>
          <w:bCs/>
          <w:spacing w:val="4"/>
          <w:sz w:val="21"/>
          <w:szCs w:val="21"/>
        </w:rPr>
      </w:pPr>
      <w:r>
        <w:rPr>
          <w:rFonts w:ascii="Times New Roman" w:hAnsi="Times New Roman" w:cs="Times New Roman"/>
          <w:b/>
          <w:bCs/>
          <w:spacing w:val="4"/>
          <w:sz w:val="21"/>
          <w:szCs w:val="21"/>
        </w:rPr>
        <w:t>1</w:t>
      </w:r>
      <w:r>
        <w:rPr>
          <w:rFonts w:ascii="Times New Roman" w:hAnsi="Times New Roman" w:cs="Times New Roman"/>
          <w:bCs/>
          <w:spacing w:val="4"/>
          <w:sz w:val="21"/>
          <w:szCs w:val="21"/>
        </w:rPr>
        <w:t xml:space="preserve">  计算设计洪峰流量，应按下列公式：</w:t>
      </w:r>
    </w:p>
    <w:p w14:paraId="7380E6BB">
      <w:pPr>
        <w:spacing w:line="360" w:lineRule="auto"/>
        <w:ind w:firstLine="1080"/>
        <w:jc w:val="right"/>
        <w:rPr>
          <w:rFonts w:ascii="Times New Roman" w:hAnsi="Times New Roman" w:cs="Times New Roman"/>
          <w:sz w:val="21"/>
        </w:rPr>
      </w:pPr>
      <w:r>
        <w:rPr>
          <w:rFonts w:ascii="Times New Roman" w:hAnsi="Times New Roman" w:cs="Times New Roman"/>
          <w:sz w:val="21"/>
        </w:rPr>
        <w:drawing>
          <wp:inline distT="0" distB="0" distL="114300" distR="114300">
            <wp:extent cx="1424940" cy="480060"/>
            <wp:effectExtent l="0" t="0" r="0" b="6985"/>
            <wp:docPr id="129" name="图片 12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图片1"/>
                    <pic:cNvPicPr>
                      <a:picLocks noChangeAspect="1"/>
                    </pic:cNvPicPr>
                  </pic:nvPicPr>
                  <pic:blipFill>
                    <a:blip r:embed="rId129"/>
                    <a:stretch>
                      <a:fillRect/>
                    </a:stretch>
                  </pic:blipFill>
                  <pic:spPr>
                    <a:xfrm>
                      <a:off x="0" y="0"/>
                      <a:ext cx="1424940" cy="480060"/>
                    </a:xfrm>
                    <a:prstGeom prst="rect">
                      <a:avLst/>
                    </a:prstGeom>
                  </pic:spPr>
                </pic:pic>
              </a:graphicData>
            </a:graphic>
          </wp:inline>
        </w:drawing>
      </w:r>
      <w:r>
        <w:rPr>
          <w:rFonts w:ascii="Times New Roman" w:hAnsi="Times New Roman" w:cs="Times New Roman"/>
          <w:sz w:val="21"/>
        </w:rPr>
        <w:t xml:space="preserve">  </w:t>
      </w:r>
      <w:r>
        <w:rPr>
          <w:rFonts w:ascii="Times New Roman" w:hAnsi="Times New Roman" w:cs="Times New Roman"/>
          <w:sz w:val="21"/>
          <w:szCs w:val="21"/>
        </w:rPr>
        <w:t>（全面汇流，</w:t>
      </w:r>
      <w:r>
        <w:rPr>
          <w:rFonts w:ascii="Times New Roman" w:hAnsi="Times New Roman" w:cs="Times New Roman"/>
          <w:b/>
          <w:position w:val="-12"/>
          <w:sz w:val="21"/>
          <w:szCs w:val="21"/>
        </w:rPr>
        <w:drawing>
          <wp:inline distT="0" distB="0" distL="114300" distR="114300">
            <wp:extent cx="351155" cy="226695"/>
            <wp:effectExtent l="0" t="0" r="14605" b="1905"/>
            <wp:docPr id="130"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01"/>
                    <pic:cNvPicPr>
                      <a:picLocks noChangeAspect="1"/>
                    </pic:cNvPicPr>
                  </pic:nvPicPr>
                  <pic:blipFill>
                    <a:blip r:embed="rId130"/>
                    <a:stretch>
                      <a:fillRect/>
                    </a:stretch>
                  </pic:blipFill>
                  <pic:spPr>
                    <a:xfrm>
                      <a:off x="0" y="0"/>
                      <a:ext cx="351155" cy="226695"/>
                    </a:xfrm>
                    <a:prstGeom prst="rect">
                      <a:avLst/>
                    </a:prstGeom>
                    <a:noFill/>
                    <a:ln>
                      <a:noFill/>
                    </a:ln>
                  </pic:spPr>
                </pic:pic>
              </a:graphicData>
            </a:graphic>
          </wp:inline>
        </w:drawing>
      </w:r>
      <w:r>
        <w:rPr>
          <w:rFonts w:ascii="Times New Roman" w:hAnsi="Times New Roman" w:cs="Times New Roman"/>
          <w:sz w:val="21"/>
          <w:szCs w:val="21"/>
        </w:rPr>
        <w:t>）   （A.2.2-1）</w:t>
      </w:r>
    </w:p>
    <w:p w14:paraId="37D47844">
      <w:pPr>
        <w:spacing w:line="360" w:lineRule="auto"/>
        <w:ind w:firstLine="1080"/>
        <w:jc w:val="right"/>
        <w:rPr>
          <w:rFonts w:ascii="Times New Roman" w:hAnsi="Times New Roman" w:cs="Times New Roman"/>
          <w:sz w:val="21"/>
        </w:rPr>
      </w:pPr>
      <w:r>
        <w:rPr>
          <w:rFonts w:ascii="Times New Roman" w:hAnsi="Times New Roman" w:cs="Times New Roman"/>
          <w:sz w:val="21"/>
        </w:rPr>
        <w:drawing>
          <wp:inline distT="0" distB="0" distL="114300" distR="114300">
            <wp:extent cx="1714500" cy="510540"/>
            <wp:effectExtent l="0" t="0" r="7620" b="6985"/>
            <wp:docPr id="131" name="图片 131"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图片2"/>
                    <pic:cNvPicPr>
                      <a:picLocks noChangeAspect="1"/>
                    </pic:cNvPicPr>
                  </pic:nvPicPr>
                  <pic:blipFill>
                    <a:blip r:embed="rId131"/>
                    <a:stretch>
                      <a:fillRect/>
                    </a:stretch>
                  </pic:blipFill>
                  <pic:spPr>
                    <a:xfrm>
                      <a:off x="0" y="0"/>
                      <a:ext cx="1714500" cy="510540"/>
                    </a:xfrm>
                    <a:prstGeom prst="rect">
                      <a:avLst/>
                    </a:prstGeom>
                  </pic:spPr>
                </pic:pic>
              </a:graphicData>
            </a:graphic>
          </wp:inline>
        </w:drawing>
      </w:r>
      <w:r>
        <w:rPr>
          <w:rFonts w:ascii="Times New Roman" w:hAnsi="Times New Roman" w:cs="Times New Roman"/>
          <w:sz w:val="21"/>
        </w:rPr>
        <w:drawing>
          <wp:anchor distT="0" distB="0" distL="114300" distR="114300" simplePos="0" relativeHeight="251681792" behindDoc="0" locked="0" layoutInCell="1" allowOverlap="1">
            <wp:simplePos x="0" y="0"/>
            <wp:positionH relativeFrom="column">
              <wp:posOffset>1497965</wp:posOffset>
            </wp:positionH>
            <wp:positionV relativeFrom="paragraph">
              <wp:posOffset>375285</wp:posOffset>
            </wp:positionV>
            <wp:extent cx="464185" cy="339725"/>
            <wp:effectExtent l="0" t="0" r="0" b="0"/>
            <wp:wrapNone/>
            <wp:docPr id="17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25"/>
                    <pic:cNvPicPr>
                      <a:picLocks noChangeAspect="1"/>
                    </pic:cNvPicPr>
                  </pic:nvPicPr>
                  <pic:blipFill>
                    <a:blip r:embed="rId132"/>
                    <a:stretch>
                      <a:fillRect/>
                    </a:stretch>
                  </pic:blipFill>
                  <pic:spPr>
                    <a:xfrm>
                      <a:off x="0" y="0"/>
                      <a:ext cx="464185" cy="339725"/>
                    </a:xfrm>
                    <a:prstGeom prst="rect">
                      <a:avLst/>
                    </a:prstGeom>
                    <a:noFill/>
                    <a:ln>
                      <a:noFill/>
                    </a:ln>
                  </pic:spPr>
                </pic:pic>
              </a:graphicData>
            </a:graphic>
          </wp:anchor>
        </w:drawing>
      </w:r>
      <w:r>
        <w:rPr>
          <w:rFonts w:ascii="Times New Roman" w:hAnsi="Times New Roman" w:cs="Times New Roman"/>
          <w:sz w:val="21"/>
        </w:rPr>
        <w:drawing>
          <wp:anchor distT="0" distB="0" distL="114300" distR="114300" simplePos="0" relativeHeight="251680768" behindDoc="0" locked="0" layoutInCell="1" allowOverlap="1">
            <wp:simplePos x="0" y="0"/>
            <wp:positionH relativeFrom="column">
              <wp:posOffset>1497965</wp:posOffset>
            </wp:positionH>
            <wp:positionV relativeFrom="paragraph">
              <wp:posOffset>1905</wp:posOffset>
            </wp:positionV>
            <wp:extent cx="1080135" cy="323215"/>
            <wp:effectExtent l="0" t="0" r="0" b="0"/>
            <wp:wrapNone/>
            <wp:docPr id="17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27"/>
                    <pic:cNvPicPr>
                      <a:picLocks noChangeAspect="1"/>
                    </pic:cNvPicPr>
                  </pic:nvPicPr>
                  <pic:blipFill>
                    <a:blip r:embed="rId132"/>
                    <a:stretch>
                      <a:fillRect/>
                    </a:stretch>
                  </pic:blipFill>
                  <pic:spPr>
                    <a:xfrm>
                      <a:off x="0" y="0"/>
                      <a:ext cx="1080135" cy="323215"/>
                    </a:xfrm>
                    <a:prstGeom prst="rect">
                      <a:avLst/>
                    </a:prstGeom>
                    <a:noFill/>
                    <a:ln>
                      <a:noFill/>
                    </a:ln>
                  </pic:spPr>
                </pic:pic>
              </a:graphicData>
            </a:graphic>
          </wp:anchor>
        </w:drawing>
      </w:r>
      <w:r>
        <w:rPr>
          <w:rFonts w:ascii="Times New Roman" w:hAnsi="Times New Roman" w:cs="Times New Roman"/>
          <w:sz w:val="21"/>
        </w:rPr>
        <w:t xml:space="preserve">  </w:t>
      </w:r>
      <w:r>
        <w:rPr>
          <w:rFonts w:ascii="Times New Roman" w:hAnsi="Times New Roman" w:cs="Times New Roman"/>
          <w:sz w:val="21"/>
          <w:szCs w:val="21"/>
        </w:rPr>
        <w:t>（部分汇流，</w:t>
      </w:r>
      <w:r>
        <w:rPr>
          <w:rFonts w:ascii="Times New Roman" w:hAnsi="Times New Roman" w:cs="Times New Roman"/>
          <w:b/>
          <w:position w:val="-12"/>
          <w:sz w:val="21"/>
          <w:szCs w:val="21"/>
        </w:rPr>
        <w:drawing>
          <wp:inline distT="0" distB="0" distL="114300" distR="114300">
            <wp:extent cx="351155" cy="226695"/>
            <wp:effectExtent l="0" t="0" r="14605" b="1270"/>
            <wp:docPr id="134"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02"/>
                    <pic:cNvPicPr>
                      <a:picLocks noChangeAspect="1"/>
                    </pic:cNvPicPr>
                  </pic:nvPicPr>
                  <pic:blipFill>
                    <a:blip r:embed="rId133"/>
                    <a:stretch>
                      <a:fillRect/>
                    </a:stretch>
                  </pic:blipFill>
                  <pic:spPr>
                    <a:xfrm>
                      <a:off x="0" y="0"/>
                      <a:ext cx="351155" cy="226695"/>
                    </a:xfrm>
                    <a:prstGeom prst="rect">
                      <a:avLst/>
                    </a:prstGeom>
                    <a:noFill/>
                    <a:ln>
                      <a:noFill/>
                    </a:ln>
                  </pic:spPr>
                </pic:pic>
              </a:graphicData>
            </a:graphic>
          </wp:inline>
        </w:drawing>
      </w:r>
      <w:r>
        <w:rPr>
          <w:rFonts w:ascii="Times New Roman" w:hAnsi="Times New Roman" w:cs="Times New Roman"/>
          <w:sz w:val="21"/>
          <w:szCs w:val="21"/>
        </w:rPr>
        <w:t>）  （A.2.2-2）</w:t>
      </w:r>
    </w:p>
    <w:p w14:paraId="0CF8D137">
      <w:pPr>
        <w:spacing w:line="360" w:lineRule="auto"/>
        <w:ind w:right="-58"/>
        <w:jc w:val="right"/>
        <w:rPr>
          <w:rFonts w:ascii="Times New Roman" w:hAnsi="Times New Roman" w:cs="Times New Roman"/>
          <w:sz w:val="21"/>
          <w:szCs w:val="21"/>
        </w:rPr>
      </w:pPr>
      <w:r>
        <w:rPr>
          <w:rFonts w:ascii="Times New Roman" w:hAnsi="Times New Roman" w:cs="Times New Roman"/>
          <w:sz w:val="21"/>
        </w:rPr>
        <w:drawing>
          <wp:inline distT="0" distB="0" distL="114300" distR="114300">
            <wp:extent cx="739140" cy="533400"/>
            <wp:effectExtent l="0" t="0" r="7620" b="0"/>
            <wp:docPr id="135" name="图片 135"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图片3"/>
                    <pic:cNvPicPr>
                      <a:picLocks noChangeAspect="1"/>
                    </pic:cNvPicPr>
                  </pic:nvPicPr>
                  <pic:blipFill>
                    <a:blip r:embed="rId134"/>
                    <a:stretch>
                      <a:fillRect/>
                    </a:stretch>
                  </pic:blipFill>
                  <pic:spPr>
                    <a:xfrm>
                      <a:off x="0" y="0"/>
                      <a:ext cx="739140" cy="533400"/>
                    </a:xfrm>
                    <a:prstGeom prst="rect">
                      <a:avLst/>
                    </a:prstGeom>
                  </pic:spPr>
                </pic:pic>
              </a:graphicData>
            </a:graphic>
          </wp:inline>
        </w:drawing>
      </w:r>
      <w:r>
        <w:rPr>
          <w:rFonts w:ascii="Times New Roman" w:hAnsi="Times New Roman" w:cs="Times New Roman"/>
          <w:sz w:val="21"/>
        </w:rPr>
        <w:t xml:space="preserve">                                      </w:t>
      </w:r>
      <w:r>
        <w:rPr>
          <w:rFonts w:ascii="Times New Roman" w:hAnsi="Times New Roman" w:cs="Times New Roman"/>
          <w:sz w:val="21"/>
          <w:szCs w:val="21"/>
        </w:rPr>
        <w:t>（A.2.2-3）</w:t>
      </w:r>
    </w:p>
    <w:p w14:paraId="2334451B">
      <w:pPr>
        <w:spacing w:line="360" w:lineRule="auto"/>
        <w:ind w:firstLine="926" w:firstLineChars="441"/>
        <w:jc w:val="right"/>
        <w:rPr>
          <w:rFonts w:ascii="Times New Roman" w:hAnsi="Times New Roman" w:cs="Times New Roman"/>
          <w:sz w:val="21"/>
          <w:szCs w:val="21"/>
        </w:rPr>
      </w:pPr>
    </w:p>
    <w:p w14:paraId="758E956F">
      <w:pPr>
        <w:spacing w:line="360" w:lineRule="auto"/>
        <w:ind w:right="-58"/>
        <w:jc w:val="right"/>
        <w:rPr>
          <w:rFonts w:ascii="Times New Roman" w:hAnsi="Times New Roman" w:cs="Times New Roman"/>
          <w:sz w:val="21"/>
        </w:rPr>
      </w:pPr>
      <w:r>
        <w:rPr>
          <w:rFonts w:ascii="Times New Roman" w:hAnsi="Times New Roman" w:cs="Times New Roman"/>
          <w:sz w:val="21"/>
        </w:rPr>
        <w:drawing>
          <wp:inline distT="0" distB="0" distL="114300" distR="114300">
            <wp:extent cx="1127760" cy="510540"/>
            <wp:effectExtent l="0" t="0" r="0" b="6985"/>
            <wp:docPr id="174" name="图片 17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descr="图片4"/>
                    <pic:cNvPicPr>
                      <a:picLocks noChangeAspect="1"/>
                    </pic:cNvPicPr>
                  </pic:nvPicPr>
                  <pic:blipFill>
                    <a:blip r:embed="rId135"/>
                    <a:stretch>
                      <a:fillRect/>
                    </a:stretch>
                  </pic:blipFill>
                  <pic:spPr>
                    <a:xfrm>
                      <a:off x="0" y="0"/>
                      <a:ext cx="1127760" cy="510540"/>
                    </a:xfrm>
                    <a:prstGeom prst="rect">
                      <a:avLst/>
                    </a:prstGeom>
                  </pic:spPr>
                </pic:pic>
              </a:graphicData>
            </a:graphic>
          </wp:inline>
        </w:drawing>
      </w:r>
      <w:r>
        <w:rPr>
          <w:rFonts w:ascii="Times New Roman" w:hAnsi="Times New Roman" w:cs="Times New Roman"/>
          <w:sz w:val="21"/>
        </w:rPr>
        <w:t xml:space="preserve">                              </w:t>
      </w:r>
      <w:r>
        <w:rPr>
          <w:rFonts w:ascii="Times New Roman" w:hAnsi="Times New Roman" w:cs="Times New Roman"/>
          <w:sz w:val="21"/>
          <w:szCs w:val="21"/>
        </w:rPr>
        <w:t>（A.2.2-4）</w:t>
      </w:r>
    </w:p>
    <w:p w14:paraId="7518DF19">
      <w:pPr>
        <w:spacing w:line="360" w:lineRule="auto"/>
        <w:ind w:left="619" w:hanging="619" w:hangingChars="295"/>
        <w:jc w:val="left"/>
        <w:rPr>
          <w:rFonts w:ascii="Times New Roman" w:hAnsi="Times New Roman" w:cs="Times New Roman"/>
          <w:sz w:val="21"/>
          <w:szCs w:val="21"/>
        </w:rPr>
      </w:pPr>
      <w:r>
        <w:rPr>
          <w:rFonts w:ascii="Times New Roman" w:hAnsi="Times New Roman" w:cs="Times New Roman"/>
          <w:position w:val="-12"/>
          <w:sz w:val="21"/>
          <w:szCs w:val="21"/>
        </w:rPr>
        <w:t>式中：</w:t>
      </w:r>
      <w:r>
        <w:rPr>
          <w:rFonts w:ascii="Times New Roman" w:hAnsi="Times New Roman" w:cs="Times New Roman"/>
          <w:i/>
          <w:position w:val="-12"/>
          <w:sz w:val="21"/>
          <w:szCs w:val="21"/>
        </w:rPr>
        <w:t>Q</w:t>
      </w:r>
      <w:r>
        <w:rPr>
          <w:rFonts w:ascii="Times New Roman" w:hAnsi="Times New Roman" w:cs="Times New Roman"/>
          <w:i/>
          <w:position w:val="-12"/>
          <w:sz w:val="21"/>
          <w:szCs w:val="21"/>
          <w:vertAlign w:val="subscript"/>
        </w:rPr>
        <w:t>m</w:t>
      </w:r>
      <w:r>
        <w:rPr>
          <w:rFonts w:ascii="Times New Roman" w:hAnsi="Times New Roman" w:cs="Times New Roman"/>
          <w:i/>
          <w:position w:val="-12"/>
          <w:sz w:val="21"/>
          <w:szCs w:val="21"/>
        </w:rPr>
        <w:t>——</w:t>
      </w:r>
      <w:r>
        <w:rPr>
          <w:rFonts w:ascii="Times New Roman" w:hAnsi="Times New Roman" w:cs="Times New Roman"/>
          <w:position w:val="-12"/>
          <w:sz w:val="21"/>
          <w:szCs w:val="21"/>
        </w:rPr>
        <w:t>设计洪峰流量（m</w:t>
      </w:r>
      <w:r>
        <w:rPr>
          <w:rFonts w:ascii="Times New Roman" w:hAnsi="Times New Roman" w:cs="Times New Roman"/>
          <w:position w:val="-12"/>
          <w:sz w:val="21"/>
          <w:szCs w:val="21"/>
          <w:vertAlign w:val="superscript"/>
        </w:rPr>
        <w:t>3</w:t>
      </w:r>
      <w:r>
        <w:rPr>
          <w:rFonts w:ascii="Times New Roman" w:hAnsi="Times New Roman" w:cs="Times New Roman"/>
          <w:position w:val="-12"/>
          <w:sz w:val="21"/>
          <w:szCs w:val="21"/>
        </w:rPr>
        <w:t>/s）；</w:t>
      </w:r>
    </w:p>
    <w:p w14:paraId="51862305">
      <w:pPr>
        <w:spacing w:line="360" w:lineRule="auto"/>
        <w:ind w:firstLine="630" w:firstLineChars="300"/>
        <w:jc w:val="left"/>
        <w:rPr>
          <w:rFonts w:ascii="Times New Roman" w:hAnsi="Times New Roman" w:cs="Times New Roman"/>
          <w:sz w:val="21"/>
          <w:szCs w:val="21"/>
        </w:rPr>
      </w:pPr>
      <w:r>
        <w:rPr>
          <w:rFonts w:ascii="Times New Roman" w:hAnsi="Times New Roman" w:cs="Times New Roman"/>
          <w:i/>
          <w:sz w:val="21"/>
          <w:szCs w:val="21"/>
        </w:rPr>
        <w:t>F</w:t>
      </w:r>
      <w:r>
        <w:rPr>
          <w:rFonts w:ascii="Times New Roman" w:hAnsi="Times New Roman" w:cs="Times New Roman"/>
          <w:sz w:val="21"/>
          <w:szCs w:val="21"/>
        </w:rPr>
        <w:t>——汇水面积（km</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7CA3316B">
      <w:pPr>
        <w:tabs>
          <w:tab w:val="left" w:pos="1450"/>
        </w:tabs>
        <w:spacing w:line="360" w:lineRule="auto"/>
        <w:ind w:firstLine="630" w:firstLineChars="300"/>
        <w:jc w:val="left"/>
        <w:rPr>
          <w:rFonts w:ascii="Times New Roman" w:hAnsi="Times New Roman" w:cs="Times New Roman"/>
          <w:i/>
          <w:sz w:val="21"/>
          <w:szCs w:val="21"/>
        </w:rPr>
      </w:pPr>
      <w:r>
        <w:rPr>
          <w:rFonts w:ascii="Times New Roman" w:hAnsi="Times New Roman" w:cs="Times New Roman"/>
          <w:i/>
          <w:sz w:val="21"/>
          <w:szCs w:val="21"/>
        </w:rPr>
        <w:t>S</w:t>
      </w:r>
      <w:r>
        <w:rPr>
          <w:rFonts w:ascii="Times New Roman" w:hAnsi="Times New Roman" w:cs="Times New Roman"/>
          <w:i/>
          <w:sz w:val="21"/>
          <w:szCs w:val="21"/>
          <w:vertAlign w:val="subscript"/>
        </w:rPr>
        <w:t>p</w:t>
      </w:r>
      <w:r>
        <w:rPr>
          <w:rFonts w:ascii="Times New Roman" w:hAnsi="Times New Roman" w:cs="Times New Roman"/>
          <w:i/>
          <w:sz w:val="21"/>
          <w:szCs w:val="21"/>
        </w:rPr>
        <w:t>——</w:t>
      </w:r>
      <w:r>
        <w:rPr>
          <w:rFonts w:ascii="Times New Roman" w:hAnsi="Times New Roman" w:cs="Times New Roman"/>
          <w:sz w:val="21"/>
          <w:szCs w:val="21"/>
        </w:rPr>
        <w:t>设计雨力，即重现期（频率）为</w:t>
      </w:r>
      <w:r>
        <w:rPr>
          <w:rFonts w:ascii="Times New Roman" w:hAnsi="Times New Roman" w:cs="Times New Roman"/>
          <w:i/>
          <w:sz w:val="21"/>
          <w:szCs w:val="21"/>
        </w:rPr>
        <w:t>p</w:t>
      </w:r>
      <w:r>
        <w:rPr>
          <w:rFonts w:ascii="Times New Roman" w:hAnsi="Times New Roman" w:cs="Times New Roman"/>
          <w:sz w:val="21"/>
          <w:szCs w:val="21"/>
        </w:rPr>
        <w:t>的最大1h降雨强度（mm/h）；</w:t>
      </w:r>
    </w:p>
    <w:p w14:paraId="3792728D">
      <w:pPr>
        <w:tabs>
          <w:tab w:val="left" w:pos="1450"/>
        </w:tabs>
        <w:spacing w:line="360" w:lineRule="auto"/>
        <w:ind w:left="790" w:leftChars="221" w:hanging="171" w:hangingChars="81"/>
        <w:jc w:val="left"/>
        <w:rPr>
          <w:rFonts w:ascii="Times New Roman" w:hAnsi="Times New Roman" w:cs="Times New Roman"/>
          <w:sz w:val="21"/>
          <w:szCs w:val="21"/>
        </w:rPr>
      </w:pPr>
      <w:r>
        <w:rPr>
          <w:rFonts w:ascii="Times New Roman" w:hAnsi="Times New Roman" w:cs="Times New Roman"/>
          <w:b/>
          <w:sz w:val="21"/>
          <w:szCs w:val="21"/>
        </w:rPr>
        <w:drawing>
          <wp:inline distT="0" distB="0" distL="114300" distR="114300">
            <wp:extent cx="116840" cy="131445"/>
            <wp:effectExtent l="0" t="0" r="5080" b="4445"/>
            <wp:docPr id="17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85"/>
                    <pic:cNvPicPr>
                      <a:picLocks noChangeAspect="1"/>
                    </pic:cNvPicPr>
                  </pic:nvPicPr>
                  <pic:blipFill>
                    <a:blip r:embed="rId136"/>
                    <a:stretch>
                      <a:fillRect/>
                    </a:stretch>
                  </pic:blipFill>
                  <pic:spPr>
                    <a:xfrm>
                      <a:off x="0" y="0"/>
                      <a:ext cx="116840" cy="131445"/>
                    </a:xfrm>
                    <a:prstGeom prst="rect">
                      <a:avLst/>
                    </a:prstGeom>
                    <a:noFill/>
                    <a:ln>
                      <a:noFill/>
                    </a:ln>
                  </pic:spPr>
                </pic:pic>
              </a:graphicData>
            </a:graphic>
          </wp:inline>
        </w:drawing>
      </w:r>
      <w:r>
        <w:rPr>
          <w:rFonts w:ascii="Times New Roman" w:hAnsi="Times New Roman" w:cs="Times New Roman"/>
          <w:sz w:val="21"/>
          <w:szCs w:val="21"/>
        </w:rPr>
        <w:t>——流域汇流历时（h）；</w:t>
      </w:r>
    </w:p>
    <w:p w14:paraId="1B10F767">
      <w:pPr>
        <w:tabs>
          <w:tab w:val="left" w:pos="1450"/>
        </w:tabs>
        <w:spacing w:line="360" w:lineRule="auto"/>
        <w:ind w:left="787" w:leftChars="242" w:hanging="109" w:hangingChars="52"/>
        <w:jc w:val="left"/>
        <w:rPr>
          <w:rFonts w:ascii="Times New Roman" w:hAnsi="Times New Roman" w:cs="Times New Roman"/>
          <w:sz w:val="21"/>
          <w:szCs w:val="21"/>
        </w:rPr>
      </w:pPr>
      <w:r>
        <w:rPr>
          <w:rFonts w:ascii="Times New Roman" w:hAnsi="Times New Roman" w:cs="Times New Roman"/>
          <w:i/>
          <w:sz w:val="21"/>
          <w:szCs w:val="21"/>
        </w:rPr>
        <w:t>t</w:t>
      </w:r>
      <w:r>
        <w:rPr>
          <w:rFonts w:ascii="Times New Roman" w:hAnsi="Times New Roman" w:cs="Times New Roman"/>
          <w:i/>
          <w:sz w:val="21"/>
          <w:szCs w:val="21"/>
          <w:vertAlign w:val="subscript"/>
        </w:rPr>
        <w:t>c</w:t>
      </w:r>
      <w:r>
        <w:rPr>
          <w:rFonts w:ascii="Times New Roman" w:hAnsi="Times New Roman" w:cs="Times New Roman"/>
          <w:sz w:val="21"/>
          <w:szCs w:val="21"/>
        </w:rPr>
        <w:t>——净雨历时或称产流历时（h）；</w:t>
      </w:r>
    </w:p>
    <w:p w14:paraId="70421395">
      <w:pPr>
        <w:tabs>
          <w:tab w:val="left" w:pos="1450"/>
        </w:tabs>
        <w:spacing w:line="360" w:lineRule="auto"/>
        <w:ind w:left="788" w:leftChars="235" w:hanging="130" w:hangingChars="60"/>
        <w:jc w:val="left"/>
        <w:rPr>
          <w:rFonts w:ascii="Times New Roman" w:hAnsi="Times New Roman" w:cs="Times New Roman"/>
          <w:sz w:val="21"/>
          <w:szCs w:val="21"/>
        </w:rPr>
      </w:pPr>
      <w:r>
        <w:rPr>
          <w:rFonts w:ascii="Times New Roman" w:hAnsi="Times New Roman" w:cs="Times New Roman"/>
          <w:bCs/>
          <w:i/>
          <w:spacing w:val="4"/>
          <w:sz w:val="21"/>
          <w:szCs w:val="21"/>
        </w:rPr>
        <w:t>μ</w:t>
      </w:r>
      <w:r>
        <w:rPr>
          <w:rFonts w:ascii="Times New Roman" w:hAnsi="Times New Roman" w:cs="Times New Roman"/>
          <w:sz w:val="21"/>
          <w:szCs w:val="21"/>
        </w:rPr>
        <w:t>——损失参数，即平均稳定入渗率（mm/h）；</w:t>
      </w:r>
    </w:p>
    <w:p w14:paraId="5B2E8122">
      <w:pPr>
        <w:tabs>
          <w:tab w:val="left" w:pos="1450"/>
        </w:tabs>
        <w:spacing w:line="360" w:lineRule="auto"/>
        <w:ind w:left="788" w:leftChars="228" w:hanging="150" w:hangingChars="69"/>
        <w:jc w:val="left"/>
        <w:rPr>
          <w:rFonts w:ascii="Times New Roman" w:hAnsi="Times New Roman" w:cs="Times New Roman"/>
          <w:sz w:val="21"/>
          <w:szCs w:val="21"/>
        </w:rPr>
      </w:pPr>
      <w:r>
        <w:rPr>
          <w:rFonts w:ascii="Times New Roman" w:hAnsi="Times New Roman" w:cs="Times New Roman"/>
          <w:bCs/>
          <w:i/>
          <w:spacing w:val="4"/>
          <w:sz w:val="21"/>
          <w:szCs w:val="21"/>
        </w:rPr>
        <w:t>n</w:t>
      </w:r>
      <w:r>
        <w:rPr>
          <w:rFonts w:ascii="Times New Roman" w:hAnsi="Times New Roman" w:cs="Times New Roman"/>
          <w:sz w:val="21"/>
          <w:szCs w:val="21"/>
        </w:rPr>
        <w:t>——暴雨衰减指数，反映暴雨在时程分配上的集中（或分散）程度指标；</w:t>
      </w:r>
    </w:p>
    <w:p w14:paraId="34047D89">
      <w:pPr>
        <w:tabs>
          <w:tab w:val="left" w:pos="1450"/>
        </w:tabs>
        <w:spacing w:line="360" w:lineRule="auto"/>
        <w:ind w:left="788" w:leftChars="228" w:hanging="150" w:hangingChars="69"/>
        <w:jc w:val="left"/>
        <w:rPr>
          <w:rFonts w:ascii="Times New Roman" w:hAnsi="Times New Roman" w:cs="Times New Roman"/>
          <w:sz w:val="21"/>
          <w:szCs w:val="21"/>
        </w:rPr>
      </w:pPr>
      <w:r>
        <w:rPr>
          <w:rFonts w:ascii="Times New Roman" w:hAnsi="Times New Roman" w:cs="Times New Roman"/>
          <w:bCs/>
          <w:i/>
          <w:spacing w:val="4"/>
          <w:sz w:val="21"/>
          <w:szCs w:val="21"/>
        </w:rPr>
        <w:t>m</w:t>
      </w:r>
      <w:r>
        <w:rPr>
          <w:rFonts w:ascii="Times New Roman" w:hAnsi="Times New Roman" w:cs="Times New Roman"/>
          <w:sz w:val="21"/>
          <w:szCs w:val="21"/>
        </w:rPr>
        <w:t>——汇流参数，在一定概化条件下，通过本地区实测暴雨洪水资料综合分析得出；</w:t>
      </w:r>
    </w:p>
    <w:p w14:paraId="59BA33B5">
      <w:pPr>
        <w:spacing w:line="360" w:lineRule="auto"/>
        <w:ind w:left="711" w:leftChars="221" w:hanging="92" w:hangingChars="44"/>
        <w:jc w:val="left"/>
        <w:rPr>
          <w:rFonts w:ascii="Times New Roman" w:hAnsi="Times New Roman" w:cs="Times New Roman"/>
          <w:sz w:val="21"/>
          <w:szCs w:val="21"/>
        </w:rPr>
      </w:pPr>
      <w:r>
        <w:rPr>
          <w:rFonts w:ascii="Times New Roman" w:hAnsi="Times New Roman" w:cs="Times New Roman"/>
          <w:i/>
          <w:sz w:val="21"/>
          <w:szCs w:val="21"/>
        </w:rPr>
        <w:t>L</w:t>
      </w:r>
      <w:r>
        <w:rPr>
          <w:rFonts w:ascii="Times New Roman" w:hAnsi="Times New Roman" w:cs="Times New Roman"/>
          <w:sz w:val="21"/>
          <w:szCs w:val="21"/>
        </w:rPr>
        <w:t>——河长，即沿主河道从出口断面至分水岭的最长距离（km）；</w:t>
      </w:r>
    </w:p>
    <w:p w14:paraId="613D1B68">
      <w:pPr>
        <w:tabs>
          <w:tab w:val="left" w:pos="1450"/>
        </w:tabs>
        <w:spacing w:line="360" w:lineRule="auto"/>
        <w:ind w:firstLine="619" w:firstLineChars="295"/>
        <w:jc w:val="left"/>
        <w:rPr>
          <w:rFonts w:ascii="Times New Roman" w:hAnsi="Times New Roman" w:cs="Times New Roman"/>
          <w:sz w:val="21"/>
          <w:szCs w:val="21"/>
        </w:rPr>
      </w:pPr>
      <w:r>
        <w:rPr>
          <w:rFonts w:ascii="Times New Roman" w:hAnsi="Times New Roman" w:cs="Times New Roman"/>
          <w:i/>
          <w:sz w:val="21"/>
          <w:szCs w:val="21"/>
        </w:rPr>
        <w:t>J</w:t>
      </w:r>
      <w:r>
        <w:rPr>
          <w:rFonts w:ascii="Times New Roman" w:hAnsi="Times New Roman" w:cs="Times New Roman"/>
          <w:sz w:val="21"/>
          <w:szCs w:val="21"/>
        </w:rPr>
        <w:t>——沿河长（流程）</w:t>
      </w:r>
      <w:r>
        <w:rPr>
          <w:rFonts w:ascii="Times New Roman" w:hAnsi="Times New Roman" w:cs="Times New Roman"/>
          <w:i/>
          <w:sz w:val="21"/>
          <w:szCs w:val="21"/>
        </w:rPr>
        <w:t>L</w:t>
      </w:r>
      <w:r>
        <w:rPr>
          <w:rFonts w:ascii="Times New Roman" w:hAnsi="Times New Roman" w:cs="Times New Roman"/>
          <w:sz w:val="21"/>
          <w:szCs w:val="21"/>
        </w:rPr>
        <w:t>的平均比降，以小数计。</w:t>
      </w:r>
    </w:p>
    <w:p w14:paraId="55D8491F">
      <w:pPr>
        <w:spacing w:line="360" w:lineRule="auto"/>
        <w:ind w:firstLine="438" w:firstLineChars="200"/>
        <w:rPr>
          <w:rFonts w:ascii="Times New Roman" w:hAnsi="Times New Roman" w:eastAsia="黑体" w:cs="Times New Roman"/>
          <w:sz w:val="21"/>
          <w:szCs w:val="21"/>
        </w:rPr>
      </w:pPr>
      <w:r>
        <w:rPr>
          <w:rFonts w:ascii="Times New Roman" w:hAnsi="Times New Roman" w:cs="Times New Roman"/>
          <w:b/>
          <w:bCs/>
          <w:spacing w:val="4"/>
          <w:sz w:val="21"/>
          <w:szCs w:val="21"/>
        </w:rPr>
        <w:t>2</w:t>
      </w:r>
      <w:r>
        <w:rPr>
          <w:rFonts w:ascii="Times New Roman" w:hAnsi="Times New Roman" w:cs="Times New Roman"/>
          <w:bCs/>
          <w:spacing w:val="4"/>
          <w:sz w:val="21"/>
          <w:szCs w:val="21"/>
        </w:rPr>
        <w:t xml:space="preserve">  </w:t>
      </w:r>
      <w:r>
        <w:rPr>
          <w:rFonts w:ascii="Times New Roman" w:hAnsi="Times New Roman" w:cs="Times New Roman"/>
          <w:bCs/>
          <w:i/>
          <w:spacing w:val="4"/>
          <w:sz w:val="21"/>
          <w:szCs w:val="21"/>
        </w:rPr>
        <w:t>m、n、μ</w:t>
      </w:r>
      <w:r>
        <w:rPr>
          <w:rFonts w:ascii="Times New Roman" w:hAnsi="Times New Roman" w:cs="Times New Roman"/>
          <w:bCs/>
          <w:spacing w:val="4"/>
          <w:sz w:val="21"/>
          <w:szCs w:val="21"/>
        </w:rPr>
        <w:t>等可通过实测暴雨洪水资料，经分析综合得出，或查全国和各省(自治区、市)的暴雨洪水查算图表、水文手册等合理选用。对于无条件作地区综合的流域，汇流参数</w:t>
      </w:r>
      <w:r>
        <w:rPr>
          <w:rFonts w:ascii="Times New Roman" w:hAnsi="Times New Roman" w:cs="Times New Roman"/>
          <w:bCs/>
          <w:i/>
          <w:spacing w:val="4"/>
          <w:sz w:val="21"/>
          <w:szCs w:val="21"/>
        </w:rPr>
        <w:t>m</w:t>
      </w:r>
      <w:r>
        <w:rPr>
          <w:rFonts w:ascii="Times New Roman" w:hAnsi="Times New Roman" w:cs="Times New Roman"/>
          <w:bCs/>
          <w:spacing w:val="4"/>
          <w:sz w:val="21"/>
          <w:szCs w:val="21"/>
        </w:rPr>
        <w:t>可按表A.2.2选用。</w:t>
      </w:r>
    </w:p>
    <w:p w14:paraId="6CF856BF">
      <w:pPr>
        <w:ind w:firstLine="357"/>
        <w:jc w:val="center"/>
        <w:rPr>
          <w:rFonts w:ascii="Times New Roman" w:hAnsi="Times New Roman" w:eastAsia="黑体" w:cs="Times New Roman"/>
          <w:sz w:val="18"/>
          <w:szCs w:val="21"/>
        </w:rPr>
      </w:pPr>
      <w:r>
        <w:rPr>
          <w:rFonts w:ascii="Times New Roman" w:hAnsi="Times New Roman" w:eastAsia="黑体" w:cs="Times New Roman"/>
          <w:sz w:val="18"/>
          <w:szCs w:val="21"/>
        </w:rPr>
        <w:t>表A</w:t>
      </w:r>
      <w:r>
        <w:rPr>
          <w:rFonts w:ascii="Times New Roman" w:hAnsi="Times New Roman" w:cs="Times New Roman"/>
          <w:sz w:val="18"/>
          <w:szCs w:val="21"/>
        </w:rPr>
        <w:t>.</w:t>
      </w:r>
      <w:r>
        <w:rPr>
          <w:rFonts w:ascii="Times New Roman" w:hAnsi="Times New Roman" w:eastAsia="黑体" w:cs="Times New Roman"/>
          <w:sz w:val="18"/>
          <w:szCs w:val="21"/>
        </w:rPr>
        <w:t>2</w:t>
      </w:r>
      <w:r>
        <w:rPr>
          <w:rFonts w:ascii="Times New Roman" w:hAnsi="Times New Roman" w:cs="Times New Roman"/>
          <w:sz w:val="18"/>
          <w:szCs w:val="21"/>
        </w:rPr>
        <w:t>.</w:t>
      </w:r>
      <w:r>
        <w:rPr>
          <w:rFonts w:ascii="Times New Roman" w:hAnsi="Times New Roman" w:eastAsia="黑体" w:cs="Times New Roman"/>
          <w:sz w:val="18"/>
          <w:szCs w:val="21"/>
        </w:rPr>
        <w:t>2  汇流参数</w:t>
      </w:r>
      <w:r>
        <w:rPr>
          <w:rFonts w:ascii="Times New Roman" w:hAnsi="Times New Roman" w:eastAsia="黑体" w:cs="Times New Roman"/>
          <w:i/>
          <w:sz w:val="18"/>
          <w:szCs w:val="21"/>
        </w:rPr>
        <w:t>m</w:t>
      </w:r>
      <w:r>
        <w:rPr>
          <w:rFonts w:ascii="Times New Roman" w:hAnsi="Times New Roman" w:eastAsia="黑体" w:cs="Times New Roman"/>
          <w:sz w:val="18"/>
          <w:szCs w:val="21"/>
        </w:rPr>
        <w:t>查用表</w:t>
      </w:r>
    </w:p>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87"/>
        <w:gridCol w:w="3820"/>
        <w:gridCol w:w="937"/>
        <w:gridCol w:w="1030"/>
        <w:gridCol w:w="1030"/>
        <w:gridCol w:w="1032"/>
      </w:tblGrid>
      <w:tr w14:paraId="4F5CB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3" w:hRule="exact"/>
          <w:jc w:val="center"/>
        </w:trPr>
        <w:tc>
          <w:tcPr>
            <w:tcW w:w="292" w:type="pct"/>
            <w:vMerge w:val="restart"/>
            <w:vAlign w:val="center"/>
          </w:tcPr>
          <w:p w14:paraId="4A58CBF1">
            <w:pPr>
              <w:tabs>
                <w:tab w:val="left" w:pos="1080"/>
              </w:tabs>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类别</w:t>
            </w:r>
          </w:p>
        </w:tc>
        <w:tc>
          <w:tcPr>
            <w:tcW w:w="2291" w:type="pct"/>
            <w:vMerge w:val="restart"/>
            <w:vAlign w:val="center"/>
          </w:tcPr>
          <w:p w14:paraId="0ADC67E6">
            <w:pPr>
              <w:tabs>
                <w:tab w:val="left" w:pos="1080"/>
              </w:tabs>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雨洪特性、河道特性、土壤植被条件</w:t>
            </w:r>
          </w:p>
        </w:tc>
        <w:tc>
          <w:tcPr>
            <w:tcW w:w="2417" w:type="pct"/>
            <w:gridSpan w:val="4"/>
            <w:vAlign w:val="center"/>
          </w:tcPr>
          <w:p w14:paraId="3F7FF5DC">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推理公式洪水汇流参数</w:t>
            </w:r>
            <w:r>
              <w:rPr>
                <w:rFonts w:ascii="Times New Roman" w:hAnsi="Times New Roman" w:cs="Times New Roman"/>
                <w:b/>
                <w:position w:val="-6"/>
                <w:sz w:val="15"/>
                <w:szCs w:val="15"/>
              </w:rPr>
              <w:drawing>
                <wp:inline distT="0" distB="0" distL="114300" distR="114300">
                  <wp:extent cx="153670" cy="131445"/>
                  <wp:effectExtent l="0" t="0" r="0" b="0"/>
                  <wp:docPr id="17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4"/>
                          <pic:cNvPicPr>
                            <a:picLocks noChangeAspect="1"/>
                          </pic:cNvPicPr>
                        </pic:nvPicPr>
                        <pic:blipFill>
                          <a:blip r:embed="rId132"/>
                          <a:stretch>
                            <a:fillRect/>
                          </a:stretch>
                        </pic:blipFill>
                        <pic:spPr>
                          <a:xfrm>
                            <a:off x="0" y="0"/>
                            <a:ext cx="153670" cy="131445"/>
                          </a:xfrm>
                          <a:prstGeom prst="rect">
                            <a:avLst/>
                          </a:prstGeom>
                          <a:noFill/>
                          <a:ln>
                            <a:noFill/>
                          </a:ln>
                        </pic:spPr>
                      </pic:pic>
                    </a:graphicData>
                  </a:graphic>
                </wp:inline>
              </w:drawing>
            </w:r>
            <w:r>
              <w:rPr>
                <w:rFonts w:ascii="Times New Roman" w:hAnsi="Times New Roman" w:cs="Times New Roman"/>
                <w:snapToGrid w:val="0"/>
                <w:kern w:val="0"/>
                <w:sz w:val="15"/>
                <w:szCs w:val="15"/>
              </w:rPr>
              <w:t>值（</w:t>
            </w:r>
            <w:r>
              <w:rPr>
                <w:rFonts w:ascii="Times New Roman" w:hAnsi="Times New Roman" w:cs="Times New Roman"/>
                <w:b/>
                <w:position w:val="-20"/>
                <w:sz w:val="15"/>
                <w:szCs w:val="15"/>
              </w:rPr>
              <w:drawing>
                <wp:inline distT="0" distB="0" distL="114300" distR="114300">
                  <wp:extent cx="343535" cy="263525"/>
                  <wp:effectExtent l="0" t="0" r="0" b="11430"/>
                  <wp:docPr id="177"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03"/>
                          <pic:cNvPicPr>
                            <a:picLocks noChangeAspect="1"/>
                          </pic:cNvPicPr>
                        </pic:nvPicPr>
                        <pic:blipFill>
                          <a:blip r:embed="rId137"/>
                          <a:stretch>
                            <a:fillRect/>
                          </a:stretch>
                        </pic:blipFill>
                        <pic:spPr>
                          <a:xfrm>
                            <a:off x="0" y="0"/>
                            <a:ext cx="343535" cy="263525"/>
                          </a:xfrm>
                          <a:prstGeom prst="rect">
                            <a:avLst/>
                          </a:prstGeom>
                          <a:noFill/>
                          <a:ln>
                            <a:noFill/>
                          </a:ln>
                        </pic:spPr>
                      </pic:pic>
                    </a:graphicData>
                  </a:graphic>
                </wp:inline>
              </w:drawing>
            </w:r>
            <w:r>
              <w:rPr>
                <w:rFonts w:ascii="Times New Roman" w:hAnsi="Times New Roman" w:cs="Times New Roman"/>
                <w:snapToGrid w:val="0"/>
                <w:kern w:val="0"/>
                <w:sz w:val="15"/>
                <w:szCs w:val="15"/>
              </w:rPr>
              <w:t>）</w:t>
            </w:r>
          </w:p>
        </w:tc>
      </w:tr>
      <w:tr w14:paraId="3036B6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9" w:hRule="exact"/>
          <w:jc w:val="center"/>
        </w:trPr>
        <w:tc>
          <w:tcPr>
            <w:tcW w:w="292" w:type="pct"/>
            <w:vMerge w:val="continue"/>
            <w:vAlign w:val="center"/>
          </w:tcPr>
          <w:p w14:paraId="043D7EE3">
            <w:pPr>
              <w:jc w:val="left"/>
              <w:rPr>
                <w:rFonts w:ascii="Times New Roman" w:hAnsi="Times New Roman" w:cs="Times New Roman"/>
                <w:snapToGrid w:val="0"/>
                <w:kern w:val="0"/>
                <w:sz w:val="15"/>
                <w:szCs w:val="15"/>
              </w:rPr>
            </w:pPr>
          </w:p>
        </w:tc>
        <w:tc>
          <w:tcPr>
            <w:tcW w:w="2291" w:type="pct"/>
            <w:vMerge w:val="continue"/>
            <w:vAlign w:val="center"/>
          </w:tcPr>
          <w:p w14:paraId="265314DA">
            <w:pPr>
              <w:jc w:val="center"/>
              <w:rPr>
                <w:rFonts w:ascii="Times New Roman" w:hAnsi="Times New Roman" w:cs="Times New Roman"/>
                <w:snapToGrid w:val="0"/>
                <w:kern w:val="0"/>
                <w:sz w:val="15"/>
                <w:szCs w:val="15"/>
              </w:rPr>
            </w:pPr>
          </w:p>
        </w:tc>
        <w:tc>
          <w:tcPr>
            <w:tcW w:w="562" w:type="pct"/>
            <w:vAlign w:val="center"/>
          </w:tcPr>
          <w:p w14:paraId="5FCF43A1">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i/>
                <w:snapToGrid w:val="0"/>
                <w:kern w:val="0"/>
                <w:sz w:val="15"/>
                <w:szCs w:val="15"/>
              </w:rPr>
              <w:t>θ</w:t>
            </w:r>
            <w:r>
              <w:rPr>
                <w:rFonts w:ascii="Times New Roman" w:hAnsi="Times New Roman" w:cs="Times New Roman"/>
                <w:snapToGrid w:val="0"/>
                <w:kern w:val="0"/>
                <w:sz w:val="15"/>
                <w:szCs w:val="15"/>
              </w:rPr>
              <w:t>=1～10</w:t>
            </w:r>
          </w:p>
        </w:tc>
        <w:tc>
          <w:tcPr>
            <w:tcW w:w="618" w:type="pct"/>
            <w:vAlign w:val="center"/>
          </w:tcPr>
          <w:p w14:paraId="52466CF4">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i/>
                <w:snapToGrid w:val="0"/>
                <w:kern w:val="0"/>
                <w:sz w:val="15"/>
                <w:szCs w:val="15"/>
              </w:rPr>
              <w:t>θ</w:t>
            </w:r>
            <w:r>
              <w:rPr>
                <w:rFonts w:ascii="Times New Roman" w:hAnsi="Times New Roman" w:cs="Times New Roman"/>
                <w:snapToGrid w:val="0"/>
                <w:kern w:val="0"/>
                <w:sz w:val="15"/>
                <w:szCs w:val="15"/>
              </w:rPr>
              <w:t>=10～30</w:t>
            </w:r>
          </w:p>
        </w:tc>
        <w:tc>
          <w:tcPr>
            <w:tcW w:w="618" w:type="pct"/>
            <w:vAlign w:val="center"/>
          </w:tcPr>
          <w:p w14:paraId="35E77AFE">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i/>
                <w:snapToGrid w:val="0"/>
                <w:kern w:val="0"/>
                <w:sz w:val="15"/>
                <w:szCs w:val="15"/>
              </w:rPr>
              <w:t>θ</w:t>
            </w:r>
            <w:r>
              <w:rPr>
                <w:rFonts w:ascii="Times New Roman" w:hAnsi="Times New Roman" w:cs="Times New Roman"/>
                <w:snapToGrid w:val="0"/>
                <w:kern w:val="0"/>
                <w:sz w:val="15"/>
                <w:szCs w:val="15"/>
              </w:rPr>
              <w:t>=30～90</w:t>
            </w:r>
          </w:p>
        </w:tc>
        <w:tc>
          <w:tcPr>
            <w:tcW w:w="619" w:type="pct"/>
            <w:vAlign w:val="center"/>
          </w:tcPr>
          <w:p w14:paraId="698145E7">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i/>
                <w:snapToGrid w:val="0"/>
                <w:kern w:val="0"/>
                <w:sz w:val="15"/>
                <w:szCs w:val="15"/>
              </w:rPr>
              <w:t>θ</w:t>
            </w:r>
            <w:r>
              <w:rPr>
                <w:rFonts w:ascii="Times New Roman" w:hAnsi="Times New Roman" w:cs="Times New Roman"/>
                <w:snapToGrid w:val="0"/>
                <w:kern w:val="0"/>
                <w:sz w:val="15"/>
                <w:szCs w:val="15"/>
              </w:rPr>
              <w:t>=90～400</w:t>
            </w:r>
          </w:p>
        </w:tc>
      </w:tr>
      <w:tr w14:paraId="270FF4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292" w:type="pct"/>
            <w:vAlign w:val="center"/>
          </w:tcPr>
          <w:p w14:paraId="47F237F0">
            <w:pPr>
              <w:tabs>
                <w:tab w:val="left" w:pos="1080"/>
              </w:tabs>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Ⅰ</w:t>
            </w:r>
          </w:p>
        </w:tc>
        <w:tc>
          <w:tcPr>
            <w:tcW w:w="2291" w:type="pct"/>
            <w:vAlign w:val="center"/>
          </w:tcPr>
          <w:p w14:paraId="375B74A5">
            <w:pPr>
              <w:tabs>
                <w:tab w:val="left" w:pos="1080"/>
              </w:tabs>
              <w:ind w:firstLine="300"/>
              <w:jc w:val="left"/>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北方半干旱地区、植被条件较差，以荒坡、梯田或少量的稀疏林为主的土石山区，旱作物较多，河道呈宽浅型，间隙性水流，洪水陡涨陡落。</w:t>
            </w:r>
          </w:p>
        </w:tc>
        <w:tc>
          <w:tcPr>
            <w:tcW w:w="562" w:type="pct"/>
            <w:vAlign w:val="center"/>
          </w:tcPr>
          <w:p w14:paraId="5703BF37">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1.0～1.3</w:t>
            </w:r>
          </w:p>
        </w:tc>
        <w:tc>
          <w:tcPr>
            <w:tcW w:w="618" w:type="pct"/>
            <w:vAlign w:val="center"/>
          </w:tcPr>
          <w:p w14:paraId="4A52D789">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1.3～1.60</w:t>
            </w:r>
          </w:p>
        </w:tc>
        <w:tc>
          <w:tcPr>
            <w:tcW w:w="618" w:type="pct"/>
            <w:vAlign w:val="center"/>
          </w:tcPr>
          <w:p w14:paraId="2354C761">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1.6～1.8</w:t>
            </w:r>
          </w:p>
        </w:tc>
        <w:tc>
          <w:tcPr>
            <w:tcW w:w="619" w:type="pct"/>
            <w:vAlign w:val="center"/>
          </w:tcPr>
          <w:p w14:paraId="03D2A4A6">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1.8～2.2</w:t>
            </w:r>
          </w:p>
        </w:tc>
      </w:tr>
      <w:tr w14:paraId="65E23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292" w:type="pct"/>
            <w:vAlign w:val="center"/>
          </w:tcPr>
          <w:p w14:paraId="7A65901E">
            <w:pPr>
              <w:tabs>
                <w:tab w:val="left" w:pos="1080"/>
              </w:tabs>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Ⅱ</w:t>
            </w:r>
          </w:p>
        </w:tc>
        <w:tc>
          <w:tcPr>
            <w:tcW w:w="2291" w:type="pct"/>
            <w:vAlign w:val="center"/>
          </w:tcPr>
          <w:p w14:paraId="23E7479A">
            <w:pPr>
              <w:tabs>
                <w:tab w:val="left" w:pos="1080"/>
              </w:tabs>
              <w:ind w:firstLine="300"/>
              <w:jc w:val="left"/>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南北方地理景观过渡区，植被以疏林、针叶林、幼林为主的土石山区或流域内耕地较多。</w:t>
            </w:r>
          </w:p>
        </w:tc>
        <w:tc>
          <w:tcPr>
            <w:tcW w:w="562" w:type="pct"/>
            <w:vAlign w:val="center"/>
          </w:tcPr>
          <w:p w14:paraId="0574D528">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0.6～0.7</w:t>
            </w:r>
          </w:p>
        </w:tc>
        <w:tc>
          <w:tcPr>
            <w:tcW w:w="618" w:type="pct"/>
            <w:vAlign w:val="center"/>
          </w:tcPr>
          <w:p w14:paraId="1E35D76D">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0.7～0.8</w:t>
            </w:r>
          </w:p>
        </w:tc>
        <w:tc>
          <w:tcPr>
            <w:tcW w:w="618" w:type="pct"/>
            <w:vAlign w:val="center"/>
          </w:tcPr>
          <w:p w14:paraId="13DD2654">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0.8～0.95</w:t>
            </w:r>
          </w:p>
        </w:tc>
        <w:tc>
          <w:tcPr>
            <w:tcW w:w="619" w:type="pct"/>
            <w:vAlign w:val="center"/>
          </w:tcPr>
          <w:p w14:paraId="5775AAF0">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0.95～1.30</w:t>
            </w:r>
          </w:p>
        </w:tc>
      </w:tr>
      <w:tr w14:paraId="513B66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292" w:type="pct"/>
            <w:vAlign w:val="center"/>
          </w:tcPr>
          <w:p w14:paraId="283E860D">
            <w:pPr>
              <w:tabs>
                <w:tab w:val="left" w:pos="1080"/>
              </w:tabs>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Ⅲ</w:t>
            </w:r>
          </w:p>
        </w:tc>
        <w:tc>
          <w:tcPr>
            <w:tcW w:w="2291" w:type="pct"/>
            <w:vAlign w:val="center"/>
          </w:tcPr>
          <w:p w14:paraId="12C96911">
            <w:pPr>
              <w:tabs>
                <w:tab w:val="left" w:pos="1080"/>
              </w:tabs>
              <w:ind w:firstLine="300"/>
              <w:jc w:val="left"/>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南方、东北湿润山丘区，植被条件良好，以灌木林、竹林为主的石山区，或森林覆盖度达40％～50％、或流域内多为水稻田、卵石，两岸滩地杂草丛生，大洪水多为尖瘦型，中小洪水多为矮胖型。</w:t>
            </w:r>
          </w:p>
        </w:tc>
        <w:tc>
          <w:tcPr>
            <w:tcW w:w="562" w:type="pct"/>
            <w:vAlign w:val="center"/>
          </w:tcPr>
          <w:p w14:paraId="2C475349">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0.3～0.4</w:t>
            </w:r>
          </w:p>
        </w:tc>
        <w:tc>
          <w:tcPr>
            <w:tcW w:w="618" w:type="pct"/>
            <w:vAlign w:val="center"/>
          </w:tcPr>
          <w:p w14:paraId="4A173E89">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0.4～0.5</w:t>
            </w:r>
          </w:p>
        </w:tc>
        <w:tc>
          <w:tcPr>
            <w:tcW w:w="618" w:type="pct"/>
            <w:vAlign w:val="center"/>
          </w:tcPr>
          <w:p w14:paraId="7EC0646C">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0.5～0.6</w:t>
            </w:r>
          </w:p>
        </w:tc>
        <w:tc>
          <w:tcPr>
            <w:tcW w:w="619" w:type="pct"/>
            <w:vAlign w:val="center"/>
          </w:tcPr>
          <w:p w14:paraId="78F449E9">
            <w:pPr>
              <w:tabs>
                <w:tab w:val="left" w:pos="1080"/>
              </w:tabs>
              <w:ind w:left="-12" w:leftChars="-16" w:hanging="33" w:hangingChars="2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0.6～0.9</w:t>
            </w:r>
          </w:p>
        </w:tc>
      </w:tr>
      <w:tr w14:paraId="56F8A3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292" w:type="pct"/>
            <w:vAlign w:val="center"/>
          </w:tcPr>
          <w:p w14:paraId="141B5A67">
            <w:pPr>
              <w:tabs>
                <w:tab w:val="left" w:pos="1080"/>
              </w:tabs>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Ⅳ</w:t>
            </w:r>
          </w:p>
        </w:tc>
        <w:tc>
          <w:tcPr>
            <w:tcW w:w="2291" w:type="pct"/>
            <w:vAlign w:val="center"/>
          </w:tcPr>
          <w:p w14:paraId="08BEF90D">
            <w:pPr>
              <w:tabs>
                <w:tab w:val="left" w:pos="1080"/>
              </w:tabs>
              <w:ind w:firstLine="300"/>
              <w:jc w:val="left"/>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雨量丰沛的湿润山区，植被条件优良，森林覆盖度可高达70％以上，多为深山原始森林区，枯枝落叶层厚，壤中流较丰富，河床呈山区型，大卵石，大砾石河槽，有跌水，洪水多为陡涨缓落。</w:t>
            </w:r>
          </w:p>
        </w:tc>
        <w:tc>
          <w:tcPr>
            <w:tcW w:w="562" w:type="pct"/>
            <w:vAlign w:val="center"/>
          </w:tcPr>
          <w:p w14:paraId="79613939">
            <w:pPr>
              <w:tabs>
                <w:tab w:val="left" w:pos="1080"/>
              </w:tabs>
              <w:ind w:leftChars="-1" w:hanging="3" w:hangingChars="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0.2～0.3</w:t>
            </w:r>
          </w:p>
        </w:tc>
        <w:tc>
          <w:tcPr>
            <w:tcW w:w="618" w:type="pct"/>
            <w:vAlign w:val="center"/>
          </w:tcPr>
          <w:p w14:paraId="6FF1C3F7">
            <w:pPr>
              <w:tabs>
                <w:tab w:val="left" w:pos="1080"/>
              </w:tabs>
              <w:ind w:leftChars="-1" w:hanging="3" w:hangingChars="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0.3～0.35</w:t>
            </w:r>
          </w:p>
        </w:tc>
        <w:tc>
          <w:tcPr>
            <w:tcW w:w="618" w:type="pct"/>
            <w:vAlign w:val="center"/>
          </w:tcPr>
          <w:p w14:paraId="1484F664">
            <w:pPr>
              <w:tabs>
                <w:tab w:val="left" w:pos="1080"/>
              </w:tabs>
              <w:ind w:leftChars="-1" w:hanging="3" w:hangingChars="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0.35～0.4</w:t>
            </w:r>
          </w:p>
        </w:tc>
        <w:tc>
          <w:tcPr>
            <w:tcW w:w="619" w:type="pct"/>
            <w:vAlign w:val="center"/>
          </w:tcPr>
          <w:p w14:paraId="672D76B1">
            <w:pPr>
              <w:tabs>
                <w:tab w:val="left" w:pos="1080"/>
              </w:tabs>
              <w:ind w:leftChars="-1" w:hanging="3" w:hangingChars="2"/>
              <w:jc w:val="center"/>
              <w:rPr>
                <w:rFonts w:ascii="Times New Roman" w:hAnsi="Times New Roman" w:cs="Times New Roman"/>
                <w:snapToGrid w:val="0"/>
                <w:kern w:val="0"/>
                <w:sz w:val="15"/>
                <w:szCs w:val="15"/>
              </w:rPr>
            </w:pPr>
            <w:r>
              <w:rPr>
                <w:rFonts w:ascii="Times New Roman" w:hAnsi="Times New Roman" w:cs="Times New Roman"/>
                <w:snapToGrid w:val="0"/>
                <w:kern w:val="0"/>
                <w:sz w:val="15"/>
                <w:szCs w:val="15"/>
              </w:rPr>
              <w:t>0.4～0.8</w:t>
            </w:r>
          </w:p>
        </w:tc>
      </w:tr>
    </w:tbl>
    <w:p w14:paraId="2DD15AFC">
      <w:pPr>
        <w:spacing w:before="156" w:beforeLines="50" w:line="360" w:lineRule="auto"/>
        <w:ind w:firstLine="437"/>
        <w:jc w:val="left"/>
        <w:rPr>
          <w:rFonts w:ascii="Times New Roman" w:hAnsi="Times New Roman" w:cs="Times New Roman"/>
          <w:bCs/>
          <w:spacing w:val="4"/>
          <w:sz w:val="21"/>
          <w:szCs w:val="21"/>
        </w:rPr>
      </w:pPr>
      <w:r>
        <w:rPr>
          <w:rFonts w:ascii="Times New Roman" w:hAnsi="Times New Roman" w:cs="Times New Roman"/>
          <w:b/>
          <w:bCs/>
          <w:spacing w:val="4"/>
          <w:sz w:val="21"/>
          <w:szCs w:val="21"/>
        </w:rPr>
        <w:t>3</w:t>
      </w:r>
      <w:r>
        <w:rPr>
          <w:rFonts w:ascii="Times New Roman" w:hAnsi="Times New Roman" w:cs="Times New Roman"/>
          <w:bCs/>
          <w:spacing w:val="4"/>
          <w:sz w:val="21"/>
          <w:szCs w:val="21"/>
        </w:rPr>
        <w:t xml:space="preserve">  采用试算法计算求解推理公式时，应按计算流程（图A.2.2）进行计算。</w:t>
      </w:r>
    </w:p>
    <w:p w14:paraId="443F92E3">
      <w:pPr>
        <w:spacing w:line="360" w:lineRule="auto"/>
        <w:ind w:firstLine="400"/>
        <w:jc w:val="center"/>
        <w:rPr>
          <w:rFonts w:ascii="Times New Roman" w:hAnsi="Times New Roman" w:cs="Times New Roman"/>
          <w:sz w:val="21"/>
        </w:rPr>
      </w:pPr>
      <w:r>
        <w:rPr>
          <w:rFonts w:ascii="Times New Roman" w:hAnsi="Times New Roman" w:cs="Times New Roman"/>
          <w:b/>
          <w:sz w:val="20"/>
          <w:szCs w:val="20"/>
        </w:rPr>
        <w:drawing>
          <wp:inline distT="0" distB="0" distL="114300" distR="114300">
            <wp:extent cx="4455160" cy="4060825"/>
            <wp:effectExtent l="0" t="0" r="10160" b="8255"/>
            <wp:docPr id="138" name="图片 104" descr="说明: 说明: tu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04" descr="说明: 说明: tu8"/>
                    <pic:cNvPicPr>
                      <a:picLocks noChangeAspect="1"/>
                    </pic:cNvPicPr>
                  </pic:nvPicPr>
                  <pic:blipFill>
                    <a:blip r:embed="rId138">
                      <a:lum contrast="20000"/>
                    </a:blip>
                    <a:stretch>
                      <a:fillRect/>
                    </a:stretch>
                  </pic:blipFill>
                  <pic:spPr>
                    <a:xfrm>
                      <a:off x="0" y="0"/>
                      <a:ext cx="4455160" cy="4060825"/>
                    </a:xfrm>
                    <a:prstGeom prst="rect">
                      <a:avLst/>
                    </a:prstGeom>
                    <a:noFill/>
                    <a:ln>
                      <a:noFill/>
                    </a:ln>
                  </pic:spPr>
                </pic:pic>
              </a:graphicData>
            </a:graphic>
          </wp:inline>
        </w:drawing>
      </w:r>
    </w:p>
    <w:p w14:paraId="2F99C081">
      <w:pPr>
        <w:ind w:firstLine="357"/>
        <w:jc w:val="center"/>
        <w:rPr>
          <w:rFonts w:ascii="Times New Roman" w:hAnsi="Times New Roman" w:eastAsia="黑体" w:cs="Times New Roman"/>
          <w:sz w:val="18"/>
          <w:szCs w:val="18"/>
        </w:rPr>
      </w:pPr>
      <w:r>
        <w:rPr>
          <w:rFonts w:ascii="Times New Roman" w:hAnsi="Times New Roman" w:eastAsia="黑体" w:cs="Times New Roman"/>
          <w:sz w:val="18"/>
          <w:szCs w:val="18"/>
        </w:rPr>
        <w:t>图A</w:t>
      </w:r>
      <w:r>
        <w:rPr>
          <w:rFonts w:ascii="Times New Roman" w:hAnsi="Times New Roman" w:cs="Times New Roman"/>
          <w:sz w:val="18"/>
          <w:szCs w:val="18"/>
        </w:rPr>
        <w:t>.</w:t>
      </w:r>
      <w:r>
        <w:rPr>
          <w:rFonts w:ascii="Times New Roman" w:hAnsi="Times New Roman" w:eastAsia="黑体" w:cs="Times New Roman"/>
          <w:sz w:val="18"/>
          <w:szCs w:val="18"/>
        </w:rPr>
        <w:t>2</w:t>
      </w:r>
      <w:r>
        <w:rPr>
          <w:rFonts w:ascii="Times New Roman" w:hAnsi="Times New Roman" w:cs="Times New Roman"/>
          <w:sz w:val="18"/>
          <w:szCs w:val="18"/>
        </w:rPr>
        <w:t>.</w:t>
      </w:r>
      <w:r>
        <w:rPr>
          <w:rFonts w:ascii="Times New Roman" w:hAnsi="Times New Roman" w:eastAsia="黑体" w:cs="Times New Roman"/>
          <w:sz w:val="18"/>
          <w:szCs w:val="18"/>
        </w:rPr>
        <w:t>2  推理公式试算法计算设计洪峰流量流程图</w:t>
      </w:r>
    </w:p>
    <w:p w14:paraId="62CD7D22">
      <w:pPr>
        <w:spacing w:line="360" w:lineRule="auto"/>
        <w:jc w:val="left"/>
        <w:rPr>
          <w:rFonts w:ascii="Times New Roman" w:hAnsi="Times New Roman" w:cs="Times New Roman"/>
          <w:sz w:val="21"/>
          <w:szCs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2</w:t>
      </w:r>
      <w:r>
        <w:rPr>
          <w:rFonts w:ascii="Times New Roman" w:hAnsi="Times New Roman" w:cs="Times New Roman"/>
          <w:b/>
          <w:sz w:val="21"/>
        </w:rPr>
        <w:t>.</w:t>
      </w:r>
      <w:r>
        <w:rPr>
          <w:rFonts w:ascii="Times New Roman" w:hAnsi="Times New Roman" w:eastAsia="黑体" w:cs="Times New Roman"/>
          <w:b/>
          <w:sz w:val="21"/>
        </w:rPr>
        <w:t>3</w:t>
      </w:r>
      <w:r>
        <w:rPr>
          <w:rFonts w:ascii="Times New Roman" w:hAnsi="Times New Roman" w:cs="Times New Roman"/>
          <w:sz w:val="21"/>
          <w:szCs w:val="21"/>
        </w:rPr>
        <w:t xml:space="preserve">  采用推理公式法推算设计洪水总量，可按下列公式计算：</w:t>
      </w:r>
    </w:p>
    <w:p w14:paraId="0AAA7D99">
      <w:pPr>
        <w:spacing w:line="360" w:lineRule="auto"/>
        <w:ind w:right="117"/>
        <w:jc w:val="right"/>
        <w:rPr>
          <w:rFonts w:ascii="Times New Roman" w:hAnsi="Times New Roman" w:cs="Times New Roman"/>
          <w:sz w:val="21"/>
          <w:szCs w:val="21"/>
        </w:rPr>
      </w:pPr>
      <w:r>
        <w:rPr>
          <w:rFonts w:ascii="Times New Roman" w:hAnsi="Times New Roman" w:cs="Times New Roman"/>
          <w:b/>
          <w:i/>
          <w:position w:val="-10"/>
          <w:sz w:val="21"/>
          <w:szCs w:val="21"/>
        </w:rPr>
        <w:object>
          <v:shape id="_x0000_i1075" o:spt="75" type="#_x0000_t75" style="height:16.2pt;width:88.8pt;" o:ole="t" filled="f" o:preferrelative="t" stroked="f" coordsize="21600,21600">
            <v:path/>
            <v:fill on="f" focussize="0,0"/>
            <v:stroke on="f" joinstyle="miter"/>
            <v:imagedata r:id="rId140" o:title=""/>
            <o:lock v:ext="edit" aspectratio="t"/>
            <w10:wrap type="none"/>
            <w10:anchorlock/>
          </v:shape>
          <o:OLEObject Type="Embed" ProgID="Equation.3" ShapeID="_x0000_i1075" DrawAspect="Content" ObjectID="_1468075771" r:id="rId139">
            <o:LockedField>false</o:LockedField>
          </o:OLEObject>
        </w:object>
      </w:r>
      <w:r>
        <w:rPr>
          <w:rFonts w:ascii="Times New Roman" w:hAnsi="Times New Roman" w:cs="Times New Roman"/>
          <w:sz w:val="21"/>
          <w:szCs w:val="21"/>
        </w:rPr>
        <w:t xml:space="preserve">                       （A.2.3-1）</w:t>
      </w:r>
    </w:p>
    <w:p w14:paraId="459F45FC">
      <w:pPr>
        <w:spacing w:line="384" w:lineRule="auto"/>
        <w:ind w:right="112" w:rightChars="40" w:firstLine="630" w:firstLineChars="300"/>
        <w:jc w:val="right"/>
        <w:rPr>
          <w:rFonts w:ascii="Times New Roman" w:hAnsi="Times New Roman" w:cs="Times New Roman"/>
          <w:sz w:val="21"/>
          <w:szCs w:val="21"/>
        </w:rPr>
      </w:pPr>
      <w:r>
        <w:rPr>
          <w:rFonts w:ascii="Times New Roman" w:hAnsi="Times New Roman" w:cs="Times New Roman"/>
          <w:i/>
          <w:sz w:val="21"/>
          <w:szCs w:val="21"/>
        </w:rPr>
        <w:t>H</w:t>
      </w:r>
      <w:r>
        <w:rPr>
          <w:rFonts w:ascii="Times New Roman" w:hAnsi="Times New Roman" w:cs="Times New Roman"/>
          <w:i/>
          <w:sz w:val="21"/>
          <w:szCs w:val="21"/>
          <w:vertAlign w:val="subscript"/>
        </w:rPr>
        <w:t>P</w:t>
      </w:r>
      <w:r>
        <w:rPr>
          <w:rFonts w:ascii="Times New Roman" w:hAnsi="Times New Roman" w:cs="Times New Roman"/>
          <w:sz w:val="21"/>
          <w:szCs w:val="21"/>
        </w:rPr>
        <w:t>=</w:t>
      </w:r>
      <w:r>
        <w:rPr>
          <w:rFonts w:ascii="Times New Roman" w:hAnsi="Times New Roman" w:cs="Times New Roman"/>
          <w:i/>
          <w:sz w:val="21"/>
          <w:szCs w:val="21"/>
        </w:rPr>
        <w:t>K</w:t>
      </w:r>
      <w:r>
        <w:rPr>
          <w:rFonts w:ascii="Times New Roman" w:hAnsi="Times New Roman" w:cs="Times New Roman"/>
          <w:i/>
          <w:sz w:val="21"/>
          <w:szCs w:val="21"/>
          <w:vertAlign w:val="subscript"/>
        </w:rPr>
        <w:t>p</w:t>
      </w:r>
      <w:r>
        <w:rPr>
          <w:rFonts w:ascii="Times New Roman" w:hAnsi="Times New Roman" w:cs="Times New Roman"/>
          <w:b/>
          <w:position w:val="-10"/>
          <w:sz w:val="21"/>
          <w:szCs w:val="21"/>
        </w:rPr>
        <w:object>
          <v:shape id="_x0000_i1076" o:spt="75" type="#_x0000_t75" style="height:14.4pt;width:16.2pt;" o:ole="t" fillcolor="#6D6D6D" filled="f" o:preferrelative="t" stroked="f" coordsize="21600,21600">
            <v:path/>
            <v:fill on="f" focussize="0,0"/>
            <v:stroke on="f" joinstyle="miter"/>
            <v:imagedata r:id="rId142" o:title=""/>
            <o:lock v:ext="edit" aspectratio="t"/>
            <w10:wrap type="none"/>
            <w10:anchorlock/>
          </v:shape>
          <o:OLEObject Type="Embed" ProgID="Equation.3" ShapeID="_x0000_i1076" DrawAspect="Content" ObjectID="_1468075772" r:id="rId141">
            <o:LockedField>false</o:LockedField>
          </o:OLEObject>
        </w:object>
      </w:r>
      <w:r>
        <w:rPr>
          <w:rFonts w:ascii="Times New Roman" w:hAnsi="Times New Roman" w:cs="Times New Roman"/>
          <w:sz w:val="21"/>
          <w:szCs w:val="21"/>
        </w:rPr>
        <w:t xml:space="preserve">                              （A.2.3-2）</w:t>
      </w:r>
    </w:p>
    <w:p w14:paraId="7590B350">
      <w:pPr>
        <w:spacing w:before="62" w:beforeLines="20" w:line="360" w:lineRule="auto"/>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W</w:t>
      </w:r>
      <w:r>
        <w:rPr>
          <w:rFonts w:ascii="Times New Roman" w:hAnsi="Times New Roman" w:cs="Times New Roman"/>
          <w:i/>
          <w:sz w:val="21"/>
          <w:szCs w:val="21"/>
          <w:vertAlign w:val="subscript"/>
        </w:rPr>
        <w:t>p</w:t>
      </w:r>
      <w:r>
        <w:rPr>
          <w:rFonts w:ascii="Times New Roman" w:hAnsi="Times New Roman" w:cs="Times New Roman"/>
          <w:sz w:val="21"/>
          <w:szCs w:val="21"/>
        </w:rPr>
        <w:t>——设计洪水总量，10</w:t>
      </w:r>
      <w:r>
        <w:rPr>
          <w:rFonts w:ascii="Times New Roman" w:hAnsi="Times New Roman" w:cs="Times New Roman"/>
          <w:sz w:val="21"/>
          <w:szCs w:val="21"/>
          <w:vertAlign w:val="superscript"/>
        </w:rPr>
        <w:t>4</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w:t>
      </w:r>
    </w:p>
    <w:p w14:paraId="69719EBC">
      <w:pPr>
        <w:tabs>
          <w:tab w:val="left" w:pos="1455"/>
        </w:tabs>
        <w:spacing w:line="360" w:lineRule="auto"/>
        <w:ind w:firstLine="655" w:firstLineChars="312"/>
        <w:jc w:val="left"/>
        <w:rPr>
          <w:rFonts w:ascii="Times New Roman" w:hAnsi="Times New Roman" w:cs="Times New Roman"/>
          <w:sz w:val="21"/>
          <w:szCs w:val="21"/>
        </w:rPr>
      </w:pPr>
      <w:r>
        <w:rPr>
          <w:rFonts w:ascii="Times New Roman" w:hAnsi="Times New Roman" w:cs="Times New Roman"/>
          <w:i/>
          <w:sz w:val="21"/>
          <w:szCs w:val="21"/>
        </w:rPr>
        <w:t>H</w:t>
      </w:r>
      <w:r>
        <w:rPr>
          <w:rFonts w:ascii="Times New Roman" w:hAnsi="Times New Roman" w:cs="Times New Roman"/>
          <w:i/>
          <w:sz w:val="21"/>
          <w:szCs w:val="21"/>
          <w:vertAlign w:val="subscript"/>
        </w:rPr>
        <w:t>p</w:t>
      </w:r>
      <w:r>
        <w:rPr>
          <w:rFonts w:ascii="Times New Roman" w:hAnsi="Times New Roman" w:cs="Times New Roman"/>
          <w:sz w:val="21"/>
          <w:szCs w:val="21"/>
        </w:rPr>
        <w:t>——频率为p的流域中心点24h雨量（mm）；</w:t>
      </w:r>
    </w:p>
    <w:p w14:paraId="54203A74">
      <w:pPr>
        <w:tabs>
          <w:tab w:val="left" w:pos="1455"/>
        </w:tabs>
        <w:spacing w:line="360" w:lineRule="auto"/>
        <w:ind w:firstLine="655" w:firstLineChars="312"/>
        <w:jc w:val="left"/>
        <w:rPr>
          <w:rFonts w:ascii="Times New Roman" w:hAnsi="Times New Roman" w:cs="Times New Roman"/>
          <w:sz w:val="21"/>
          <w:szCs w:val="21"/>
        </w:rPr>
      </w:pPr>
      <w:r>
        <w:rPr>
          <w:rFonts w:ascii="Times New Roman" w:hAnsi="Times New Roman" w:cs="Times New Roman"/>
          <w:i/>
          <w:sz w:val="21"/>
          <w:szCs w:val="21"/>
        </w:rPr>
        <w:t>α</w:t>
      </w:r>
      <w:r>
        <w:rPr>
          <w:rFonts w:ascii="Times New Roman" w:hAnsi="Times New Roman" w:cs="Times New Roman"/>
          <w:sz w:val="21"/>
          <w:szCs w:val="21"/>
        </w:rPr>
        <w:t>——洪水总量径流系数，无量纲，可采用当地经验值；</w:t>
      </w:r>
    </w:p>
    <w:p w14:paraId="73CEFA9F">
      <w:pPr>
        <w:spacing w:line="360" w:lineRule="auto"/>
        <w:ind w:firstLine="630" w:firstLineChars="300"/>
        <w:jc w:val="left"/>
        <w:rPr>
          <w:rFonts w:ascii="Times New Roman" w:hAnsi="Times New Roman" w:cs="Times New Roman"/>
          <w:sz w:val="21"/>
          <w:szCs w:val="21"/>
        </w:rPr>
      </w:pPr>
      <w:r>
        <w:rPr>
          <w:rFonts w:ascii="Times New Roman" w:hAnsi="Times New Roman" w:cs="Times New Roman"/>
          <w:i/>
          <w:sz w:val="21"/>
          <w:szCs w:val="21"/>
        </w:rPr>
        <w:t>F</w:t>
      </w:r>
      <w:r>
        <w:rPr>
          <w:rFonts w:ascii="Times New Roman" w:hAnsi="Times New Roman" w:cs="Times New Roman"/>
          <w:sz w:val="21"/>
          <w:szCs w:val="21"/>
        </w:rPr>
        <w:t>——汇水面积（km</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141EF8A1">
      <w:pPr>
        <w:spacing w:line="384" w:lineRule="auto"/>
        <w:ind w:firstLine="632" w:firstLineChars="300"/>
        <w:jc w:val="left"/>
        <w:rPr>
          <w:rFonts w:ascii="Times New Roman" w:hAnsi="Times New Roman" w:cs="Times New Roman"/>
          <w:sz w:val="21"/>
          <w:szCs w:val="21"/>
        </w:rPr>
      </w:pPr>
      <w:r>
        <w:rPr>
          <w:rFonts w:ascii="Times New Roman" w:hAnsi="Times New Roman" w:cs="Times New Roman"/>
          <w:b/>
          <w:position w:val="-10"/>
          <w:sz w:val="21"/>
          <w:szCs w:val="21"/>
        </w:rPr>
        <w:object>
          <v:shape id="_x0000_i1077" o:spt="75" type="#_x0000_t75" style="height:15pt;width:16.2pt;" o:ole="t" fillcolor="#6D6D6D" filled="f" o:preferrelative="t" stroked="f" coordsize="21600,21600">
            <v:path/>
            <v:fill on="f" focussize="0,0"/>
            <v:stroke on="f" joinstyle="miter"/>
            <v:imagedata r:id="rId144" o:title=""/>
            <o:lock v:ext="edit" aspectratio="t"/>
            <w10:wrap type="none"/>
            <w10:anchorlock/>
          </v:shape>
          <o:OLEObject Type="Embed" ProgID="Equation.3" ShapeID="_x0000_i1077" DrawAspect="Content" ObjectID="_1468075773" r:id="rId143">
            <o:LockedField>false</o:LockedField>
          </o:OLEObject>
        </w:object>
      </w:r>
      <w:r>
        <w:rPr>
          <w:rFonts w:ascii="Times New Roman" w:hAnsi="Times New Roman" w:cs="Times New Roman"/>
          <w:sz w:val="21"/>
          <w:szCs w:val="21"/>
        </w:rPr>
        <w:t>——流域最大24h暴雨均值（mm），可由当地水文手册查得；</w:t>
      </w:r>
    </w:p>
    <w:p w14:paraId="116E8131">
      <w:pPr>
        <w:spacing w:line="384" w:lineRule="auto"/>
        <w:ind w:firstLine="642" w:firstLineChars="306"/>
        <w:jc w:val="left"/>
        <w:rPr>
          <w:rFonts w:ascii="Times New Roman" w:hAnsi="Times New Roman" w:cs="Times New Roman"/>
          <w:sz w:val="21"/>
          <w:szCs w:val="21"/>
        </w:rPr>
      </w:pPr>
      <w:r>
        <w:rPr>
          <w:rFonts w:ascii="Times New Roman" w:hAnsi="Times New Roman" w:cs="Times New Roman"/>
          <w:i/>
          <w:sz w:val="21"/>
          <w:szCs w:val="21"/>
        </w:rPr>
        <w:t>K</w:t>
      </w:r>
      <w:r>
        <w:rPr>
          <w:rFonts w:ascii="Times New Roman" w:hAnsi="Times New Roman" w:cs="Times New Roman"/>
          <w:i/>
          <w:sz w:val="21"/>
          <w:szCs w:val="21"/>
          <w:vertAlign w:val="subscript"/>
        </w:rPr>
        <w:t>p</w:t>
      </w:r>
      <w:r>
        <w:rPr>
          <w:rFonts w:ascii="Times New Roman" w:hAnsi="Times New Roman" w:cs="Times New Roman"/>
          <w:sz w:val="21"/>
          <w:szCs w:val="21"/>
        </w:rPr>
        <w:t>——频率为</w:t>
      </w:r>
      <w:r>
        <w:rPr>
          <w:rFonts w:ascii="Times New Roman" w:hAnsi="Times New Roman" w:cs="Times New Roman"/>
          <w:i/>
          <w:sz w:val="21"/>
          <w:szCs w:val="21"/>
        </w:rPr>
        <w:t>P</w:t>
      </w:r>
      <w:r>
        <w:rPr>
          <w:rFonts w:ascii="Times New Roman" w:hAnsi="Times New Roman" w:cs="Times New Roman"/>
          <w:sz w:val="21"/>
          <w:szCs w:val="21"/>
        </w:rPr>
        <w:t>的模比系数，由</w:t>
      </w:r>
      <w:r>
        <w:rPr>
          <w:rFonts w:ascii="Times New Roman" w:hAnsi="Times New Roman" w:cs="Times New Roman"/>
          <w:i/>
          <w:sz w:val="21"/>
          <w:szCs w:val="21"/>
        </w:rPr>
        <w:t>C</w:t>
      </w:r>
      <w:r>
        <w:rPr>
          <w:rFonts w:ascii="Times New Roman" w:hAnsi="Times New Roman" w:cs="Times New Roman"/>
          <w:sz w:val="21"/>
          <w:szCs w:val="21"/>
          <w:vertAlign w:val="subscript"/>
        </w:rPr>
        <w:t>v</w:t>
      </w:r>
      <w:r>
        <w:rPr>
          <w:rFonts w:ascii="Times New Roman" w:hAnsi="Times New Roman" w:cs="Times New Roman"/>
          <w:sz w:val="21"/>
          <w:szCs w:val="21"/>
        </w:rPr>
        <w:t>及</w:t>
      </w:r>
      <w:r>
        <w:rPr>
          <w:rFonts w:ascii="Times New Roman" w:hAnsi="Times New Roman" w:cs="Times New Roman"/>
          <w:i/>
          <w:sz w:val="21"/>
          <w:szCs w:val="21"/>
        </w:rPr>
        <w:t>C</w:t>
      </w:r>
      <w:r>
        <w:rPr>
          <w:rFonts w:ascii="Times New Roman" w:hAnsi="Times New Roman" w:cs="Times New Roman"/>
          <w:sz w:val="21"/>
          <w:szCs w:val="21"/>
          <w:vertAlign w:val="subscript"/>
        </w:rPr>
        <w:t>s</w:t>
      </w:r>
      <w:r>
        <w:rPr>
          <w:rFonts w:ascii="Times New Roman" w:hAnsi="Times New Roman" w:cs="Times New Roman"/>
          <w:sz w:val="21"/>
          <w:szCs w:val="21"/>
        </w:rPr>
        <w:t>的皮尔逊-Ⅲ型曲线</w:t>
      </w:r>
      <w:r>
        <w:rPr>
          <w:rFonts w:ascii="Times New Roman" w:hAnsi="Times New Roman" w:cs="Times New Roman"/>
          <w:i/>
          <w:sz w:val="21"/>
          <w:szCs w:val="21"/>
        </w:rPr>
        <w:t>K</w:t>
      </w:r>
      <w:r>
        <w:rPr>
          <w:rFonts w:ascii="Times New Roman" w:hAnsi="Times New Roman" w:cs="Times New Roman"/>
          <w:i/>
          <w:sz w:val="21"/>
          <w:szCs w:val="21"/>
          <w:vertAlign w:val="subscript"/>
        </w:rPr>
        <w:t>p</w:t>
      </w:r>
      <w:r>
        <w:rPr>
          <w:rFonts w:ascii="Times New Roman" w:hAnsi="Times New Roman" w:cs="Times New Roman"/>
          <w:sz w:val="21"/>
          <w:szCs w:val="21"/>
        </w:rPr>
        <w:t>表中查得。</w:t>
      </w:r>
    </w:p>
    <w:p w14:paraId="491F5762">
      <w:pPr>
        <w:spacing w:line="336" w:lineRule="auto"/>
        <w:jc w:val="left"/>
        <w:rPr>
          <w:rFonts w:ascii="Times New Roman" w:hAnsi="Times New Roman" w:cs="Times New Roman"/>
          <w:sz w:val="21"/>
          <w:szCs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2</w:t>
      </w:r>
      <w:r>
        <w:rPr>
          <w:rFonts w:ascii="Times New Roman" w:hAnsi="Times New Roman" w:cs="Times New Roman"/>
          <w:b/>
          <w:sz w:val="21"/>
        </w:rPr>
        <w:t>.</w:t>
      </w:r>
      <w:r>
        <w:rPr>
          <w:rFonts w:ascii="Times New Roman" w:hAnsi="Times New Roman" w:eastAsia="黑体" w:cs="Times New Roman"/>
          <w:b/>
          <w:sz w:val="21"/>
        </w:rPr>
        <w:t>4</w:t>
      </w:r>
      <w:r>
        <w:rPr>
          <w:rFonts w:ascii="Times New Roman" w:hAnsi="Times New Roman" w:cs="Times New Roman"/>
          <w:sz w:val="21"/>
          <w:szCs w:val="21"/>
        </w:rPr>
        <w:t xml:space="preserve">  采用经验公式法推算设计洪峰流量和洪水总量，可按下列公式计算：</w:t>
      </w:r>
    </w:p>
    <w:p w14:paraId="68025969">
      <w:pPr>
        <w:spacing w:line="336" w:lineRule="auto"/>
        <w:ind w:firstLine="517" w:firstLineChars="245"/>
        <w:jc w:val="right"/>
        <w:rPr>
          <w:rFonts w:ascii="Times New Roman" w:hAnsi="Times New Roman" w:cs="Times New Roman"/>
          <w:sz w:val="21"/>
          <w:szCs w:val="21"/>
        </w:rPr>
      </w:pPr>
      <w:r>
        <w:rPr>
          <w:rFonts w:ascii="Times New Roman" w:hAnsi="Times New Roman" w:cs="Times New Roman"/>
          <w:b/>
          <w:i/>
          <w:position w:val="-10"/>
          <w:sz w:val="21"/>
          <w:szCs w:val="21"/>
        </w:rPr>
        <w:object>
          <v:shape id="_x0000_i1078" o:spt="75" type="#_x0000_t75" style="height:14.4pt;width:41.4pt;" o:ole="t" filled="f" o:preferrelative="t" stroked="f" coordsize="21600,21600">
            <v:path/>
            <v:fill on="f" focussize="0,0"/>
            <v:stroke on="f" joinstyle="miter"/>
            <v:imagedata r:id="rId146" o:title=""/>
            <o:lock v:ext="edit" aspectratio="t"/>
            <w10:wrap type="none"/>
            <w10:anchorlock/>
          </v:shape>
          <o:OLEObject Type="Embed" ProgID="Equation.3" ShapeID="_x0000_i1078" DrawAspect="Content" ObjectID="_1468075774" r:id="rId145">
            <o:LockedField>false</o:LockedField>
          </o:OLEObject>
        </w:object>
      </w:r>
      <w:r>
        <w:rPr>
          <w:rFonts w:ascii="Times New Roman" w:hAnsi="Times New Roman" w:cs="Times New Roman"/>
          <w:sz w:val="21"/>
          <w:szCs w:val="21"/>
        </w:rPr>
        <w:t xml:space="preserve">                               （A.2.4-1）</w:t>
      </w:r>
    </w:p>
    <w:p w14:paraId="686C09D6">
      <w:pPr>
        <w:spacing w:line="336" w:lineRule="auto"/>
        <w:ind w:firstLine="517" w:firstLineChars="245"/>
        <w:jc w:val="right"/>
        <w:rPr>
          <w:rFonts w:ascii="Times New Roman" w:hAnsi="Times New Roman" w:cs="Times New Roman"/>
          <w:sz w:val="21"/>
          <w:szCs w:val="21"/>
        </w:rPr>
      </w:pPr>
      <w:r>
        <w:rPr>
          <w:rFonts w:ascii="Times New Roman" w:hAnsi="Times New Roman" w:cs="Times New Roman"/>
          <w:b/>
          <w:i/>
          <w:position w:val="-10"/>
          <w:sz w:val="21"/>
          <w:szCs w:val="21"/>
        </w:rPr>
        <w:object>
          <v:shape id="_x0000_i1079" o:spt="75" type="#_x0000_t75" style="height:15pt;width:41.4pt;" o:ole="t" filled="f" o:preferrelative="t" stroked="f" coordsize="21600,21600">
            <v:path/>
            <v:fill on="f" focussize="0,0"/>
            <v:stroke on="f" joinstyle="miter"/>
            <v:imagedata r:id="rId148" o:title=""/>
            <o:lock v:ext="edit" aspectratio="t"/>
            <w10:wrap type="none"/>
            <w10:anchorlock/>
          </v:shape>
          <o:OLEObject Type="Embed" ProgID="Equation.3" ShapeID="_x0000_i1079" DrawAspect="Content" ObjectID="_1468075775" r:id="rId147">
            <o:LockedField>false</o:LockedField>
          </o:OLEObject>
        </w:object>
      </w:r>
      <w:r>
        <w:rPr>
          <w:rFonts w:ascii="Times New Roman" w:hAnsi="Times New Roman" w:cs="Times New Roman"/>
          <w:sz w:val="21"/>
          <w:szCs w:val="21"/>
        </w:rPr>
        <w:t xml:space="preserve">                               （A.2.4-2）</w:t>
      </w:r>
    </w:p>
    <w:p w14:paraId="33ECD7E3">
      <w:pPr>
        <w:spacing w:line="336" w:lineRule="auto"/>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A、B</w:t>
      </w:r>
      <w:r>
        <w:rPr>
          <w:rFonts w:ascii="Times New Roman" w:hAnsi="Times New Roman" w:cs="Times New Roman"/>
          <w:sz w:val="21"/>
          <w:szCs w:val="21"/>
        </w:rPr>
        <w:t>——地理参数，由当地水文手册中查得；</w:t>
      </w:r>
    </w:p>
    <w:p w14:paraId="4C279756">
      <w:pPr>
        <w:spacing w:line="336" w:lineRule="auto"/>
        <w:ind w:firstLine="600" w:firstLineChars="286"/>
        <w:jc w:val="left"/>
        <w:rPr>
          <w:rFonts w:ascii="Times New Roman" w:hAnsi="Times New Roman" w:cs="Times New Roman"/>
          <w:sz w:val="21"/>
          <w:szCs w:val="21"/>
        </w:rPr>
      </w:pPr>
      <w:r>
        <w:rPr>
          <w:rFonts w:ascii="Times New Roman" w:hAnsi="Times New Roman" w:cs="Times New Roman"/>
          <w:i/>
          <w:sz w:val="21"/>
          <w:szCs w:val="21"/>
        </w:rPr>
        <w:t>m、n</w:t>
      </w:r>
      <w:r>
        <w:rPr>
          <w:rFonts w:ascii="Times New Roman" w:hAnsi="Times New Roman" w:cs="Times New Roman"/>
          <w:sz w:val="21"/>
          <w:szCs w:val="21"/>
        </w:rPr>
        <w:t>——指数，由当地水文手册中查得。</w:t>
      </w:r>
    </w:p>
    <w:p w14:paraId="0B6F08D0">
      <w:pPr>
        <w:spacing w:line="336" w:lineRule="auto"/>
        <w:jc w:val="left"/>
        <w:rPr>
          <w:rFonts w:ascii="Times New Roman" w:hAnsi="Times New Roman" w:cs="Times New Roman"/>
          <w:sz w:val="21"/>
          <w:szCs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2</w:t>
      </w:r>
      <w:r>
        <w:rPr>
          <w:rFonts w:ascii="Times New Roman" w:hAnsi="Times New Roman" w:cs="Times New Roman"/>
          <w:b/>
          <w:sz w:val="21"/>
        </w:rPr>
        <w:t>.</w:t>
      </w:r>
      <w:r>
        <w:rPr>
          <w:rFonts w:ascii="Times New Roman" w:hAnsi="Times New Roman" w:eastAsia="黑体" w:cs="Times New Roman"/>
          <w:b/>
          <w:sz w:val="21"/>
        </w:rPr>
        <w:t>5</w:t>
      </w:r>
      <w:r>
        <w:rPr>
          <w:rFonts w:ascii="Times New Roman" w:hAnsi="Times New Roman" w:cs="Times New Roman"/>
          <w:sz w:val="21"/>
          <w:szCs w:val="21"/>
        </w:rPr>
        <w:t xml:space="preserve">  与设计洪峰流量</w:t>
      </w:r>
      <w:r>
        <w:rPr>
          <w:rFonts w:ascii="Times New Roman" w:hAnsi="Times New Roman" w:cs="Times New Roman"/>
          <w:i/>
          <w:sz w:val="21"/>
          <w:szCs w:val="21"/>
        </w:rPr>
        <w:t>Q</w:t>
      </w:r>
      <w:r>
        <w:rPr>
          <w:rFonts w:ascii="Times New Roman" w:hAnsi="Times New Roman" w:cs="Times New Roman"/>
          <w:i/>
          <w:sz w:val="21"/>
          <w:szCs w:val="21"/>
          <w:vertAlign w:val="subscript"/>
        </w:rPr>
        <w:t>p</w:t>
      </w:r>
      <w:r>
        <w:rPr>
          <w:rFonts w:ascii="Times New Roman" w:hAnsi="Times New Roman" w:cs="Times New Roman"/>
          <w:sz w:val="21"/>
          <w:szCs w:val="21"/>
        </w:rPr>
        <w:t>和洪水总量</w:t>
      </w:r>
      <w:r>
        <w:rPr>
          <w:rFonts w:ascii="Times New Roman" w:hAnsi="Times New Roman" w:cs="Times New Roman"/>
          <w:i/>
          <w:sz w:val="21"/>
          <w:szCs w:val="21"/>
        </w:rPr>
        <w:t>W</w:t>
      </w:r>
      <w:r>
        <w:rPr>
          <w:rFonts w:ascii="Times New Roman" w:hAnsi="Times New Roman" w:cs="Times New Roman"/>
          <w:i/>
          <w:sz w:val="21"/>
          <w:szCs w:val="21"/>
          <w:vertAlign w:val="subscript"/>
        </w:rPr>
        <w:t>p</w:t>
      </w:r>
      <w:r>
        <w:rPr>
          <w:rFonts w:ascii="Times New Roman" w:hAnsi="Times New Roman" w:cs="Times New Roman"/>
          <w:sz w:val="21"/>
          <w:szCs w:val="21"/>
        </w:rPr>
        <w:t>相配合，小流域设计洪水过程线宜采用概化三角形过程线（图A.2.5），洪水总历时可按下列公式计算：</w:t>
      </w:r>
    </w:p>
    <w:p w14:paraId="6E8C43EA">
      <w:pPr>
        <w:spacing w:line="336" w:lineRule="auto"/>
        <w:ind w:firstLine="632" w:firstLineChars="300"/>
        <w:jc w:val="right"/>
        <w:rPr>
          <w:rFonts w:ascii="Times New Roman" w:hAnsi="Times New Roman" w:cs="Times New Roman"/>
          <w:sz w:val="21"/>
          <w:szCs w:val="21"/>
        </w:rPr>
      </w:pPr>
      <w:r>
        <w:rPr>
          <w:rFonts w:ascii="Times New Roman" w:hAnsi="Times New Roman" w:cs="Times New Roman"/>
          <w:b/>
          <w:i/>
          <w:sz w:val="21"/>
          <w:szCs w:val="21"/>
        </w:rPr>
        <w:pict>
          <v:shape id="Object 876" o:spid="_x0000_s1153" o:spt="75" type="#_x0000_t75" style="position:absolute;left:0pt;margin-left:150.75pt;margin-top:3.1pt;height:26pt;width:76.75pt;z-index:251682816;mso-width-relative:page;mso-height-relative:page;" o:ole="t" filled="f" o:preferrelative="t" stroked="f" coordsize="21600,21600">
            <v:path/>
            <v:fill on="f" focussize="0,0"/>
            <v:stroke on="f" joinstyle="miter"/>
            <v:imagedata r:id="rId150" o:title=""/>
            <o:lock v:ext="edit" aspectratio="t"/>
          </v:shape>
          <o:OLEObject Type="Embed" ProgID="Equation.3" ShapeID="Object 876" DrawAspect="Content" ObjectID="_1468075776" r:id="rId149">
            <o:LockedField>false</o:LockedField>
          </o:OLEObject>
        </w:pict>
      </w:r>
      <w:r>
        <w:rPr>
          <w:rFonts w:ascii="Times New Roman" w:hAnsi="Times New Roman" w:cs="Times New Roman"/>
          <w:sz w:val="21"/>
          <w:szCs w:val="21"/>
        </w:rPr>
        <w:t xml:space="preserve">                     （A.2.5-1）</w:t>
      </w:r>
    </w:p>
    <w:p w14:paraId="4C9E7958">
      <w:pPr>
        <w:spacing w:line="360" w:lineRule="auto"/>
        <w:ind w:firstLine="525" w:firstLineChars="250"/>
        <w:jc w:val="right"/>
        <w:rPr>
          <w:rFonts w:ascii="Times New Roman" w:hAnsi="Times New Roman" w:cs="Times New Roman"/>
          <w:sz w:val="21"/>
          <w:szCs w:val="21"/>
        </w:rPr>
      </w:pPr>
      <w:r>
        <w:rPr>
          <w:rFonts w:ascii="Times New Roman" w:hAnsi="Times New Roman" w:cs="Times New Roman"/>
          <w:i/>
          <w:sz w:val="21"/>
          <w:szCs w:val="21"/>
        </w:rPr>
        <w:t>t</w:t>
      </w:r>
      <w:r>
        <w:rPr>
          <w:rFonts w:ascii="Times New Roman" w:hAnsi="Times New Roman" w:cs="Times New Roman"/>
          <w:sz w:val="21"/>
          <w:szCs w:val="21"/>
          <w:vertAlign w:val="subscript"/>
        </w:rPr>
        <w:t>1</w:t>
      </w:r>
      <w:r>
        <w:rPr>
          <w:rFonts w:ascii="Times New Roman" w:hAnsi="Times New Roman" w:cs="Times New Roman"/>
          <w:i/>
          <w:sz w:val="21"/>
          <w:szCs w:val="21"/>
        </w:rPr>
        <w:t>=α</w:t>
      </w:r>
      <w:r>
        <w:rPr>
          <w:rFonts w:ascii="Times New Roman" w:hAnsi="Times New Roman" w:cs="Times New Roman"/>
          <w:i/>
          <w:sz w:val="21"/>
          <w:szCs w:val="21"/>
          <w:vertAlign w:val="subscript"/>
        </w:rPr>
        <w:t>t1</w:t>
      </w:r>
      <w:r>
        <w:rPr>
          <w:rFonts w:ascii="Times New Roman" w:hAnsi="Times New Roman" w:cs="Times New Roman"/>
          <w:i/>
          <w:sz w:val="21"/>
          <w:szCs w:val="21"/>
        </w:rPr>
        <w:t>T</w:t>
      </w:r>
      <w:r>
        <w:rPr>
          <w:rFonts w:ascii="Times New Roman" w:hAnsi="Times New Roman" w:cs="Times New Roman"/>
          <w:i/>
          <w:sz w:val="21"/>
          <w:szCs w:val="21"/>
          <w:vertAlign w:val="subscript"/>
        </w:rPr>
        <w:t xml:space="preserve"> </w:t>
      </w:r>
      <w:r>
        <w:rPr>
          <w:rFonts w:ascii="Times New Roman" w:hAnsi="Times New Roman" w:cs="Times New Roman"/>
          <w:sz w:val="21"/>
          <w:szCs w:val="21"/>
        </w:rPr>
        <w:t xml:space="preserve">                               （A.2.5-2）</w:t>
      </w:r>
    </w:p>
    <w:p w14:paraId="2953383A">
      <w:pPr>
        <w:spacing w:line="360" w:lineRule="auto"/>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T</w:t>
      </w:r>
      <w:r>
        <w:rPr>
          <w:rFonts w:ascii="Times New Roman" w:hAnsi="Times New Roman" w:cs="Times New Roman"/>
          <w:sz w:val="21"/>
          <w:szCs w:val="21"/>
        </w:rPr>
        <w:t>——洪水总历时（h）；</w:t>
      </w:r>
    </w:p>
    <w:p w14:paraId="50650A06">
      <w:pPr>
        <w:spacing w:line="360" w:lineRule="auto"/>
        <w:ind w:firstLine="630" w:firstLineChars="300"/>
        <w:jc w:val="left"/>
        <w:rPr>
          <w:rFonts w:ascii="Times New Roman" w:hAnsi="Times New Roman" w:cs="Times New Roman"/>
          <w:sz w:val="21"/>
          <w:szCs w:val="21"/>
        </w:rPr>
      </w:pPr>
      <w:r>
        <w:rPr>
          <w:rFonts w:ascii="Times New Roman" w:hAnsi="Times New Roman" w:cs="Times New Roman"/>
          <w:i/>
          <w:sz w:val="21"/>
          <w:szCs w:val="21"/>
        </w:rPr>
        <w:t>t</w:t>
      </w:r>
      <w:r>
        <w:rPr>
          <w:rFonts w:ascii="Times New Roman" w:hAnsi="Times New Roman" w:cs="Times New Roman"/>
          <w:sz w:val="21"/>
          <w:szCs w:val="21"/>
          <w:vertAlign w:val="subscript"/>
        </w:rPr>
        <w:t>1</w:t>
      </w:r>
      <w:r>
        <w:rPr>
          <w:rFonts w:ascii="Times New Roman" w:hAnsi="Times New Roman" w:cs="Times New Roman"/>
          <w:sz w:val="21"/>
          <w:szCs w:val="21"/>
        </w:rPr>
        <w:t>——涨洪历时（h）；</w:t>
      </w:r>
    </w:p>
    <w:p w14:paraId="4F432D40">
      <w:pPr>
        <w:spacing w:line="360" w:lineRule="auto"/>
        <w:ind w:firstLine="630" w:firstLineChars="300"/>
        <w:jc w:val="left"/>
        <w:rPr>
          <w:rFonts w:ascii="Times New Roman" w:hAnsi="Times New Roman" w:cs="Times New Roman"/>
          <w:sz w:val="21"/>
          <w:szCs w:val="21"/>
        </w:rPr>
      </w:pPr>
      <w:r>
        <w:rPr>
          <w:rFonts w:ascii="Times New Roman" w:hAnsi="Times New Roman" w:cs="Times New Roman"/>
          <w:i/>
          <w:sz w:val="21"/>
          <w:szCs w:val="21"/>
        </w:rPr>
        <w:t>t</w:t>
      </w:r>
      <w:r>
        <w:rPr>
          <w:rFonts w:ascii="Times New Roman" w:hAnsi="Times New Roman" w:cs="Times New Roman"/>
          <w:sz w:val="21"/>
          <w:szCs w:val="21"/>
          <w:vertAlign w:val="subscript"/>
        </w:rPr>
        <w:t>2</w:t>
      </w:r>
      <w:r>
        <w:rPr>
          <w:rFonts w:ascii="Times New Roman" w:hAnsi="Times New Roman" w:cs="Times New Roman"/>
          <w:sz w:val="21"/>
          <w:szCs w:val="21"/>
        </w:rPr>
        <w:t>——退洪历时（h）；</w:t>
      </w:r>
    </w:p>
    <w:p w14:paraId="32A9D564">
      <w:pPr>
        <w:spacing w:line="360" w:lineRule="auto"/>
        <w:ind w:firstLine="630" w:firstLineChars="300"/>
        <w:jc w:val="left"/>
        <w:rPr>
          <w:rFonts w:ascii="Times New Roman" w:hAnsi="Times New Roman" w:cs="Times New Roman"/>
          <w:sz w:val="21"/>
          <w:szCs w:val="21"/>
        </w:rPr>
      </w:pPr>
      <w:r>
        <w:rPr>
          <w:rFonts w:ascii="Times New Roman" w:hAnsi="Times New Roman" w:cs="Times New Roman"/>
          <w:i/>
          <w:sz w:val="21"/>
          <w:szCs w:val="21"/>
        </w:rPr>
        <w:t>Q</w:t>
      </w:r>
      <w:r>
        <w:rPr>
          <w:rFonts w:ascii="Times New Roman" w:hAnsi="Times New Roman" w:cs="Times New Roman"/>
          <w:i/>
          <w:sz w:val="21"/>
          <w:szCs w:val="21"/>
          <w:vertAlign w:val="subscript"/>
        </w:rPr>
        <w:t>p</w:t>
      </w:r>
      <w:r>
        <w:rPr>
          <w:rFonts w:ascii="Times New Roman" w:hAnsi="Times New Roman" w:cs="Times New Roman"/>
          <w:sz w:val="21"/>
          <w:szCs w:val="21"/>
        </w:rPr>
        <w:t>——设计洪峰流量（m</w:t>
      </w:r>
      <w:r>
        <w:rPr>
          <w:rFonts w:ascii="Times New Roman" w:hAnsi="Times New Roman" w:cs="Times New Roman"/>
          <w:sz w:val="21"/>
          <w:szCs w:val="21"/>
          <w:vertAlign w:val="superscript"/>
        </w:rPr>
        <w:t>3</w:t>
      </w:r>
      <w:r>
        <w:rPr>
          <w:rFonts w:ascii="Times New Roman" w:hAnsi="Times New Roman" w:cs="Times New Roman"/>
          <w:sz w:val="21"/>
          <w:szCs w:val="21"/>
        </w:rPr>
        <w:t>/s）；</w:t>
      </w:r>
    </w:p>
    <w:p w14:paraId="617519AC">
      <w:pPr>
        <w:spacing w:line="360" w:lineRule="auto"/>
        <w:ind w:firstLine="630" w:firstLineChars="300"/>
        <w:jc w:val="left"/>
        <w:rPr>
          <w:rFonts w:ascii="Times New Roman" w:hAnsi="Times New Roman" w:cs="Times New Roman"/>
          <w:sz w:val="21"/>
          <w:szCs w:val="21"/>
        </w:rPr>
      </w:pPr>
      <w:r>
        <w:rPr>
          <w:rFonts w:ascii="Times New Roman" w:hAnsi="Times New Roman" w:cs="Times New Roman"/>
          <w:i/>
          <w:sz w:val="21"/>
          <w:szCs w:val="21"/>
        </w:rPr>
        <w:t>W</w:t>
      </w:r>
      <w:r>
        <w:rPr>
          <w:rFonts w:ascii="Times New Roman" w:hAnsi="Times New Roman" w:cs="Times New Roman"/>
          <w:i/>
          <w:sz w:val="21"/>
          <w:szCs w:val="21"/>
          <w:vertAlign w:val="subscript"/>
        </w:rPr>
        <w:t>p</w:t>
      </w:r>
      <w:r>
        <w:rPr>
          <w:rFonts w:ascii="Times New Roman" w:hAnsi="Times New Roman" w:cs="Times New Roman"/>
          <w:sz w:val="21"/>
          <w:szCs w:val="21"/>
        </w:rPr>
        <w:t>——设计洪水总量，10</w:t>
      </w:r>
      <w:r>
        <w:rPr>
          <w:rFonts w:ascii="Times New Roman" w:hAnsi="Times New Roman" w:cs="Times New Roman"/>
          <w:sz w:val="21"/>
          <w:szCs w:val="21"/>
          <w:vertAlign w:val="superscript"/>
        </w:rPr>
        <w:t>4</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w:t>
      </w:r>
    </w:p>
    <w:p w14:paraId="6F747538">
      <w:pPr>
        <w:spacing w:line="360" w:lineRule="auto"/>
        <w:ind w:left="1283" w:hanging="1283" w:hangingChars="611"/>
        <w:jc w:val="left"/>
        <w:rPr>
          <w:rFonts w:ascii="Times New Roman" w:hAnsi="Times New Roman" w:cs="Times New Roman"/>
          <w:sz w:val="21"/>
          <w:szCs w:val="21"/>
        </w:rPr>
      </w:pPr>
      <w:r>
        <w:rPr>
          <w:rFonts w:ascii="Times New Roman" w:hAnsi="Times New Roman" w:cs="Times New Roman"/>
          <w:sz w:val="21"/>
          <w:szCs w:val="21"/>
        </w:rPr>
        <w:t xml:space="preserve">      </w:t>
      </w:r>
      <w:r>
        <w:rPr>
          <w:rFonts w:ascii="Times New Roman" w:hAnsi="Times New Roman" w:cs="Times New Roman"/>
          <w:i/>
          <w:sz w:val="21"/>
          <w:szCs w:val="21"/>
        </w:rPr>
        <w:t>α</w:t>
      </w:r>
      <w:r>
        <w:rPr>
          <w:rFonts w:ascii="Times New Roman" w:hAnsi="Times New Roman" w:cs="Times New Roman"/>
          <w:i/>
          <w:sz w:val="21"/>
          <w:szCs w:val="21"/>
          <w:vertAlign w:val="subscript"/>
        </w:rPr>
        <w:t>t1</w:t>
      </w:r>
      <w:r>
        <w:rPr>
          <w:rFonts w:ascii="Times New Roman" w:hAnsi="Times New Roman" w:cs="Times New Roman"/>
          <w:sz w:val="21"/>
          <w:szCs w:val="21"/>
        </w:rPr>
        <w:t>——涨洪历时系数，其值变化在0.1～0.5之间，视洪水产汇流条件而异，具体计算时取用当地的经验值；</w:t>
      </w:r>
    </w:p>
    <w:p w14:paraId="3952BF73">
      <w:pPr>
        <w:jc w:val="center"/>
        <w:rPr>
          <w:rFonts w:ascii="Times New Roman" w:hAnsi="Times New Roman" w:eastAsia="黑体" w:cs="Times New Roman"/>
          <w:sz w:val="18"/>
          <w:szCs w:val="18"/>
        </w:rPr>
      </w:pPr>
      <w:r>
        <w:rPr>
          <w:rFonts w:ascii="Times New Roman" w:hAnsi="Times New Roman" w:cs="Times New Roman"/>
          <w:b/>
          <w:sz w:val="21"/>
          <w:szCs w:val="21"/>
        </w:rPr>
        <w:object>
          <v:shape id="_x0000_i1080" o:spt="75" type="#_x0000_t75" style="height:159.65pt;width:417pt;" o:ole="t" filled="f" o:preferrelative="t" stroked="f" coordsize="21600,21600">
            <v:path/>
            <v:fill on="f" focussize="0,0"/>
            <v:stroke on="f" joinstyle="miter"/>
            <v:imagedata r:id="rId152" o:title=""/>
            <o:lock v:ext="edit" aspectratio="t"/>
            <w10:wrap type="none"/>
            <w10:anchorlock/>
          </v:shape>
          <o:OLEObject Type="Embed" ProgID="AutoCAD.Drawing.15" ShapeID="_x0000_i1080" DrawAspect="Content" ObjectID="_1468075777" r:id="rId151">
            <o:LockedField>false</o:LockedField>
          </o:OLEObject>
        </w:object>
      </w:r>
      <w:r>
        <w:rPr>
          <w:rFonts w:ascii="Times New Roman" w:hAnsi="Times New Roman" w:eastAsia="黑体" w:cs="Times New Roman"/>
          <w:sz w:val="18"/>
          <w:szCs w:val="18"/>
        </w:rPr>
        <w:t>图A.2.5  概化三角形过程线</w:t>
      </w:r>
    </w:p>
    <w:p w14:paraId="56621ADB">
      <w:pPr>
        <w:spacing w:before="72" w:after="72" w:line="360" w:lineRule="auto"/>
        <w:jc w:val="left"/>
        <w:rPr>
          <w:rFonts w:ascii="Times New Roman" w:hAnsi="Times New Roman" w:cs="Times New Roman"/>
          <w:sz w:val="21"/>
          <w:szCs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2</w:t>
      </w:r>
      <w:r>
        <w:rPr>
          <w:rFonts w:ascii="Times New Roman" w:hAnsi="Times New Roman" w:cs="Times New Roman"/>
          <w:b/>
          <w:sz w:val="21"/>
        </w:rPr>
        <w:t>.</w:t>
      </w:r>
      <w:r>
        <w:rPr>
          <w:rFonts w:ascii="Times New Roman" w:hAnsi="Times New Roman" w:eastAsia="黑体" w:cs="Times New Roman"/>
          <w:b/>
          <w:sz w:val="21"/>
        </w:rPr>
        <w:t>6</w:t>
      </w:r>
      <w:r>
        <w:rPr>
          <w:rFonts w:ascii="Times New Roman" w:hAnsi="Times New Roman" w:cs="Times New Roman"/>
          <w:b/>
          <w:sz w:val="21"/>
          <w:szCs w:val="21"/>
        </w:rPr>
        <w:t xml:space="preserve"> </w:t>
      </w:r>
      <w:r>
        <w:rPr>
          <w:rFonts w:ascii="Times New Roman" w:hAnsi="Times New Roman" w:cs="Times New Roman"/>
          <w:sz w:val="21"/>
          <w:szCs w:val="21"/>
        </w:rPr>
        <w:t xml:space="preserve"> 蓄水型沟头防护工程来水量可按下式计算： </w:t>
      </w:r>
    </w:p>
    <w:p w14:paraId="66713A5A">
      <w:pPr>
        <w:spacing w:before="72" w:after="72" w:line="360" w:lineRule="auto"/>
        <w:ind w:right="17"/>
        <w:jc w:val="right"/>
        <w:rPr>
          <w:rFonts w:ascii="Times New Roman" w:hAnsi="Times New Roman" w:cs="Times New Roman"/>
          <w:sz w:val="21"/>
          <w:szCs w:val="21"/>
        </w:rPr>
      </w:pPr>
      <w:r>
        <w:rPr>
          <w:rFonts w:ascii="Times New Roman" w:hAnsi="Times New Roman" w:cs="Times New Roman"/>
          <w:b/>
          <w:i/>
          <w:iCs/>
          <w:position w:val="-14"/>
          <w:sz w:val="21"/>
          <w:szCs w:val="21"/>
        </w:rPr>
        <w:object>
          <v:shape id="_x0000_i1081" o:spt="75" type="#_x0000_t75" style="height:15pt;width:61.8pt;" o:ole="t" filled="f" o:preferrelative="t" stroked="f" coordsize="21600,21600">
            <v:path/>
            <v:fill on="f" focussize="0,0"/>
            <v:stroke on="f" joinstyle="miter"/>
            <v:imagedata r:id="rId154" o:title=""/>
            <o:lock v:ext="edit" aspectratio="t"/>
            <w10:wrap type="none"/>
            <w10:anchorlock/>
          </v:shape>
          <o:OLEObject Type="Embed" ProgID="Equation.3" ShapeID="_x0000_i1081" DrawAspect="Content" ObjectID="_1468075778" r:id="rId153">
            <o:LockedField>false</o:LockedField>
          </o:OLEObject>
        </w:object>
      </w:r>
      <w:r>
        <w:rPr>
          <w:rFonts w:ascii="Times New Roman" w:hAnsi="Times New Roman" w:cs="Times New Roman"/>
          <w:iCs/>
          <w:sz w:val="21"/>
          <w:szCs w:val="21"/>
        </w:rPr>
        <w:t xml:space="preserve">                          </w:t>
      </w:r>
      <w:r>
        <w:rPr>
          <w:rFonts w:ascii="Times New Roman" w:hAnsi="Times New Roman" w:cs="Times New Roman"/>
          <w:kern w:val="0"/>
          <w:sz w:val="21"/>
          <w:szCs w:val="21"/>
        </w:rPr>
        <w:t>（A.2.6）</w:t>
      </w:r>
    </w:p>
    <w:p w14:paraId="3DF16B96">
      <w:pPr>
        <w:spacing w:line="360" w:lineRule="auto"/>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iCs/>
          <w:sz w:val="21"/>
          <w:szCs w:val="21"/>
        </w:rPr>
        <w:t>W</w:t>
      </w:r>
      <w:r>
        <w:rPr>
          <w:rFonts w:ascii="Times New Roman" w:hAnsi="Times New Roman" w:cs="Times New Roman"/>
          <w:sz w:val="21"/>
          <w:szCs w:val="21"/>
        </w:rPr>
        <w:t>——来水量（m</w:t>
      </w:r>
      <w:r>
        <w:rPr>
          <w:rFonts w:ascii="Times New Roman" w:hAnsi="Times New Roman" w:cs="Times New Roman"/>
          <w:sz w:val="21"/>
          <w:szCs w:val="21"/>
          <w:vertAlign w:val="superscript"/>
        </w:rPr>
        <w:t>3</w:t>
      </w:r>
      <w:r>
        <w:rPr>
          <w:rFonts w:ascii="Times New Roman" w:hAnsi="Times New Roman" w:cs="Times New Roman"/>
          <w:sz w:val="21"/>
          <w:szCs w:val="21"/>
        </w:rPr>
        <w:t>）；</w:t>
      </w:r>
    </w:p>
    <w:p w14:paraId="7FBCE70A">
      <w:pPr>
        <w:spacing w:line="360" w:lineRule="auto"/>
        <w:ind w:firstLine="644" w:firstLineChars="307"/>
        <w:jc w:val="left"/>
        <w:rPr>
          <w:rFonts w:ascii="Times New Roman" w:hAnsi="Times New Roman" w:cs="Times New Roman"/>
          <w:sz w:val="21"/>
          <w:szCs w:val="21"/>
        </w:rPr>
      </w:pPr>
      <w:r>
        <w:rPr>
          <w:rFonts w:ascii="Times New Roman" w:hAnsi="Times New Roman" w:cs="Times New Roman"/>
          <w:i/>
          <w:sz w:val="21"/>
          <w:szCs w:val="21"/>
        </w:rPr>
        <w:t>F</w:t>
      </w:r>
      <w:r>
        <w:rPr>
          <w:rFonts w:ascii="Times New Roman" w:hAnsi="Times New Roman" w:cs="Times New Roman"/>
          <w:sz w:val="21"/>
          <w:szCs w:val="21"/>
        </w:rPr>
        <w:t>——沟头以上集水面积（hm</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02AE7349">
      <w:pPr>
        <w:spacing w:line="360" w:lineRule="auto"/>
        <w:ind w:firstLine="644" w:firstLineChars="307"/>
        <w:jc w:val="left"/>
        <w:rPr>
          <w:rFonts w:ascii="Times New Roman" w:hAnsi="Times New Roman" w:cs="Times New Roman"/>
          <w:sz w:val="21"/>
          <w:szCs w:val="21"/>
        </w:rPr>
      </w:pPr>
      <w:r>
        <w:rPr>
          <w:rFonts w:ascii="Times New Roman" w:hAnsi="Times New Roman" w:cs="Times New Roman"/>
          <w:i/>
          <w:sz w:val="21"/>
          <w:szCs w:val="21"/>
        </w:rPr>
        <w:t>R</w:t>
      </w:r>
      <w:r>
        <w:rPr>
          <w:rFonts w:ascii="Times New Roman" w:hAnsi="Times New Roman" w:cs="Times New Roman"/>
          <w:sz w:val="21"/>
          <w:szCs w:val="21"/>
          <w:vertAlign w:val="subscript"/>
        </w:rPr>
        <w:t>(</w:t>
      </w:r>
      <w:r>
        <w:rPr>
          <w:rFonts w:ascii="Times New Roman" w:hAnsi="Times New Roman" w:cs="Times New Roman"/>
          <w:i/>
          <w:sz w:val="21"/>
          <w:szCs w:val="21"/>
          <w:vertAlign w:val="subscript"/>
        </w:rPr>
        <w:t>m,n</w:t>
      </w:r>
      <w:r>
        <w:rPr>
          <w:rFonts w:ascii="Times New Roman" w:hAnsi="Times New Roman" w:cs="Times New Roman"/>
          <w:sz w:val="21"/>
          <w:szCs w:val="21"/>
          <w:vertAlign w:val="subscript"/>
        </w:rPr>
        <w:t>)</w:t>
      </w:r>
      <w:r>
        <w:rPr>
          <w:rFonts w:ascii="Times New Roman" w:hAnsi="Times New Roman" w:cs="Times New Roman"/>
          <w:sz w:val="21"/>
          <w:szCs w:val="21"/>
        </w:rPr>
        <w:t>——</w:t>
      </w:r>
      <w:r>
        <w:rPr>
          <w:rFonts w:ascii="Times New Roman" w:hAnsi="Times New Roman" w:cs="Times New Roman"/>
          <w:i/>
          <w:sz w:val="21"/>
          <w:szCs w:val="21"/>
        </w:rPr>
        <w:t>m</w:t>
      </w:r>
      <w:r>
        <w:rPr>
          <w:rFonts w:ascii="Times New Roman" w:hAnsi="Times New Roman" w:cs="Times New Roman"/>
          <w:sz w:val="21"/>
          <w:szCs w:val="21"/>
        </w:rPr>
        <w:t>年一遇</w:t>
      </w:r>
      <w:r>
        <w:rPr>
          <w:rFonts w:ascii="Times New Roman" w:hAnsi="Times New Roman" w:cs="Times New Roman"/>
          <w:i/>
          <w:sz w:val="21"/>
          <w:szCs w:val="21"/>
        </w:rPr>
        <w:t>n</w:t>
      </w:r>
      <w:r>
        <w:rPr>
          <w:rFonts w:ascii="Times New Roman" w:hAnsi="Times New Roman" w:cs="Times New Roman"/>
          <w:sz w:val="21"/>
          <w:szCs w:val="21"/>
        </w:rPr>
        <w:t>小时最大降雨量（mm）；</w:t>
      </w:r>
    </w:p>
    <w:p w14:paraId="74850268">
      <w:pPr>
        <w:spacing w:line="360" w:lineRule="auto"/>
        <w:ind w:firstLine="644" w:firstLineChars="307"/>
        <w:jc w:val="left"/>
        <w:rPr>
          <w:rFonts w:ascii="Times New Roman" w:hAnsi="Times New Roman" w:cs="Times New Roman"/>
          <w:sz w:val="21"/>
          <w:szCs w:val="21"/>
        </w:rPr>
      </w:pPr>
      <w:r>
        <w:rPr>
          <w:rFonts w:ascii="Times New Roman" w:hAnsi="Times New Roman" w:cs="Times New Roman"/>
          <w:i/>
          <w:sz w:val="21"/>
          <w:szCs w:val="21"/>
        </w:rPr>
        <w:t>φ</w:t>
      </w:r>
      <w:r>
        <w:rPr>
          <w:rFonts w:ascii="Times New Roman" w:hAnsi="Times New Roman" w:cs="Times New Roman"/>
          <w:sz w:val="21"/>
          <w:szCs w:val="21"/>
        </w:rPr>
        <w:t>——径流系数。</w:t>
      </w:r>
    </w:p>
    <w:p w14:paraId="1D4E9026">
      <w:pPr>
        <w:keepNext/>
        <w:keepLines/>
        <w:spacing w:before="260" w:after="260"/>
        <w:jc w:val="center"/>
        <w:outlineLvl w:val="2"/>
        <w:rPr>
          <w:rFonts w:ascii="Times New Roman" w:hAnsi="Times New Roman" w:eastAsia="黑体" w:cs="Times New Roman"/>
          <w:bCs/>
          <w:sz w:val="24"/>
          <w:szCs w:val="24"/>
        </w:rPr>
      </w:pPr>
      <w:bookmarkStart w:id="595" w:name="_Toc324287630"/>
      <w:bookmarkStart w:id="596" w:name="_Toc324282338"/>
      <w:bookmarkStart w:id="597" w:name="_Toc324358157"/>
      <w:bookmarkStart w:id="598" w:name="_Toc324687838"/>
      <w:bookmarkStart w:id="599" w:name="_Toc360520038"/>
      <w:bookmarkStart w:id="600" w:name="_Toc324280303"/>
      <w:bookmarkStart w:id="601" w:name="_Toc29102"/>
      <w:bookmarkStart w:id="602" w:name="_Toc360528912"/>
      <w:bookmarkStart w:id="603" w:name="_Toc360526318"/>
      <w:r>
        <w:rPr>
          <w:rFonts w:ascii="Times New Roman" w:hAnsi="Times New Roman" w:eastAsia="黑体" w:cs="Times New Roman"/>
          <w:bCs/>
          <w:sz w:val="24"/>
          <w:szCs w:val="24"/>
        </w:rPr>
        <w:t>A</w:t>
      </w:r>
      <w:r>
        <w:rPr>
          <w:rFonts w:ascii="Times New Roman" w:hAnsi="Times New Roman" w:cs="Times New Roman"/>
          <w:bCs/>
          <w:sz w:val="24"/>
          <w:szCs w:val="24"/>
        </w:rPr>
        <w:t>.</w:t>
      </w:r>
      <w:r>
        <w:rPr>
          <w:rFonts w:ascii="Times New Roman" w:hAnsi="Times New Roman" w:eastAsia="黑体" w:cs="Times New Roman"/>
          <w:bCs/>
          <w:sz w:val="24"/>
          <w:szCs w:val="24"/>
        </w:rPr>
        <w:t>3 输沙量计算</w:t>
      </w:r>
      <w:bookmarkEnd w:id="595"/>
      <w:bookmarkEnd w:id="596"/>
      <w:bookmarkEnd w:id="597"/>
      <w:bookmarkEnd w:id="598"/>
      <w:bookmarkEnd w:id="599"/>
      <w:bookmarkEnd w:id="600"/>
      <w:bookmarkEnd w:id="601"/>
      <w:bookmarkEnd w:id="602"/>
      <w:bookmarkEnd w:id="603"/>
    </w:p>
    <w:p w14:paraId="50802130">
      <w:pPr>
        <w:spacing w:before="72" w:after="72" w:line="360" w:lineRule="auto"/>
        <w:jc w:val="left"/>
        <w:rPr>
          <w:rFonts w:ascii="Times New Roman" w:hAnsi="Times New Roman" w:cs="Times New Roman"/>
          <w:sz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3</w:t>
      </w:r>
      <w:r>
        <w:rPr>
          <w:rFonts w:ascii="Times New Roman" w:hAnsi="Times New Roman" w:cs="Times New Roman"/>
          <w:b/>
          <w:sz w:val="21"/>
        </w:rPr>
        <w:t>.</w:t>
      </w:r>
      <w:r>
        <w:rPr>
          <w:rFonts w:ascii="Times New Roman" w:hAnsi="Times New Roman" w:eastAsia="黑体" w:cs="Times New Roman"/>
          <w:b/>
          <w:sz w:val="21"/>
        </w:rPr>
        <w:t>1</w:t>
      </w:r>
      <w:r>
        <w:rPr>
          <w:rFonts w:ascii="Times New Roman" w:hAnsi="Times New Roman" w:cs="Times New Roman"/>
          <w:b/>
          <w:sz w:val="21"/>
        </w:rPr>
        <w:t xml:space="preserve"> </w:t>
      </w:r>
      <w:r>
        <w:rPr>
          <w:rFonts w:ascii="Times New Roman" w:hAnsi="Times New Roman" w:cs="Times New Roman"/>
          <w:sz w:val="21"/>
        </w:rPr>
        <w:t xml:space="preserve"> 沟道输沙量应包括悬移质输沙量和推移质输沙量两部分，可按下式计算：</w:t>
      </w:r>
    </w:p>
    <w:p w14:paraId="0069C6E1">
      <w:pPr>
        <w:spacing w:line="336" w:lineRule="auto"/>
        <w:ind w:firstLine="527" w:firstLineChars="250"/>
        <w:jc w:val="right"/>
        <w:rPr>
          <w:rFonts w:ascii="Times New Roman" w:hAnsi="Times New Roman" w:cs="Times New Roman"/>
          <w:sz w:val="21"/>
        </w:rPr>
      </w:pPr>
      <w:r>
        <w:rPr>
          <w:rFonts w:ascii="Times New Roman" w:hAnsi="Times New Roman" w:cs="Times New Roman"/>
          <w:b/>
          <w:position w:val="-12"/>
          <w:sz w:val="21"/>
        </w:rPr>
        <w:object>
          <v:shape id="_x0000_i1082" o:spt="75" type="#_x0000_t75" style="height:17.4pt;width:59.4pt;" o:ole="t" filled="f" o:preferrelative="t" stroked="f" coordsize="21600,21600">
            <v:path/>
            <v:fill on="f" focussize="0,0"/>
            <v:stroke on="f" joinstyle="miter"/>
            <v:imagedata r:id="rId156" o:title=""/>
            <o:lock v:ext="edit" aspectratio="t"/>
            <w10:wrap type="none"/>
            <w10:anchorlock/>
          </v:shape>
          <o:OLEObject Type="Embed" ProgID="Equation.3" ShapeID="_x0000_i1082" DrawAspect="Content" ObjectID="_1468075779" r:id="rId155">
            <o:LockedField>false</o:LockedField>
          </o:OLEObject>
        </w:object>
      </w:r>
      <w:r>
        <w:rPr>
          <w:rFonts w:ascii="Times New Roman" w:hAnsi="Times New Roman" w:cs="Times New Roman"/>
          <w:sz w:val="21"/>
        </w:rPr>
        <w:t xml:space="preserve">                          （A.3.1-1）</w:t>
      </w:r>
    </w:p>
    <w:p w14:paraId="4DE0E259">
      <w:pPr>
        <w:spacing w:line="336" w:lineRule="auto"/>
        <w:jc w:val="left"/>
        <w:rPr>
          <w:rFonts w:ascii="Times New Roman" w:hAnsi="Times New Roman" w:cs="Times New Roman"/>
          <w:sz w:val="21"/>
        </w:rPr>
      </w:pPr>
      <w:r>
        <w:rPr>
          <w:rFonts w:ascii="Times New Roman" w:hAnsi="Times New Roman" w:cs="Times New Roman"/>
          <w:sz w:val="21"/>
        </w:rPr>
        <w:t>式中：</w:t>
      </w:r>
      <w:r>
        <w:rPr>
          <w:rFonts w:ascii="Times New Roman" w:hAnsi="Times New Roman" w:cs="Times New Roman"/>
          <w:b/>
          <w:position w:val="-12"/>
          <w:sz w:val="21"/>
        </w:rPr>
        <w:object>
          <v:shape id="_x0000_i1083" o:spt="75" type="#_x0000_t75" style="height:15pt;width:15pt;" o:ole="t" filled="f" o:preferrelative="t" stroked="f" coordsize="21600,21600">
            <v:path/>
            <v:fill on="f" focussize="0,0"/>
            <v:stroke on="f" joinstyle="miter"/>
            <v:imagedata r:id="rId158" o:title=""/>
            <o:lock v:ext="edit" aspectratio="t"/>
            <w10:wrap type="none"/>
            <w10:anchorlock/>
          </v:shape>
          <o:OLEObject Type="Embed" ProgID="Equation.3" ShapeID="_x0000_i1083" DrawAspect="Content" ObjectID="_1468075780" r:id="rId157">
            <o:LockedField>false</o:LockedField>
          </o:OLEObject>
        </w:object>
      </w:r>
      <w:r>
        <w:rPr>
          <w:rFonts w:ascii="Times New Roman" w:hAnsi="Times New Roman" w:cs="Times New Roman"/>
          <w:sz w:val="21"/>
        </w:rPr>
        <w:t>——多年平均输沙量，10</w:t>
      </w:r>
      <w:r>
        <w:rPr>
          <w:rFonts w:ascii="Times New Roman" w:hAnsi="Times New Roman" w:cs="Times New Roman"/>
          <w:sz w:val="21"/>
          <w:vertAlign w:val="superscript"/>
        </w:rPr>
        <w:t>4</w:t>
      </w:r>
      <w:r>
        <w:rPr>
          <w:rFonts w:ascii="Times New Roman" w:hAnsi="Times New Roman" w:cs="Times New Roman"/>
          <w:sz w:val="21"/>
        </w:rPr>
        <w:t>t/a；</w:t>
      </w:r>
    </w:p>
    <w:p w14:paraId="64B134D5">
      <w:pPr>
        <w:spacing w:line="336" w:lineRule="auto"/>
        <w:ind w:firstLine="632" w:firstLineChars="300"/>
        <w:jc w:val="left"/>
        <w:rPr>
          <w:rFonts w:ascii="Times New Roman" w:hAnsi="Times New Roman" w:cs="Times New Roman"/>
          <w:sz w:val="21"/>
        </w:rPr>
      </w:pPr>
      <w:r>
        <w:rPr>
          <w:rFonts w:ascii="Times New Roman" w:hAnsi="Times New Roman" w:cs="Times New Roman"/>
          <w:b/>
          <w:position w:val="-12"/>
          <w:sz w:val="21"/>
        </w:rPr>
        <w:object>
          <v:shape id="_x0000_i1084" o:spt="75" type="#_x0000_t75" style="height:15pt;width:12.6pt;" o:ole="t" filled="f" o:preferrelative="t" stroked="f" coordsize="21600,21600">
            <v:path/>
            <v:fill on="f" focussize="0,0"/>
            <v:stroke on="f" joinstyle="miter"/>
            <v:imagedata r:id="rId160" o:title=""/>
            <o:lock v:ext="edit" aspectratio="t"/>
            <w10:wrap type="none"/>
            <w10:anchorlock/>
          </v:shape>
          <o:OLEObject Type="Embed" ProgID="Equation.3" ShapeID="_x0000_i1084" DrawAspect="Content" ObjectID="_1468075781" r:id="rId159">
            <o:LockedField>false</o:LockedField>
          </o:OLEObject>
        </w:object>
      </w:r>
      <w:r>
        <w:rPr>
          <w:rFonts w:ascii="Times New Roman" w:hAnsi="Times New Roman" w:cs="Times New Roman"/>
          <w:sz w:val="21"/>
        </w:rPr>
        <w:t>——多年平均悬移质输沙量，10</w:t>
      </w:r>
      <w:r>
        <w:rPr>
          <w:rFonts w:ascii="Times New Roman" w:hAnsi="Times New Roman" w:cs="Times New Roman"/>
          <w:sz w:val="21"/>
          <w:vertAlign w:val="superscript"/>
        </w:rPr>
        <w:t>4</w:t>
      </w:r>
      <w:r>
        <w:rPr>
          <w:rFonts w:ascii="Times New Roman" w:hAnsi="Times New Roman" w:cs="Times New Roman"/>
          <w:sz w:val="21"/>
        </w:rPr>
        <w:t>t/a；</w:t>
      </w:r>
    </w:p>
    <w:p w14:paraId="519547B9">
      <w:pPr>
        <w:spacing w:line="336" w:lineRule="auto"/>
        <w:ind w:firstLine="632" w:firstLineChars="300"/>
        <w:jc w:val="left"/>
        <w:rPr>
          <w:rFonts w:ascii="Times New Roman" w:hAnsi="Times New Roman" w:cs="Times New Roman"/>
          <w:sz w:val="21"/>
        </w:rPr>
      </w:pPr>
      <w:r>
        <w:rPr>
          <w:rFonts w:ascii="Times New Roman" w:hAnsi="Times New Roman" w:cs="Times New Roman"/>
          <w:b/>
          <w:position w:val="-12"/>
          <w:sz w:val="21"/>
        </w:rPr>
        <w:object>
          <v:shape id="_x0000_i1085" o:spt="75" type="#_x0000_t75" style="height:15pt;width:13.2pt;" o:ole="t" filled="f" o:preferrelative="t" stroked="f" coordsize="21600,21600">
            <v:path/>
            <v:fill on="f" focussize="0,0"/>
            <v:stroke on="f" joinstyle="miter"/>
            <v:imagedata r:id="rId162" o:title=""/>
            <o:lock v:ext="edit" aspectratio="t"/>
            <w10:wrap type="none"/>
            <w10:anchorlock/>
          </v:shape>
          <o:OLEObject Type="Embed" ProgID="Equation.3" ShapeID="_x0000_i1085" DrawAspect="Content" ObjectID="_1468075782" r:id="rId161">
            <o:LockedField>false</o:LockedField>
          </o:OLEObject>
        </w:object>
      </w:r>
      <w:r>
        <w:rPr>
          <w:rFonts w:ascii="Times New Roman" w:hAnsi="Times New Roman" w:cs="Times New Roman"/>
          <w:sz w:val="21"/>
        </w:rPr>
        <w:t>——多年平均推移质输沙量，10</w:t>
      </w:r>
      <w:r>
        <w:rPr>
          <w:rFonts w:ascii="Times New Roman" w:hAnsi="Times New Roman" w:cs="Times New Roman"/>
          <w:sz w:val="21"/>
          <w:vertAlign w:val="superscript"/>
        </w:rPr>
        <w:t>4</w:t>
      </w:r>
      <w:r>
        <w:rPr>
          <w:rFonts w:ascii="Times New Roman" w:hAnsi="Times New Roman" w:cs="Times New Roman"/>
          <w:sz w:val="21"/>
        </w:rPr>
        <w:t>t/a。</w:t>
      </w:r>
    </w:p>
    <w:p w14:paraId="271FAF52">
      <w:pPr>
        <w:spacing w:line="360" w:lineRule="auto"/>
        <w:ind w:firstLine="420" w:firstLineChars="200"/>
        <w:jc w:val="left"/>
        <w:rPr>
          <w:rFonts w:ascii="Times New Roman" w:hAnsi="Times New Roman" w:cs="Times New Roman"/>
          <w:sz w:val="21"/>
        </w:rPr>
      </w:pPr>
      <w:r>
        <w:rPr>
          <w:rFonts w:ascii="Times New Roman" w:hAnsi="Times New Roman" w:cs="Times New Roman"/>
          <w:sz w:val="21"/>
        </w:rPr>
        <w:t>其中，悬移质输沙量采用经主管部门同意的输沙模数图估算时，按式A.3.1-2计算；采用平均径流模数按当地经验值估算时，按式A.3.1-3计算</w:t>
      </w:r>
      <w:r>
        <w:rPr>
          <w:rFonts w:hint="eastAsia" w:ascii="Times New Roman" w:hAnsi="Times New Roman" w:cs="Times New Roman"/>
          <w:sz w:val="21"/>
        </w:rPr>
        <w:t>：</w:t>
      </w:r>
    </w:p>
    <w:p w14:paraId="0D81E2D9">
      <w:pPr>
        <w:spacing w:line="336" w:lineRule="auto"/>
        <w:ind w:firstLine="422" w:firstLineChars="200"/>
        <w:jc w:val="right"/>
        <w:rPr>
          <w:rFonts w:ascii="Times New Roman" w:hAnsi="Times New Roman" w:cs="Times New Roman"/>
          <w:sz w:val="21"/>
          <w:szCs w:val="21"/>
        </w:rPr>
      </w:pPr>
      <w:r>
        <w:rPr>
          <w:rFonts w:ascii="Times New Roman" w:hAnsi="Times New Roman" w:cs="Times New Roman"/>
          <w:b/>
          <w:position w:val="-12"/>
          <w:sz w:val="21"/>
          <w:szCs w:val="21"/>
        </w:rPr>
        <w:object>
          <v:shape id="_x0000_i1086" o:spt="75" type="#_x0000_t75" style="height:16.2pt;width:14.4pt;" o:ole="t" filled="f" o:preferrelative="t" stroked="f" coordsize="21600,21600">
            <v:path/>
            <v:fill on="f" focussize="0,0"/>
            <v:stroke on="f" joinstyle="miter"/>
            <v:imagedata r:id="rId164" o:title=""/>
            <o:lock v:ext="edit" aspectratio="t"/>
            <w10:wrap type="none"/>
            <w10:anchorlock/>
          </v:shape>
          <o:OLEObject Type="Embed" ProgID="Equation.3" ShapeID="_x0000_i1086" DrawAspect="Content" ObjectID="_1468075783" r:id="rId163">
            <o:LockedField>false</o:LockedField>
          </o:OLEObject>
        </w:object>
      </w:r>
      <w:r>
        <w:rPr>
          <w:rFonts w:ascii="Times New Roman" w:hAnsi="Times New Roman" w:cs="Times New Roman"/>
          <w:sz w:val="21"/>
          <w:szCs w:val="21"/>
        </w:rPr>
        <w:t>=</w:t>
      </w:r>
      <w:r>
        <w:rPr>
          <w:rFonts w:ascii="Times New Roman" w:hAnsi="Times New Roman" w:cs="Times New Roman"/>
          <w:i/>
          <w:sz w:val="21"/>
          <w:szCs w:val="21"/>
        </w:rPr>
        <w:t>ΣM</w:t>
      </w:r>
      <w:r>
        <w:rPr>
          <w:rFonts w:ascii="Times New Roman" w:hAnsi="Times New Roman" w:cs="Times New Roman"/>
          <w:i/>
          <w:sz w:val="21"/>
          <w:szCs w:val="21"/>
          <w:vertAlign w:val="subscript"/>
        </w:rPr>
        <w:t>si</w:t>
      </w:r>
      <w:r>
        <w:rPr>
          <w:rFonts w:ascii="Times New Roman" w:hAnsi="Times New Roman" w:cs="Times New Roman"/>
          <w:i/>
          <w:sz w:val="21"/>
          <w:szCs w:val="21"/>
        </w:rPr>
        <w:t>F</w:t>
      </w:r>
      <w:r>
        <w:rPr>
          <w:rFonts w:ascii="Times New Roman" w:hAnsi="Times New Roman" w:cs="Times New Roman"/>
          <w:i/>
          <w:sz w:val="21"/>
          <w:szCs w:val="21"/>
          <w:vertAlign w:val="subscript"/>
        </w:rPr>
        <w:t>i</w:t>
      </w:r>
      <w:r>
        <w:rPr>
          <w:rFonts w:ascii="Times New Roman" w:hAnsi="Times New Roman" w:cs="Times New Roman"/>
          <w:sz w:val="21"/>
          <w:szCs w:val="21"/>
        </w:rPr>
        <w:t xml:space="preserve">                            （A.3.1-2）</w:t>
      </w:r>
    </w:p>
    <w:p w14:paraId="1F392AF7">
      <w:pPr>
        <w:spacing w:line="336" w:lineRule="auto"/>
        <w:ind w:firstLine="422" w:firstLineChars="200"/>
        <w:jc w:val="right"/>
        <w:rPr>
          <w:rFonts w:ascii="Times New Roman" w:hAnsi="Times New Roman" w:cs="Times New Roman"/>
          <w:sz w:val="21"/>
          <w:szCs w:val="21"/>
        </w:rPr>
      </w:pPr>
      <w:r>
        <w:rPr>
          <w:rFonts w:ascii="Times New Roman" w:hAnsi="Times New Roman" w:cs="Times New Roman"/>
          <w:b/>
          <w:i/>
          <w:position w:val="-12"/>
          <w:sz w:val="21"/>
          <w:szCs w:val="21"/>
        </w:rPr>
        <w:object>
          <v:shape id="_x0000_i1087" o:spt="75" type="#_x0000_t75" style="height:16.2pt;width:15pt;" o:ole="t" filled="f" o:preferrelative="t" stroked="f" coordsize="21600,21600">
            <v:path/>
            <v:fill on="f" focussize="0,0"/>
            <v:stroke on="f" joinstyle="miter"/>
            <v:imagedata r:id="rId166" o:title=""/>
            <o:lock v:ext="edit" aspectratio="t"/>
            <w10:wrap type="none"/>
            <w10:anchorlock/>
          </v:shape>
          <o:OLEObject Type="Embed" ProgID="Equation.3" ShapeID="_x0000_i1087" DrawAspect="Content" ObjectID="_1468075784" r:id="rId165">
            <o:LockedField>false</o:LockedField>
          </o:OLEObject>
        </w:object>
      </w:r>
      <w:r>
        <w:rPr>
          <w:rFonts w:ascii="Times New Roman" w:hAnsi="Times New Roman" w:cs="Times New Roman"/>
          <w:i/>
          <w:sz w:val="21"/>
          <w:szCs w:val="21"/>
        </w:rPr>
        <w:t>=K</w:t>
      </w:r>
      <w:r>
        <w:rPr>
          <w:rFonts w:ascii="Times New Roman" w:hAnsi="Times New Roman" w:cs="Times New Roman"/>
          <w:b/>
          <w:i/>
          <w:position w:val="-6"/>
          <w:sz w:val="21"/>
          <w:szCs w:val="21"/>
        </w:rPr>
        <w:object>
          <v:shape id="_x0000_i1088" o:spt="75" type="#_x0000_t75" style="height:15pt;width:21pt;" o:ole="t" filled="f" o:preferrelative="t" stroked="f" coordsize="21600,21600">
            <v:path/>
            <v:fill on="f" focussize="0,0"/>
            <v:stroke on="f" joinstyle="miter"/>
            <v:imagedata r:id="rId168" o:title=""/>
            <o:lock v:ext="edit" aspectratio="t"/>
            <w10:wrap type="none"/>
            <w10:anchorlock/>
          </v:shape>
          <o:OLEObject Type="Embed" ProgID="Equation.3" ShapeID="_x0000_i1088" DrawAspect="Content" ObjectID="_1468075785" r:id="rId167">
            <o:LockedField>false</o:LockedField>
          </o:OLEObject>
        </w:object>
      </w:r>
      <w:r>
        <w:rPr>
          <w:rFonts w:ascii="Times New Roman" w:hAnsi="Times New Roman" w:cs="Times New Roman"/>
          <w:i/>
          <w:sz w:val="21"/>
          <w:szCs w:val="21"/>
        </w:rPr>
        <w:t xml:space="preserve"> </w:t>
      </w:r>
      <w:r>
        <w:rPr>
          <w:rFonts w:ascii="Times New Roman" w:hAnsi="Times New Roman" w:cs="Times New Roman"/>
          <w:sz w:val="21"/>
          <w:szCs w:val="21"/>
        </w:rPr>
        <w:t xml:space="preserve">                         （A.3.1-3）</w:t>
      </w:r>
    </w:p>
    <w:p w14:paraId="301BD8EB">
      <w:pPr>
        <w:spacing w:line="336" w:lineRule="auto"/>
        <w:ind w:left="1333" w:hanging="1333" w:hangingChars="635"/>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M</w:t>
      </w:r>
      <w:r>
        <w:rPr>
          <w:rFonts w:ascii="Times New Roman" w:hAnsi="Times New Roman" w:cs="Times New Roman"/>
          <w:sz w:val="21"/>
          <w:szCs w:val="21"/>
          <w:vertAlign w:val="subscript"/>
        </w:rPr>
        <w:t>si</w:t>
      </w:r>
      <w:r>
        <w:rPr>
          <w:rFonts w:ascii="Times New Roman" w:hAnsi="Times New Roman" w:cs="Times New Roman"/>
          <w:sz w:val="21"/>
          <w:szCs w:val="21"/>
        </w:rPr>
        <w:t>——分区输沙模数，10</w:t>
      </w:r>
      <w:r>
        <w:rPr>
          <w:rFonts w:ascii="Times New Roman" w:hAnsi="Times New Roman" w:cs="Times New Roman"/>
          <w:sz w:val="21"/>
          <w:szCs w:val="21"/>
          <w:vertAlign w:val="superscript"/>
        </w:rPr>
        <w:t>4</w:t>
      </w:r>
      <w:r>
        <w:rPr>
          <w:rFonts w:ascii="Times New Roman" w:hAnsi="Times New Roman" w:cs="Times New Roman"/>
          <w:sz w:val="21"/>
          <w:szCs w:val="21"/>
        </w:rPr>
        <w:t>t/(km</w:t>
      </w:r>
      <w:r>
        <w:rPr>
          <w:rFonts w:ascii="Times New Roman" w:hAnsi="Times New Roman" w:cs="Times New Roman"/>
          <w:sz w:val="21"/>
          <w:szCs w:val="21"/>
          <w:vertAlign w:val="superscript"/>
        </w:rPr>
        <w:t>2</w:t>
      </w:r>
      <w:r>
        <w:rPr>
          <w:rFonts w:ascii="Times New Roman" w:hAnsi="Times New Roman" w:cs="Times New Roman"/>
          <w:sz w:val="21"/>
          <w:szCs w:val="21"/>
        </w:rPr>
        <w:t>·a)，可根据省（自治区、直辖市）、地区有关水文图集、手册的输沙模数等值线图确定；</w:t>
      </w:r>
    </w:p>
    <w:p w14:paraId="2DDFE6F6">
      <w:pPr>
        <w:spacing w:line="336" w:lineRule="auto"/>
        <w:ind w:firstLine="665" w:firstLineChars="317"/>
        <w:jc w:val="left"/>
        <w:rPr>
          <w:rFonts w:ascii="Times New Roman" w:hAnsi="Times New Roman" w:cs="Times New Roman"/>
          <w:sz w:val="21"/>
          <w:szCs w:val="21"/>
        </w:rPr>
      </w:pPr>
      <w:r>
        <w:rPr>
          <w:rFonts w:ascii="Times New Roman" w:hAnsi="Times New Roman" w:cs="Times New Roman"/>
          <w:i/>
          <w:sz w:val="21"/>
          <w:szCs w:val="21"/>
        </w:rPr>
        <w:t>F</w:t>
      </w:r>
      <w:r>
        <w:rPr>
          <w:rFonts w:ascii="Times New Roman" w:hAnsi="Times New Roman" w:cs="Times New Roman"/>
          <w:sz w:val="21"/>
          <w:szCs w:val="21"/>
          <w:vertAlign w:val="subscript"/>
        </w:rPr>
        <w:t>i</w:t>
      </w:r>
      <w:r>
        <w:rPr>
          <w:rFonts w:ascii="Times New Roman" w:hAnsi="Times New Roman" w:cs="Times New Roman"/>
          <w:sz w:val="21"/>
          <w:szCs w:val="21"/>
        </w:rPr>
        <w:t>——分区面积（km</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54165861">
      <w:pPr>
        <w:spacing w:line="336" w:lineRule="auto"/>
        <w:ind w:firstLine="601" w:firstLineChars="285"/>
        <w:jc w:val="left"/>
        <w:rPr>
          <w:rFonts w:ascii="Times New Roman" w:hAnsi="Times New Roman" w:cs="Times New Roman"/>
          <w:sz w:val="21"/>
          <w:szCs w:val="21"/>
        </w:rPr>
      </w:pPr>
      <w:r>
        <w:rPr>
          <w:rFonts w:ascii="Times New Roman" w:hAnsi="Times New Roman" w:cs="Times New Roman"/>
          <w:b/>
          <w:i/>
          <w:position w:val="-6"/>
          <w:sz w:val="21"/>
          <w:szCs w:val="21"/>
        </w:rPr>
        <w:object>
          <v:shape id="_x0000_i1089" o:spt="75" type="#_x0000_t75" style="height:12.6pt;width:15pt;" o:ole="t" filled="f" o:preferrelative="t" stroked="f" coordsize="21600,21600">
            <v:path/>
            <v:fill on="f" focussize="0,0"/>
            <v:stroke on="f" joinstyle="miter"/>
            <v:imagedata r:id="rId170" o:title=""/>
            <o:lock v:ext="edit" aspectratio="t"/>
            <w10:wrap type="none"/>
            <w10:anchorlock/>
          </v:shape>
          <o:OLEObject Type="Embed" ProgID="Equation.3" ShapeID="_x0000_i1089" DrawAspect="Content" ObjectID="_1468075786" r:id="rId169">
            <o:LockedField>false</o:LockedField>
          </o:OLEObject>
        </w:object>
      </w:r>
      <w:r>
        <w:rPr>
          <w:rFonts w:ascii="Times New Roman" w:hAnsi="Times New Roman" w:cs="Times New Roman"/>
          <w:sz w:val="21"/>
          <w:szCs w:val="21"/>
        </w:rPr>
        <w:t>——多年平均径流模数，10</w:t>
      </w:r>
      <w:r>
        <w:rPr>
          <w:rFonts w:ascii="Times New Roman" w:hAnsi="Times New Roman" w:cs="Times New Roman"/>
          <w:sz w:val="21"/>
          <w:szCs w:val="21"/>
          <w:vertAlign w:val="superscript"/>
        </w:rPr>
        <w:t>4</w:t>
      </w:r>
      <w:r>
        <w:rPr>
          <w:rFonts w:ascii="Times New Roman" w:hAnsi="Times New Roman" w:cs="Times New Roman"/>
          <w:sz w:val="21"/>
          <w:szCs w:val="21"/>
        </w:rPr>
        <w:t>m</w:t>
      </w:r>
      <w:r>
        <w:rPr>
          <w:rFonts w:ascii="Times New Roman" w:hAnsi="Times New Roman" w:cs="Times New Roman"/>
          <w:sz w:val="21"/>
          <w:szCs w:val="21"/>
          <w:vertAlign w:val="superscript"/>
        </w:rPr>
        <w:t>3</w:t>
      </w:r>
      <w:r>
        <w:rPr>
          <w:rFonts w:ascii="Times New Roman" w:hAnsi="Times New Roman" w:cs="Times New Roman"/>
          <w:sz w:val="21"/>
          <w:szCs w:val="21"/>
        </w:rPr>
        <w:t>/km</w:t>
      </w:r>
      <w:r>
        <w:rPr>
          <w:rFonts w:ascii="Times New Roman" w:hAnsi="Times New Roman" w:cs="Times New Roman"/>
          <w:sz w:val="21"/>
          <w:szCs w:val="21"/>
          <w:vertAlign w:val="superscript"/>
        </w:rPr>
        <w:t>2</w:t>
      </w:r>
      <w:r>
        <w:rPr>
          <w:rFonts w:ascii="Times New Roman" w:hAnsi="Times New Roman" w:cs="Times New Roman"/>
          <w:sz w:val="21"/>
          <w:szCs w:val="21"/>
        </w:rPr>
        <w:t>；</w:t>
      </w:r>
    </w:p>
    <w:p w14:paraId="3EC87FF5">
      <w:pPr>
        <w:spacing w:line="336" w:lineRule="auto"/>
        <w:ind w:firstLine="659" w:firstLineChars="314"/>
        <w:jc w:val="left"/>
        <w:rPr>
          <w:rFonts w:ascii="Times New Roman" w:hAnsi="Times New Roman" w:cs="Times New Roman"/>
          <w:sz w:val="21"/>
          <w:szCs w:val="21"/>
        </w:rPr>
      </w:pPr>
      <w:r>
        <w:rPr>
          <w:rFonts w:ascii="Times New Roman" w:hAnsi="Times New Roman" w:cs="Times New Roman"/>
          <w:i/>
          <w:sz w:val="21"/>
          <w:szCs w:val="21"/>
        </w:rPr>
        <w:t>b</w:t>
      </w:r>
      <w:r>
        <w:rPr>
          <w:rFonts w:ascii="Times New Roman" w:hAnsi="Times New Roman" w:cs="Times New Roman"/>
          <w:sz w:val="21"/>
          <w:szCs w:val="21"/>
        </w:rPr>
        <w:t>——指数，采用当地经验值；</w:t>
      </w:r>
    </w:p>
    <w:p w14:paraId="250F0ECD">
      <w:pPr>
        <w:spacing w:line="336" w:lineRule="auto"/>
        <w:ind w:firstLine="678" w:firstLineChars="323"/>
        <w:jc w:val="left"/>
        <w:rPr>
          <w:rFonts w:ascii="Times New Roman" w:hAnsi="Times New Roman" w:cs="Times New Roman"/>
          <w:sz w:val="21"/>
          <w:szCs w:val="21"/>
        </w:rPr>
      </w:pPr>
      <w:r>
        <w:rPr>
          <w:rFonts w:ascii="Times New Roman" w:hAnsi="Times New Roman" w:cs="Times New Roman"/>
          <w:i/>
          <w:sz w:val="21"/>
          <w:szCs w:val="21"/>
        </w:rPr>
        <w:t>K</w:t>
      </w:r>
      <w:r>
        <w:rPr>
          <w:rFonts w:ascii="Times New Roman" w:hAnsi="Times New Roman" w:cs="Times New Roman"/>
          <w:sz w:val="21"/>
          <w:szCs w:val="21"/>
        </w:rPr>
        <w:t>——系数，采用当地经验值。</w:t>
      </w:r>
    </w:p>
    <w:p w14:paraId="23E73D83">
      <w:pPr>
        <w:spacing w:line="336" w:lineRule="auto"/>
        <w:ind w:firstLine="525" w:firstLineChars="250"/>
        <w:jc w:val="left"/>
        <w:rPr>
          <w:rFonts w:ascii="Times New Roman" w:hAnsi="Times New Roman" w:cs="Times New Roman"/>
          <w:sz w:val="21"/>
          <w:szCs w:val="21"/>
        </w:rPr>
      </w:pPr>
      <w:r>
        <w:rPr>
          <w:rFonts w:ascii="Times New Roman" w:hAnsi="Times New Roman" w:cs="Times New Roman"/>
          <w:sz w:val="21"/>
          <w:szCs w:val="21"/>
        </w:rPr>
        <w:t>推移质输沙量</w:t>
      </w:r>
      <w:r>
        <w:rPr>
          <w:rFonts w:ascii="Times New Roman" w:hAnsi="Times New Roman" w:cs="Times New Roman"/>
          <w:b/>
          <w:position w:val="-6"/>
          <w:sz w:val="21"/>
          <w:szCs w:val="21"/>
        </w:rPr>
        <w:object>
          <v:shape id="_x0000_i1090" o:spt="75" type="#_x0000_t75" style="height:16.2pt;width:18.6pt;" o:ole="t" filled="f" o:preferrelative="t" stroked="f" coordsize="21600,21600">
            <v:path/>
            <v:fill on="f" focussize="0,0"/>
            <v:stroke on="f" joinstyle="miter"/>
            <v:imagedata r:id="rId172" o:title=""/>
            <o:lock v:ext="edit" aspectratio="t"/>
            <w10:wrap type="none"/>
            <w10:anchorlock/>
          </v:shape>
          <o:OLEObject Type="Embed" ProgID="Equation.3" ShapeID="_x0000_i1090" DrawAspect="Content" ObjectID="_1468075787" r:id="rId171">
            <o:LockedField>false</o:LockedField>
          </o:OLEObject>
        </w:object>
      </w:r>
      <w:r>
        <w:rPr>
          <w:rFonts w:ascii="Times New Roman" w:hAnsi="Times New Roman" w:cs="Times New Roman"/>
          <w:sz w:val="21"/>
          <w:szCs w:val="21"/>
        </w:rPr>
        <w:t>可按下式计算：</w:t>
      </w:r>
    </w:p>
    <w:p w14:paraId="1EBA7305">
      <w:pPr>
        <w:spacing w:line="360" w:lineRule="auto"/>
        <w:ind w:firstLine="422" w:firstLineChars="200"/>
        <w:jc w:val="right"/>
        <w:rPr>
          <w:rFonts w:ascii="Times New Roman" w:hAnsi="Times New Roman" w:cs="Times New Roman"/>
          <w:sz w:val="21"/>
          <w:szCs w:val="21"/>
        </w:rPr>
      </w:pPr>
      <w:r>
        <w:rPr>
          <w:rFonts w:ascii="Times New Roman" w:hAnsi="Times New Roman" w:cs="Times New Roman"/>
          <w:b/>
          <w:position w:val="-10"/>
          <w:sz w:val="21"/>
          <w:szCs w:val="21"/>
        </w:rPr>
        <w:object>
          <v:shape id="_x0000_i1091" o:spt="75" type="#_x0000_t75" style="height:16.2pt;width:46.8pt;" o:ole="t" filled="f" o:preferrelative="t" stroked="f" coordsize="21600,21600">
            <v:path/>
            <v:fill on="f" focussize="0,0"/>
            <v:stroke on="f" joinstyle="miter"/>
            <v:imagedata r:id="rId174" o:title=""/>
            <o:lock v:ext="edit" aspectratio="t"/>
            <w10:wrap type="none"/>
            <w10:anchorlock/>
          </v:shape>
          <o:OLEObject Type="Embed" ProgID="Equation.3" ShapeID="_x0000_i1091" DrawAspect="Content" ObjectID="_1468075788" r:id="rId173">
            <o:LockedField>false</o:LockedField>
          </o:OLEObject>
        </w:object>
      </w:r>
      <w:r>
        <w:rPr>
          <w:rFonts w:ascii="Times New Roman" w:hAnsi="Times New Roman" w:cs="Times New Roman"/>
          <w:sz w:val="21"/>
          <w:szCs w:val="21"/>
        </w:rPr>
        <w:t xml:space="preserve">                          （A.3.1-4）</w:t>
      </w:r>
    </w:p>
    <w:p w14:paraId="686BAE09">
      <w:pPr>
        <w:spacing w:line="336" w:lineRule="auto"/>
        <w:ind w:left="1132" w:hanging="1131" w:hangingChars="539"/>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β</w:t>
      </w:r>
      <w:r>
        <w:rPr>
          <w:rFonts w:ascii="Times New Roman" w:hAnsi="Times New Roman" w:cs="Times New Roman"/>
          <w:sz w:val="21"/>
          <w:szCs w:val="21"/>
        </w:rPr>
        <w:t>——推悬比，宜取0.05～0.15，山区应取大值，塬区及平原取小值。</w:t>
      </w:r>
    </w:p>
    <w:p w14:paraId="4624A6F9">
      <w:pPr>
        <w:spacing w:line="336" w:lineRule="auto"/>
        <w:jc w:val="left"/>
        <w:rPr>
          <w:rFonts w:ascii="Times New Roman" w:hAnsi="Times New Roman" w:cs="Times New Roman"/>
          <w:sz w:val="21"/>
          <w:szCs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3</w:t>
      </w:r>
      <w:r>
        <w:rPr>
          <w:rFonts w:ascii="Times New Roman" w:hAnsi="Times New Roman" w:cs="Times New Roman"/>
          <w:b/>
          <w:sz w:val="21"/>
        </w:rPr>
        <w:t>.</w:t>
      </w:r>
      <w:r>
        <w:rPr>
          <w:rFonts w:ascii="Times New Roman" w:hAnsi="Times New Roman" w:eastAsia="黑体" w:cs="Times New Roman"/>
          <w:b/>
          <w:sz w:val="21"/>
        </w:rPr>
        <w:t>2</w:t>
      </w:r>
      <w:r>
        <w:rPr>
          <w:rFonts w:ascii="Times New Roman" w:hAnsi="Times New Roman" w:eastAsia="黑体" w:cs="Times New Roman"/>
          <w:sz w:val="21"/>
        </w:rPr>
        <w:t xml:space="preserve"> </w:t>
      </w:r>
      <w:r>
        <w:rPr>
          <w:rFonts w:ascii="Times New Roman" w:hAnsi="Times New Roman" w:cs="Times New Roman"/>
          <w:sz w:val="21"/>
          <w:szCs w:val="21"/>
        </w:rPr>
        <w:t xml:space="preserve"> 当沟道中有已建坝库且运行一定年限，可采用已成坝库淤积调查法，按下式计算沟道多年平均输沙量。</w:t>
      </w:r>
    </w:p>
    <w:p w14:paraId="613079FD">
      <w:pPr>
        <w:spacing w:line="360" w:lineRule="auto"/>
        <w:ind w:firstLine="422" w:firstLineChars="200"/>
        <w:jc w:val="right"/>
        <w:rPr>
          <w:rFonts w:ascii="Times New Roman" w:hAnsi="Times New Roman" w:cs="Times New Roman"/>
          <w:sz w:val="21"/>
          <w:szCs w:val="21"/>
        </w:rPr>
      </w:pPr>
      <w:r>
        <w:rPr>
          <w:rFonts w:ascii="Times New Roman" w:hAnsi="Times New Roman" w:cs="Times New Roman"/>
          <w:b/>
          <w:position w:val="-24"/>
          <w:sz w:val="21"/>
          <w:szCs w:val="21"/>
        </w:rPr>
        <w:object>
          <v:shape id="_x0000_i1092" o:spt="75" type="#_x0000_t75" style="height:26.4pt;width:59.4pt;" o:ole="t" filled="f" o:preferrelative="t" stroked="f" coordsize="21600,21600">
            <v:path/>
            <v:fill on="f" focussize="0,0"/>
            <v:stroke on="f" joinstyle="miter"/>
            <v:imagedata r:id="rId176" o:title=""/>
            <o:lock v:ext="edit" aspectratio="t"/>
            <w10:wrap type="none"/>
            <w10:anchorlock/>
          </v:shape>
          <o:OLEObject Type="Embed" ProgID="Equation.3" ShapeID="_x0000_i1092" DrawAspect="Content" ObjectID="_1468075789" r:id="rId175">
            <o:LockedField>false</o:LockedField>
          </o:OLEObject>
        </w:object>
      </w:r>
      <w:r>
        <w:rPr>
          <w:rFonts w:ascii="Times New Roman" w:hAnsi="Times New Roman" w:cs="Times New Roman"/>
          <w:sz w:val="21"/>
          <w:szCs w:val="21"/>
        </w:rPr>
        <w:t xml:space="preserve">                           （A.3.2）</w:t>
      </w:r>
    </w:p>
    <w:p w14:paraId="10C75B4C">
      <w:pPr>
        <w:spacing w:line="360" w:lineRule="auto"/>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b/>
          <w:position w:val="-6"/>
          <w:sz w:val="21"/>
          <w:szCs w:val="21"/>
        </w:rPr>
        <w:object>
          <v:shape id="_x0000_i1093" o:spt="75" type="#_x0000_t75" style="height:15pt;width:15pt;" o:ole="t" filled="f" o:preferrelative="t" stroked="f" coordsize="21600,21600">
            <v:path/>
            <v:fill on="f" focussize="0,0"/>
            <v:stroke on="f" joinstyle="miter"/>
            <v:imagedata r:id="rId178" o:title=""/>
            <o:lock v:ext="edit" aspectratio="t"/>
            <w10:wrap type="none"/>
            <w10:anchorlock/>
          </v:shape>
          <o:OLEObject Type="Embed" ProgID="Equation.3" ShapeID="_x0000_i1093" DrawAspect="Content" ObjectID="_1468075790" r:id="rId177">
            <o:LockedField>false</o:LockedField>
          </o:OLEObject>
        </w:object>
      </w:r>
      <w:r>
        <w:rPr>
          <w:rFonts w:ascii="Times New Roman" w:hAnsi="Times New Roman" w:cs="Times New Roman"/>
          <w:sz w:val="21"/>
          <w:szCs w:val="21"/>
        </w:rPr>
        <w:t>——沟道多年平均输沙量（t/a）；</w:t>
      </w:r>
    </w:p>
    <w:p w14:paraId="6D9A61F7">
      <w:pPr>
        <w:spacing w:line="360" w:lineRule="auto"/>
        <w:ind w:firstLine="645" w:firstLineChars="306"/>
        <w:jc w:val="left"/>
        <w:rPr>
          <w:rFonts w:ascii="Times New Roman" w:hAnsi="Times New Roman" w:cs="Times New Roman"/>
          <w:sz w:val="21"/>
          <w:szCs w:val="21"/>
        </w:rPr>
      </w:pPr>
      <w:r>
        <w:rPr>
          <w:rFonts w:ascii="Times New Roman" w:hAnsi="Times New Roman" w:cs="Times New Roman"/>
          <w:b/>
          <w:position w:val="-12"/>
          <w:sz w:val="21"/>
          <w:szCs w:val="21"/>
        </w:rPr>
        <w:object>
          <v:shape id="_x0000_i1094" o:spt="75" type="#_x0000_t75" style="height:14.4pt;width:15pt;" o:ole="t" filled="f" o:preferrelative="t" stroked="f" coordsize="21600,21600">
            <v:path/>
            <v:fill on="f" focussize="0,0"/>
            <v:stroke on="f" joinstyle="miter"/>
            <v:imagedata r:id="rId180" o:title=""/>
            <o:lock v:ext="edit" aspectratio="t"/>
            <w10:wrap type="none"/>
            <w10:anchorlock/>
          </v:shape>
          <o:OLEObject Type="Embed" ProgID="Equation.3" ShapeID="_x0000_i1094" DrawAspect="Content" ObjectID="_1468075791" r:id="rId179">
            <o:LockedField>false</o:LockedField>
          </o:OLEObject>
        </w:object>
      </w:r>
      <w:r>
        <w:rPr>
          <w:rFonts w:ascii="Times New Roman" w:hAnsi="Times New Roman" w:cs="Times New Roman"/>
          <w:sz w:val="21"/>
          <w:szCs w:val="21"/>
        </w:rPr>
        <w:t>——坝内泥沙淤积总量（t）；</w:t>
      </w:r>
    </w:p>
    <w:p w14:paraId="246B9B6A">
      <w:pPr>
        <w:spacing w:line="360" w:lineRule="auto"/>
        <w:ind w:firstLine="645" w:firstLineChars="306"/>
        <w:jc w:val="left"/>
        <w:rPr>
          <w:rFonts w:ascii="Times New Roman" w:hAnsi="Times New Roman" w:cs="Times New Roman"/>
          <w:sz w:val="21"/>
          <w:szCs w:val="21"/>
        </w:rPr>
      </w:pPr>
      <w:r>
        <w:rPr>
          <w:rFonts w:ascii="Times New Roman" w:hAnsi="Times New Roman" w:cs="Times New Roman"/>
          <w:b/>
          <w:position w:val="-12"/>
          <w:sz w:val="21"/>
          <w:szCs w:val="21"/>
        </w:rPr>
        <w:object>
          <v:shape id="_x0000_i1095" o:spt="75" type="#_x0000_t75" style="height:13.2pt;width:13.8pt;" o:ole="t" filled="f" o:preferrelative="t" stroked="f" coordsize="21600,21600">
            <v:path/>
            <v:fill on="f" focussize="0,0"/>
            <v:stroke on="f" joinstyle="miter"/>
            <v:imagedata r:id="rId182" o:title=""/>
            <o:lock v:ext="edit" aspectratio="t"/>
            <w10:wrap type="none"/>
            <w10:anchorlock/>
          </v:shape>
          <o:OLEObject Type="Embed" ProgID="Equation.3" ShapeID="_x0000_i1095" DrawAspect="Content" ObjectID="_1468075792" r:id="rId181">
            <o:LockedField>false</o:LockedField>
          </o:OLEObject>
        </w:object>
      </w:r>
      <w:r>
        <w:rPr>
          <w:rFonts w:ascii="Times New Roman" w:hAnsi="Times New Roman" w:cs="Times New Roman"/>
          <w:sz w:val="21"/>
          <w:szCs w:val="21"/>
        </w:rPr>
        <w:t>——排沙量（t）；</w:t>
      </w:r>
    </w:p>
    <w:p w14:paraId="1EEED57C">
      <w:pPr>
        <w:spacing w:line="360" w:lineRule="auto"/>
        <w:ind w:firstLine="642" w:firstLineChars="306"/>
        <w:jc w:val="left"/>
        <w:rPr>
          <w:rFonts w:ascii="Times New Roman" w:hAnsi="Times New Roman" w:cs="Times New Roman"/>
          <w:sz w:val="21"/>
          <w:szCs w:val="21"/>
        </w:rPr>
      </w:pPr>
      <w:r>
        <w:rPr>
          <w:rFonts w:ascii="Times New Roman" w:hAnsi="Times New Roman" w:cs="Times New Roman"/>
          <w:i/>
          <w:sz w:val="21"/>
          <w:szCs w:val="21"/>
        </w:rPr>
        <w:t>N</w:t>
      </w:r>
      <w:r>
        <w:rPr>
          <w:rFonts w:ascii="Times New Roman" w:hAnsi="Times New Roman" w:cs="Times New Roman"/>
          <w:sz w:val="21"/>
          <w:szCs w:val="21"/>
        </w:rPr>
        <w:t>——淤积年限（a）。</w:t>
      </w:r>
    </w:p>
    <w:p w14:paraId="2B9E3563">
      <w:pPr>
        <w:keepNext/>
        <w:keepLines/>
        <w:spacing w:before="260" w:after="260"/>
        <w:jc w:val="center"/>
        <w:outlineLvl w:val="2"/>
        <w:rPr>
          <w:rFonts w:ascii="Times New Roman" w:hAnsi="Times New Roman" w:eastAsia="黑体" w:cs="Times New Roman"/>
          <w:bCs/>
          <w:sz w:val="24"/>
          <w:szCs w:val="24"/>
        </w:rPr>
      </w:pPr>
      <w:bookmarkStart w:id="604" w:name="_Toc324282339"/>
      <w:bookmarkStart w:id="605" w:name="_Toc324280304"/>
      <w:bookmarkStart w:id="606" w:name="_Toc324687839"/>
      <w:bookmarkStart w:id="607" w:name="_Toc7528"/>
      <w:bookmarkStart w:id="608" w:name="_Toc324287631"/>
      <w:bookmarkStart w:id="609" w:name="_Toc360526319"/>
      <w:bookmarkStart w:id="610" w:name="_Toc360528913"/>
      <w:bookmarkStart w:id="611" w:name="_Toc360520039"/>
      <w:bookmarkStart w:id="612" w:name="_Toc324358158"/>
      <w:r>
        <w:rPr>
          <w:rFonts w:ascii="Times New Roman" w:hAnsi="Times New Roman" w:eastAsia="黑体" w:cs="Times New Roman"/>
          <w:bCs/>
          <w:sz w:val="24"/>
          <w:szCs w:val="24"/>
        </w:rPr>
        <w:t>A</w:t>
      </w:r>
      <w:r>
        <w:rPr>
          <w:rFonts w:ascii="Times New Roman" w:hAnsi="Times New Roman" w:cs="Times New Roman"/>
          <w:bCs/>
          <w:sz w:val="24"/>
          <w:szCs w:val="24"/>
        </w:rPr>
        <w:t>.</w:t>
      </w:r>
      <w:r>
        <w:rPr>
          <w:rFonts w:ascii="Times New Roman" w:hAnsi="Times New Roman" w:eastAsia="黑体" w:cs="Times New Roman"/>
          <w:bCs/>
          <w:sz w:val="24"/>
          <w:szCs w:val="24"/>
        </w:rPr>
        <w:t>4 截排水设计流量计算</w:t>
      </w:r>
      <w:bookmarkEnd w:id="604"/>
      <w:bookmarkEnd w:id="605"/>
      <w:bookmarkEnd w:id="606"/>
      <w:bookmarkEnd w:id="607"/>
      <w:bookmarkEnd w:id="608"/>
      <w:bookmarkEnd w:id="609"/>
      <w:bookmarkEnd w:id="610"/>
      <w:bookmarkEnd w:id="611"/>
      <w:bookmarkEnd w:id="612"/>
    </w:p>
    <w:p w14:paraId="43E26BD5">
      <w:pPr>
        <w:spacing w:line="360" w:lineRule="auto"/>
        <w:jc w:val="left"/>
        <w:rPr>
          <w:rFonts w:ascii="Times New Roman" w:hAnsi="Times New Roman" w:cs="Times New Roman"/>
          <w:sz w:val="21"/>
          <w:szCs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4</w:t>
      </w:r>
      <w:r>
        <w:rPr>
          <w:rFonts w:ascii="Times New Roman" w:hAnsi="Times New Roman" w:cs="Times New Roman"/>
          <w:b/>
          <w:sz w:val="21"/>
        </w:rPr>
        <w:t>.</w:t>
      </w:r>
      <w:r>
        <w:rPr>
          <w:rFonts w:ascii="Times New Roman" w:hAnsi="Times New Roman" w:eastAsia="黑体" w:cs="Times New Roman"/>
          <w:b/>
          <w:sz w:val="21"/>
        </w:rPr>
        <w:t>1</w:t>
      </w:r>
      <w:r>
        <w:rPr>
          <w:rFonts w:ascii="Times New Roman" w:hAnsi="Times New Roman" w:cs="Times New Roman"/>
          <w:b/>
          <w:sz w:val="21"/>
          <w:szCs w:val="21"/>
        </w:rPr>
        <w:t xml:space="preserve"> </w:t>
      </w:r>
      <w:r>
        <w:rPr>
          <w:rFonts w:ascii="Times New Roman" w:hAnsi="Times New Roman" w:cs="Times New Roman"/>
          <w:sz w:val="21"/>
          <w:szCs w:val="21"/>
        </w:rPr>
        <w:t xml:space="preserve"> 永久排水工程设计流量计算应符合下列规定：</w:t>
      </w:r>
    </w:p>
    <w:p w14:paraId="49549BC0">
      <w:pPr>
        <w:tabs>
          <w:tab w:val="left" w:pos="1455"/>
        </w:tabs>
        <w:spacing w:line="360" w:lineRule="auto"/>
        <w:ind w:firstLine="420"/>
        <w:jc w:val="left"/>
        <w:rPr>
          <w:rFonts w:ascii="Times New Roman" w:hAnsi="Times New Roman" w:cs="Times New Roman"/>
          <w:sz w:val="21"/>
          <w:szCs w:val="21"/>
        </w:rPr>
      </w:pPr>
      <w:r>
        <w:rPr>
          <w:rFonts w:ascii="Times New Roman" w:hAnsi="Times New Roman" w:cs="Times New Roman"/>
          <w:b/>
          <w:sz w:val="21"/>
          <w:szCs w:val="21"/>
        </w:rPr>
        <w:t xml:space="preserve">1 </w:t>
      </w:r>
      <w:r>
        <w:rPr>
          <w:rFonts w:ascii="Times New Roman" w:hAnsi="Times New Roman" w:cs="Times New Roman"/>
          <w:sz w:val="21"/>
          <w:szCs w:val="21"/>
        </w:rPr>
        <w:t xml:space="preserve"> 永久截（排）水沟设计排水流量，应按下式计算：</w:t>
      </w:r>
    </w:p>
    <w:p w14:paraId="19A6BA08">
      <w:pPr>
        <w:spacing w:line="360" w:lineRule="auto"/>
        <w:ind w:firstLine="422" w:firstLineChars="200"/>
        <w:jc w:val="right"/>
        <w:rPr>
          <w:rFonts w:ascii="Times New Roman" w:hAnsi="Times New Roman" w:cs="Times New Roman"/>
          <w:sz w:val="21"/>
          <w:szCs w:val="21"/>
        </w:rPr>
      </w:pPr>
      <w:r>
        <w:rPr>
          <w:rFonts w:ascii="Times New Roman" w:hAnsi="Times New Roman" w:cs="Times New Roman"/>
          <w:b/>
          <w:position w:val="-12"/>
          <w:sz w:val="21"/>
          <w:szCs w:val="21"/>
        </w:rPr>
        <w:object>
          <v:shape id="_x0000_i1096" o:spt="75" type="#_x0000_t75" style="height:16.2pt;width:69.65pt;" o:ole="t" filled="f" o:preferrelative="t" stroked="f" coordsize="21600,21600">
            <v:path/>
            <v:fill on="f" focussize="0,0"/>
            <v:stroke on="f" joinstyle="miter"/>
            <v:imagedata r:id="rId184" o:title=""/>
            <o:lock v:ext="edit" aspectratio="t"/>
            <w10:wrap type="none"/>
            <w10:anchorlock/>
          </v:shape>
          <o:OLEObject Type="Embed" ProgID="Equation.3" ShapeID="_x0000_i1096" DrawAspect="Content" ObjectID="_1468075793" r:id="rId183">
            <o:LockedField>false</o:LockedField>
          </o:OLEObject>
        </w:object>
      </w:r>
      <w:r>
        <w:rPr>
          <w:rFonts w:ascii="Times New Roman" w:hAnsi="Times New Roman" w:cs="Times New Roman"/>
          <w:sz w:val="21"/>
          <w:szCs w:val="21"/>
        </w:rPr>
        <w:t xml:space="preserve">                        （A.4.1-1）</w:t>
      </w:r>
    </w:p>
    <w:p w14:paraId="51211B2A">
      <w:pPr>
        <w:spacing w:line="360" w:lineRule="auto"/>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q</w:t>
      </w:r>
      <w:r>
        <w:rPr>
          <w:rFonts w:ascii="Times New Roman" w:hAnsi="Times New Roman" w:cs="Times New Roman"/>
          <w:sz w:val="21"/>
          <w:szCs w:val="21"/>
        </w:rPr>
        <w:t>——设计重现期和降雨历时内的平均降雨强度（mm/min）；</w:t>
      </w:r>
    </w:p>
    <w:p w14:paraId="5863305D">
      <w:pPr>
        <w:spacing w:line="360" w:lineRule="auto"/>
        <w:ind w:firstLine="615" w:firstLineChars="293"/>
        <w:jc w:val="left"/>
        <w:rPr>
          <w:rFonts w:ascii="Times New Roman" w:hAnsi="Times New Roman" w:cs="Times New Roman"/>
          <w:sz w:val="21"/>
          <w:szCs w:val="21"/>
        </w:rPr>
      </w:pPr>
      <w:r>
        <w:rPr>
          <w:rFonts w:ascii="Times New Roman" w:hAnsi="Times New Roman" w:cs="Times New Roman"/>
          <w:i/>
          <w:sz w:val="21"/>
          <w:szCs w:val="21"/>
        </w:rPr>
        <w:t>φ</w:t>
      </w:r>
      <w:r>
        <w:rPr>
          <w:rFonts w:ascii="Times New Roman" w:hAnsi="Times New Roman" w:cs="Times New Roman"/>
          <w:sz w:val="21"/>
          <w:szCs w:val="21"/>
        </w:rPr>
        <w:t>——径流系数；</w:t>
      </w:r>
    </w:p>
    <w:p w14:paraId="2B293D77">
      <w:pPr>
        <w:tabs>
          <w:tab w:val="left" w:pos="1455"/>
        </w:tabs>
        <w:spacing w:line="360" w:lineRule="auto"/>
        <w:ind w:firstLine="422" w:firstLineChars="200"/>
        <w:jc w:val="left"/>
        <w:rPr>
          <w:rFonts w:ascii="Times New Roman" w:hAnsi="Times New Roman" w:cs="Times New Roman"/>
          <w:sz w:val="21"/>
          <w:szCs w:val="21"/>
        </w:rPr>
      </w:pPr>
      <w:r>
        <w:rPr>
          <w:rFonts w:ascii="Times New Roman" w:hAnsi="Times New Roman" w:eastAsia="黑体" w:cs="Times New Roman"/>
          <w:b/>
          <w:sz w:val="21"/>
          <w:szCs w:val="21"/>
        </w:rPr>
        <w:t xml:space="preserve">2 </w:t>
      </w:r>
      <w:r>
        <w:rPr>
          <w:rFonts w:ascii="Times New Roman" w:hAnsi="Times New Roman" w:cs="Times New Roman"/>
          <w:sz w:val="21"/>
          <w:szCs w:val="21"/>
        </w:rPr>
        <w:t xml:space="preserve"> 径流系数</w:t>
      </w:r>
      <w:r>
        <w:rPr>
          <w:rFonts w:ascii="Times New Roman" w:hAnsi="Times New Roman" w:cs="Times New Roman"/>
          <w:i/>
          <w:sz w:val="21"/>
          <w:szCs w:val="21"/>
        </w:rPr>
        <w:t>φ</w:t>
      </w:r>
      <w:r>
        <w:rPr>
          <w:rFonts w:ascii="Times New Roman" w:hAnsi="Times New Roman" w:cs="Times New Roman"/>
          <w:sz w:val="21"/>
          <w:szCs w:val="21"/>
        </w:rPr>
        <w:t>按表A.4.1-1要求确定。当汇水面积内有两种或两种以上不同地表种类时，应按不同地表种类面积加权求得平均径流系数。</w:t>
      </w:r>
    </w:p>
    <w:p w14:paraId="21E34AA8">
      <w:pPr>
        <w:jc w:val="center"/>
        <w:rPr>
          <w:rFonts w:ascii="Times New Roman" w:hAnsi="Times New Roman" w:eastAsia="黑体" w:cs="Times New Roman"/>
          <w:sz w:val="18"/>
          <w:szCs w:val="21"/>
        </w:rPr>
      </w:pPr>
      <w:r>
        <w:rPr>
          <w:rFonts w:ascii="Times New Roman" w:hAnsi="Times New Roman" w:eastAsia="黑体" w:cs="Times New Roman"/>
          <w:sz w:val="18"/>
          <w:szCs w:val="21"/>
        </w:rPr>
        <w:t>表A</w:t>
      </w:r>
      <w:r>
        <w:rPr>
          <w:rFonts w:ascii="Times New Roman" w:hAnsi="Times New Roman" w:cs="Times New Roman"/>
          <w:sz w:val="18"/>
          <w:szCs w:val="21"/>
        </w:rPr>
        <w:t>.</w:t>
      </w:r>
      <w:r>
        <w:rPr>
          <w:rFonts w:ascii="Times New Roman" w:hAnsi="Times New Roman" w:eastAsia="黑体" w:cs="Times New Roman"/>
          <w:sz w:val="18"/>
          <w:szCs w:val="21"/>
        </w:rPr>
        <w:t>4</w:t>
      </w:r>
      <w:r>
        <w:rPr>
          <w:rFonts w:ascii="Times New Roman" w:hAnsi="Times New Roman" w:cs="Times New Roman"/>
          <w:sz w:val="18"/>
          <w:szCs w:val="21"/>
        </w:rPr>
        <w:t>.</w:t>
      </w:r>
      <w:r>
        <w:rPr>
          <w:rFonts w:ascii="Times New Roman" w:hAnsi="Times New Roman" w:eastAsia="黑体" w:cs="Times New Roman"/>
          <w:sz w:val="18"/>
          <w:szCs w:val="21"/>
        </w:rPr>
        <w:t>1-1  径流系数</w:t>
      </w:r>
      <w:r>
        <w:rPr>
          <w:rFonts w:ascii="Times New Roman" w:hAnsi="Times New Roman" w:eastAsia="黑体" w:cs="Times New Roman"/>
          <w:i/>
          <w:sz w:val="21"/>
          <w:szCs w:val="21"/>
        </w:rPr>
        <w:t>φ</w:t>
      </w:r>
      <w:r>
        <w:rPr>
          <w:rFonts w:ascii="Times New Roman" w:hAnsi="Times New Roman" w:eastAsia="黑体" w:cs="Times New Roman"/>
          <w:sz w:val="18"/>
          <w:szCs w:val="21"/>
        </w:rPr>
        <w:t>参考值</w:t>
      </w:r>
    </w:p>
    <w:tbl>
      <w:tblPr>
        <w:tblStyle w:val="10"/>
        <w:tblW w:w="4998"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2014"/>
        <w:gridCol w:w="2169"/>
        <w:gridCol w:w="2169"/>
        <w:gridCol w:w="2167"/>
      </w:tblGrid>
      <w:tr w14:paraId="5C1DBB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58" w:hRule="exact"/>
          <w:jc w:val="center"/>
        </w:trPr>
        <w:tc>
          <w:tcPr>
            <w:tcW w:w="1182" w:type="pct"/>
            <w:vAlign w:val="center"/>
          </w:tcPr>
          <w:p w14:paraId="03A74B26">
            <w:pPr>
              <w:jc w:val="center"/>
              <w:rPr>
                <w:rFonts w:ascii="Times New Roman" w:hAnsi="Times New Roman" w:cs="Times New Roman"/>
                <w:sz w:val="15"/>
                <w:szCs w:val="15"/>
              </w:rPr>
            </w:pPr>
            <w:r>
              <w:rPr>
                <w:rFonts w:ascii="Times New Roman" w:hAnsi="Times New Roman" w:cs="Times New Roman"/>
                <w:sz w:val="15"/>
                <w:szCs w:val="15"/>
              </w:rPr>
              <w:t>地表种类</w:t>
            </w:r>
          </w:p>
        </w:tc>
        <w:tc>
          <w:tcPr>
            <w:tcW w:w="1273" w:type="pct"/>
            <w:vAlign w:val="center"/>
          </w:tcPr>
          <w:p w14:paraId="4D260A57">
            <w:pPr>
              <w:jc w:val="center"/>
              <w:rPr>
                <w:rFonts w:ascii="Times New Roman" w:hAnsi="Times New Roman" w:cs="Times New Roman"/>
                <w:sz w:val="15"/>
                <w:szCs w:val="15"/>
              </w:rPr>
            </w:pPr>
            <w:r>
              <w:rPr>
                <w:rFonts w:ascii="Times New Roman" w:hAnsi="Times New Roman" w:cs="Times New Roman"/>
                <w:sz w:val="15"/>
                <w:szCs w:val="15"/>
              </w:rPr>
              <w:t>径流系数</w:t>
            </w:r>
          </w:p>
        </w:tc>
        <w:tc>
          <w:tcPr>
            <w:tcW w:w="1273" w:type="pct"/>
            <w:vAlign w:val="center"/>
          </w:tcPr>
          <w:p w14:paraId="7420B3A4">
            <w:pPr>
              <w:jc w:val="center"/>
              <w:rPr>
                <w:rFonts w:ascii="Times New Roman" w:hAnsi="Times New Roman" w:cs="Times New Roman"/>
                <w:sz w:val="15"/>
                <w:szCs w:val="15"/>
              </w:rPr>
            </w:pPr>
            <w:r>
              <w:rPr>
                <w:rFonts w:ascii="Times New Roman" w:hAnsi="Times New Roman" w:cs="Times New Roman"/>
                <w:sz w:val="15"/>
                <w:szCs w:val="15"/>
              </w:rPr>
              <w:t>地表种类</w:t>
            </w:r>
          </w:p>
        </w:tc>
        <w:tc>
          <w:tcPr>
            <w:tcW w:w="1272" w:type="pct"/>
            <w:vAlign w:val="center"/>
          </w:tcPr>
          <w:p w14:paraId="36BD8F8B">
            <w:pPr>
              <w:jc w:val="center"/>
              <w:rPr>
                <w:rFonts w:ascii="Times New Roman" w:hAnsi="Times New Roman" w:cs="Times New Roman"/>
                <w:sz w:val="15"/>
                <w:szCs w:val="15"/>
              </w:rPr>
            </w:pPr>
            <w:r>
              <w:rPr>
                <w:rFonts w:ascii="Times New Roman" w:hAnsi="Times New Roman" w:cs="Times New Roman"/>
                <w:sz w:val="15"/>
                <w:szCs w:val="15"/>
              </w:rPr>
              <w:t>径流系数</w:t>
            </w:r>
          </w:p>
        </w:tc>
      </w:tr>
      <w:tr w14:paraId="5CB9AD0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76" w:hRule="exact"/>
          <w:jc w:val="center"/>
        </w:trPr>
        <w:tc>
          <w:tcPr>
            <w:tcW w:w="1182" w:type="pct"/>
            <w:vAlign w:val="center"/>
          </w:tcPr>
          <w:p w14:paraId="45750994">
            <w:pPr>
              <w:jc w:val="center"/>
              <w:rPr>
                <w:rFonts w:ascii="Times New Roman" w:hAnsi="Times New Roman" w:cs="Times New Roman"/>
                <w:sz w:val="15"/>
                <w:szCs w:val="15"/>
              </w:rPr>
            </w:pPr>
            <w:r>
              <w:rPr>
                <w:rFonts w:ascii="Times New Roman" w:hAnsi="Times New Roman" w:cs="Times New Roman"/>
                <w:sz w:val="15"/>
                <w:szCs w:val="15"/>
              </w:rPr>
              <w:t>沥青混凝土路面</w:t>
            </w:r>
          </w:p>
        </w:tc>
        <w:tc>
          <w:tcPr>
            <w:tcW w:w="1273" w:type="pct"/>
            <w:vAlign w:val="center"/>
          </w:tcPr>
          <w:p w14:paraId="79CCCA79">
            <w:pPr>
              <w:jc w:val="center"/>
              <w:rPr>
                <w:rFonts w:ascii="Times New Roman" w:hAnsi="Times New Roman" w:cs="Times New Roman"/>
                <w:sz w:val="15"/>
                <w:szCs w:val="15"/>
              </w:rPr>
            </w:pPr>
            <w:r>
              <w:rPr>
                <w:rFonts w:ascii="Times New Roman" w:hAnsi="Times New Roman" w:cs="Times New Roman"/>
                <w:sz w:val="15"/>
                <w:szCs w:val="15"/>
              </w:rPr>
              <w:t>0.95</w:t>
            </w:r>
          </w:p>
        </w:tc>
        <w:tc>
          <w:tcPr>
            <w:tcW w:w="1273" w:type="pct"/>
            <w:vAlign w:val="center"/>
          </w:tcPr>
          <w:p w14:paraId="11240D11">
            <w:pPr>
              <w:jc w:val="center"/>
              <w:rPr>
                <w:rFonts w:ascii="Times New Roman" w:hAnsi="Times New Roman" w:cs="Times New Roman"/>
                <w:sz w:val="15"/>
                <w:szCs w:val="15"/>
              </w:rPr>
            </w:pPr>
            <w:r>
              <w:rPr>
                <w:rFonts w:ascii="Times New Roman" w:hAnsi="Times New Roman" w:cs="Times New Roman"/>
                <w:sz w:val="15"/>
                <w:szCs w:val="15"/>
              </w:rPr>
              <w:t>起伏的山地</w:t>
            </w:r>
          </w:p>
        </w:tc>
        <w:tc>
          <w:tcPr>
            <w:tcW w:w="1272" w:type="pct"/>
            <w:vAlign w:val="center"/>
          </w:tcPr>
          <w:p w14:paraId="1804E060">
            <w:pPr>
              <w:jc w:val="center"/>
              <w:rPr>
                <w:rFonts w:ascii="Times New Roman" w:hAnsi="Times New Roman" w:cs="Times New Roman"/>
                <w:sz w:val="15"/>
                <w:szCs w:val="15"/>
              </w:rPr>
            </w:pPr>
            <w:r>
              <w:rPr>
                <w:rFonts w:ascii="Times New Roman" w:hAnsi="Times New Roman" w:cs="Times New Roman"/>
                <w:sz w:val="15"/>
                <w:szCs w:val="15"/>
              </w:rPr>
              <w:t>0.60～0.80</w:t>
            </w:r>
          </w:p>
        </w:tc>
      </w:tr>
      <w:tr w14:paraId="38544B4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93" w:hRule="exact"/>
          <w:jc w:val="center"/>
        </w:trPr>
        <w:tc>
          <w:tcPr>
            <w:tcW w:w="1182" w:type="pct"/>
            <w:vAlign w:val="center"/>
          </w:tcPr>
          <w:p w14:paraId="2545CA2C">
            <w:pPr>
              <w:jc w:val="center"/>
              <w:rPr>
                <w:rFonts w:ascii="Times New Roman" w:hAnsi="Times New Roman" w:cs="Times New Roman"/>
                <w:sz w:val="15"/>
                <w:szCs w:val="15"/>
              </w:rPr>
            </w:pPr>
            <w:r>
              <w:rPr>
                <w:rFonts w:ascii="Times New Roman" w:hAnsi="Times New Roman" w:cs="Times New Roman"/>
                <w:sz w:val="15"/>
                <w:szCs w:val="15"/>
              </w:rPr>
              <w:t>水泥混凝土路面</w:t>
            </w:r>
          </w:p>
        </w:tc>
        <w:tc>
          <w:tcPr>
            <w:tcW w:w="1273" w:type="pct"/>
            <w:vAlign w:val="center"/>
          </w:tcPr>
          <w:p w14:paraId="4A116C89">
            <w:pPr>
              <w:jc w:val="center"/>
              <w:rPr>
                <w:rFonts w:ascii="Times New Roman" w:hAnsi="Times New Roman" w:cs="Times New Roman"/>
                <w:sz w:val="15"/>
                <w:szCs w:val="15"/>
              </w:rPr>
            </w:pPr>
            <w:r>
              <w:rPr>
                <w:rFonts w:ascii="Times New Roman" w:hAnsi="Times New Roman" w:cs="Times New Roman"/>
                <w:sz w:val="15"/>
                <w:szCs w:val="15"/>
              </w:rPr>
              <w:t>0.90</w:t>
            </w:r>
          </w:p>
        </w:tc>
        <w:tc>
          <w:tcPr>
            <w:tcW w:w="1273" w:type="pct"/>
            <w:vAlign w:val="center"/>
          </w:tcPr>
          <w:p w14:paraId="14F425F4">
            <w:pPr>
              <w:jc w:val="center"/>
              <w:rPr>
                <w:rFonts w:ascii="Times New Roman" w:hAnsi="Times New Roman" w:cs="Times New Roman"/>
                <w:sz w:val="15"/>
                <w:szCs w:val="15"/>
              </w:rPr>
            </w:pPr>
            <w:r>
              <w:rPr>
                <w:rFonts w:ascii="Times New Roman" w:hAnsi="Times New Roman" w:cs="Times New Roman"/>
                <w:sz w:val="15"/>
                <w:szCs w:val="15"/>
              </w:rPr>
              <w:t>细粒土坡面</w:t>
            </w:r>
          </w:p>
        </w:tc>
        <w:tc>
          <w:tcPr>
            <w:tcW w:w="1272" w:type="pct"/>
            <w:vAlign w:val="center"/>
          </w:tcPr>
          <w:p w14:paraId="2C71649E">
            <w:pPr>
              <w:jc w:val="center"/>
              <w:rPr>
                <w:rFonts w:ascii="Times New Roman" w:hAnsi="Times New Roman" w:cs="Times New Roman"/>
                <w:sz w:val="15"/>
                <w:szCs w:val="15"/>
              </w:rPr>
            </w:pPr>
            <w:r>
              <w:rPr>
                <w:rFonts w:ascii="Times New Roman" w:hAnsi="Times New Roman" w:cs="Times New Roman"/>
                <w:sz w:val="15"/>
                <w:szCs w:val="15"/>
              </w:rPr>
              <w:t>0.40～0.65</w:t>
            </w:r>
          </w:p>
        </w:tc>
      </w:tr>
      <w:tr w14:paraId="5B40CCE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9" w:hRule="exact"/>
          <w:jc w:val="center"/>
        </w:trPr>
        <w:tc>
          <w:tcPr>
            <w:tcW w:w="1182" w:type="pct"/>
            <w:vAlign w:val="center"/>
          </w:tcPr>
          <w:p w14:paraId="081AF66C">
            <w:pPr>
              <w:jc w:val="center"/>
              <w:rPr>
                <w:rFonts w:ascii="Times New Roman" w:hAnsi="Times New Roman" w:cs="Times New Roman"/>
                <w:sz w:val="15"/>
                <w:szCs w:val="15"/>
              </w:rPr>
            </w:pPr>
            <w:r>
              <w:rPr>
                <w:rFonts w:ascii="Times New Roman" w:hAnsi="Times New Roman" w:cs="Times New Roman"/>
                <w:sz w:val="15"/>
                <w:szCs w:val="15"/>
              </w:rPr>
              <w:t>粒料路面</w:t>
            </w:r>
          </w:p>
        </w:tc>
        <w:tc>
          <w:tcPr>
            <w:tcW w:w="1273" w:type="pct"/>
            <w:vAlign w:val="center"/>
          </w:tcPr>
          <w:p w14:paraId="6F4AC5CB">
            <w:pPr>
              <w:jc w:val="center"/>
              <w:rPr>
                <w:rFonts w:ascii="Times New Roman" w:hAnsi="Times New Roman" w:cs="Times New Roman"/>
                <w:sz w:val="15"/>
                <w:szCs w:val="15"/>
              </w:rPr>
            </w:pPr>
            <w:r>
              <w:rPr>
                <w:rFonts w:ascii="Times New Roman" w:hAnsi="Times New Roman" w:cs="Times New Roman"/>
                <w:sz w:val="15"/>
                <w:szCs w:val="15"/>
              </w:rPr>
              <w:t>0.40～0.60</w:t>
            </w:r>
          </w:p>
        </w:tc>
        <w:tc>
          <w:tcPr>
            <w:tcW w:w="1273" w:type="pct"/>
            <w:vAlign w:val="center"/>
          </w:tcPr>
          <w:p w14:paraId="6A54DC89">
            <w:pPr>
              <w:jc w:val="center"/>
              <w:rPr>
                <w:rFonts w:ascii="Times New Roman" w:hAnsi="Times New Roman" w:cs="Times New Roman"/>
                <w:sz w:val="15"/>
                <w:szCs w:val="15"/>
              </w:rPr>
            </w:pPr>
            <w:r>
              <w:rPr>
                <w:rFonts w:ascii="Times New Roman" w:hAnsi="Times New Roman" w:cs="Times New Roman"/>
                <w:sz w:val="15"/>
                <w:szCs w:val="15"/>
              </w:rPr>
              <w:t>平原草地</w:t>
            </w:r>
          </w:p>
        </w:tc>
        <w:tc>
          <w:tcPr>
            <w:tcW w:w="1272" w:type="pct"/>
            <w:vAlign w:val="center"/>
          </w:tcPr>
          <w:p w14:paraId="7613450B">
            <w:pPr>
              <w:jc w:val="center"/>
              <w:rPr>
                <w:rFonts w:ascii="Times New Roman" w:hAnsi="Times New Roman" w:cs="Times New Roman"/>
                <w:sz w:val="15"/>
                <w:szCs w:val="15"/>
              </w:rPr>
            </w:pPr>
            <w:r>
              <w:rPr>
                <w:rFonts w:ascii="Times New Roman" w:hAnsi="Times New Roman" w:cs="Times New Roman"/>
                <w:sz w:val="15"/>
                <w:szCs w:val="15"/>
              </w:rPr>
              <w:t>0.40～0.65</w:t>
            </w:r>
          </w:p>
        </w:tc>
      </w:tr>
      <w:tr w14:paraId="04139B1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87" w:hRule="exact"/>
          <w:jc w:val="center"/>
        </w:trPr>
        <w:tc>
          <w:tcPr>
            <w:tcW w:w="1182" w:type="pct"/>
            <w:vAlign w:val="center"/>
          </w:tcPr>
          <w:p w14:paraId="36348E9F">
            <w:pPr>
              <w:jc w:val="center"/>
              <w:rPr>
                <w:rFonts w:ascii="Times New Roman" w:hAnsi="Times New Roman" w:cs="Times New Roman"/>
                <w:sz w:val="15"/>
                <w:szCs w:val="15"/>
              </w:rPr>
            </w:pPr>
            <w:r>
              <w:rPr>
                <w:rFonts w:ascii="Times New Roman" w:hAnsi="Times New Roman" w:cs="Times New Roman"/>
                <w:sz w:val="15"/>
                <w:szCs w:val="15"/>
              </w:rPr>
              <w:t>粗粒土坡面</w:t>
            </w:r>
          </w:p>
        </w:tc>
        <w:tc>
          <w:tcPr>
            <w:tcW w:w="1273" w:type="pct"/>
            <w:vAlign w:val="center"/>
          </w:tcPr>
          <w:p w14:paraId="6E80BDB8">
            <w:pPr>
              <w:jc w:val="center"/>
              <w:rPr>
                <w:rFonts w:ascii="Times New Roman" w:hAnsi="Times New Roman" w:cs="Times New Roman"/>
                <w:sz w:val="15"/>
                <w:szCs w:val="15"/>
              </w:rPr>
            </w:pPr>
            <w:r>
              <w:rPr>
                <w:rFonts w:ascii="Times New Roman" w:hAnsi="Times New Roman" w:cs="Times New Roman"/>
                <w:sz w:val="15"/>
                <w:szCs w:val="15"/>
              </w:rPr>
              <w:t>0.10～0.30</w:t>
            </w:r>
          </w:p>
        </w:tc>
        <w:tc>
          <w:tcPr>
            <w:tcW w:w="1273" w:type="pct"/>
            <w:vAlign w:val="center"/>
          </w:tcPr>
          <w:p w14:paraId="3FE22ED4">
            <w:pPr>
              <w:jc w:val="center"/>
              <w:rPr>
                <w:rFonts w:ascii="Times New Roman" w:hAnsi="Times New Roman" w:cs="Times New Roman"/>
                <w:sz w:val="15"/>
                <w:szCs w:val="15"/>
              </w:rPr>
            </w:pPr>
            <w:r>
              <w:rPr>
                <w:rFonts w:ascii="Times New Roman" w:hAnsi="Times New Roman" w:cs="Times New Roman"/>
                <w:sz w:val="15"/>
                <w:szCs w:val="15"/>
              </w:rPr>
              <w:t>一般耕地</w:t>
            </w:r>
          </w:p>
        </w:tc>
        <w:tc>
          <w:tcPr>
            <w:tcW w:w="1272" w:type="pct"/>
            <w:vAlign w:val="center"/>
          </w:tcPr>
          <w:p w14:paraId="51B48D10">
            <w:pPr>
              <w:jc w:val="center"/>
              <w:rPr>
                <w:rFonts w:ascii="Times New Roman" w:hAnsi="Times New Roman" w:cs="Times New Roman"/>
                <w:sz w:val="15"/>
                <w:szCs w:val="15"/>
              </w:rPr>
            </w:pPr>
            <w:r>
              <w:rPr>
                <w:rFonts w:ascii="Times New Roman" w:hAnsi="Times New Roman" w:cs="Times New Roman"/>
                <w:sz w:val="15"/>
                <w:szCs w:val="15"/>
              </w:rPr>
              <w:t>0.40～0.60</w:t>
            </w:r>
          </w:p>
        </w:tc>
      </w:tr>
      <w:tr w14:paraId="460A6D8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05" w:hRule="exact"/>
          <w:jc w:val="center"/>
        </w:trPr>
        <w:tc>
          <w:tcPr>
            <w:tcW w:w="1182" w:type="pct"/>
            <w:vAlign w:val="center"/>
          </w:tcPr>
          <w:p w14:paraId="5981D8E7">
            <w:pPr>
              <w:jc w:val="center"/>
              <w:rPr>
                <w:rFonts w:ascii="Times New Roman" w:hAnsi="Times New Roman" w:cs="Times New Roman"/>
                <w:sz w:val="15"/>
                <w:szCs w:val="15"/>
              </w:rPr>
            </w:pPr>
            <w:r>
              <w:rPr>
                <w:rFonts w:ascii="Times New Roman" w:hAnsi="Times New Roman" w:cs="Times New Roman"/>
                <w:sz w:val="15"/>
                <w:szCs w:val="15"/>
              </w:rPr>
              <w:t>陡峻的山地</w:t>
            </w:r>
          </w:p>
        </w:tc>
        <w:tc>
          <w:tcPr>
            <w:tcW w:w="1273" w:type="pct"/>
            <w:vAlign w:val="center"/>
          </w:tcPr>
          <w:p w14:paraId="6985C42F">
            <w:pPr>
              <w:jc w:val="center"/>
              <w:rPr>
                <w:rFonts w:ascii="Times New Roman" w:hAnsi="Times New Roman" w:cs="Times New Roman"/>
                <w:sz w:val="15"/>
                <w:szCs w:val="15"/>
              </w:rPr>
            </w:pPr>
            <w:r>
              <w:rPr>
                <w:rFonts w:ascii="Times New Roman" w:hAnsi="Times New Roman" w:cs="Times New Roman"/>
                <w:sz w:val="15"/>
                <w:szCs w:val="15"/>
              </w:rPr>
              <w:t>0.75～0.90</w:t>
            </w:r>
          </w:p>
        </w:tc>
        <w:tc>
          <w:tcPr>
            <w:tcW w:w="1273" w:type="pct"/>
            <w:vAlign w:val="center"/>
          </w:tcPr>
          <w:p w14:paraId="096CC09B">
            <w:pPr>
              <w:jc w:val="center"/>
              <w:rPr>
                <w:rFonts w:ascii="Times New Roman" w:hAnsi="Times New Roman" w:cs="Times New Roman"/>
                <w:sz w:val="15"/>
                <w:szCs w:val="15"/>
              </w:rPr>
            </w:pPr>
            <w:r>
              <w:rPr>
                <w:rFonts w:ascii="Times New Roman" w:hAnsi="Times New Roman" w:cs="Times New Roman"/>
                <w:sz w:val="15"/>
                <w:szCs w:val="15"/>
              </w:rPr>
              <w:t>落叶林地</w:t>
            </w:r>
          </w:p>
        </w:tc>
        <w:tc>
          <w:tcPr>
            <w:tcW w:w="1272" w:type="pct"/>
            <w:vAlign w:val="center"/>
          </w:tcPr>
          <w:p w14:paraId="23921BB7">
            <w:pPr>
              <w:jc w:val="center"/>
              <w:rPr>
                <w:rFonts w:ascii="Times New Roman" w:hAnsi="Times New Roman" w:cs="Times New Roman"/>
                <w:sz w:val="15"/>
                <w:szCs w:val="15"/>
              </w:rPr>
            </w:pPr>
            <w:r>
              <w:rPr>
                <w:rFonts w:ascii="Times New Roman" w:hAnsi="Times New Roman" w:cs="Times New Roman"/>
                <w:sz w:val="15"/>
                <w:szCs w:val="15"/>
              </w:rPr>
              <w:t>0.35～0.60</w:t>
            </w:r>
          </w:p>
        </w:tc>
      </w:tr>
      <w:tr w14:paraId="49051B0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38" w:hRule="exact"/>
          <w:jc w:val="center"/>
        </w:trPr>
        <w:tc>
          <w:tcPr>
            <w:tcW w:w="1182" w:type="pct"/>
            <w:vAlign w:val="center"/>
          </w:tcPr>
          <w:p w14:paraId="6A234C25">
            <w:pPr>
              <w:jc w:val="center"/>
              <w:rPr>
                <w:rFonts w:ascii="Times New Roman" w:hAnsi="Times New Roman" w:cs="Times New Roman"/>
                <w:sz w:val="15"/>
                <w:szCs w:val="15"/>
              </w:rPr>
            </w:pPr>
            <w:r>
              <w:rPr>
                <w:rFonts w:ascii="Times New Roman" w:hAnsi="Times New Roman" w:cs="Times New Roman"/>
                <w:sz w:val="15"/>
                <w:szCs w:val="15"/>
              </w:rPr>
              <w:t>硬质岩石坡面</w:t>
            </w:r>
          </w:p>
        </w:tc>
        <w:tc>
          <w:tcPr>
            <w:tcW w:w="1273" w:type="pct"/>
            <w:vAlign w:val="center"/>
          </w:tcPr>
          <w:p w14:paraId="148E8489">
            <w:pPr>
              <w:jc w:val="center"/>
              <w:rPr>
                <w:rFonts w:ascii="Times New Roman" w:hAnsi="Times New Roman" w:cs="Times New Roman"/>
                <w:sz w:val="15"/>
                <w:szCs w:val="15"/>
              </w:rPr>
            </w:pPr>
            <w:r>
              <w:rPr>
                <w:rFonts w:ascii="Times New Roman" w:hAnsi="Times New Roman" w:cs="Times New Roman"/>
                <w:sz w:val="15"/>
                <w:szCs w:val="15"/>
              </w:rPr>
              <w:t>0.70～0.85</w:t>
            </w:r>
          </w:p>
        </w:tc>
        <w:tc>
          <w:tcPr>
            <w:tcW w:w="1273" w:type="pct"/>
            <w:vAlign w:val="center"/>
          </w:tcPr>
          <w:p w14:paraId="295692E4">
            <w:pPr>
              <w:jc w:val="center"/>
              <w:rPr>
                <w:rFonts w:ascii="Times New Roman" w:hAnsi="Times New Roman" w:cs="Times New Roman"/>
                <w:sz w:val="15"/>
                <w:szCs w:val="15"/>
              </w:rPr>
            </w:pPr>
            <w:r>
              <w:rPr>
                <w:rFonts w:ascii="Times New Roman" w:hAnsi="Times New Roman" w:cs="Times New Roman"/>
                <w:sz w:val="15"/>
                <w:szCs w:val="15"/>
              </w:rPr>
              <w:t>针叶林地</w:t>
            </w:r>
          </w:p>
        </w:tc>
        <w:tc>
          <w:tcPr>
            <w:tcW w:w="1272" w:type="pct"/>
            <w:vAlign w:val="center"/>
          </w:tcPr>
          <w:p w14:paraId="10A7611C">
            <w:pPr>
              <w:jc w:val="center"/>
              <w:rPr>
                <w:rFonts w:ascii="Times New Roman" w:hAnsi="Times New Roman" w:cs="Times New Roman"/>
                <w:sz w:val="15"/>
                <w:szCs w:val="15"/>
              </w:rPr>
            </w:pPr>
            <w:r>
              <w:rPr>
                <w:rFonts w:ascii="Times New Roman" w:hAnsi="Times New Roman" w:cs="Times New Roman"/>
                <w:sz w:val="15"/>
                <w:szCs w:val="15"/>
              </w:rPr>
              <w:t>0.25～0.50</w:t>
            </w:r>
          </w:p>
        </w:tc>
      </w:tr>
      <w:tr w14:paraId="06F74DC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55" w:hRule="exact"/>
          <w:jc w:val="center"/>
        </w:trPr>
        <w:tc>
          <w:tcPr>
            <w:tcW w:w="1182" w:type="pct"/>
            <w:vAlign w:val="center"/>
          </w:tcPr>
          <w:p w14:paraId="5930822E">
            <w:pPr>
              <w:jc w:val="center"/>
              <w:rPr>
                <w:rFonts w:ascii="Times New Roman" w:hAnsi="Times New Roman" w:cs="Times New Roman"/>
                <w:sz w:val="15"/>
                <w:szCs w:val="15"/>
              </w:rPr>
            </w:pPr>
            <w:r>
              <w:rPr>
                <w:rFonts w:ascii="Times New Roman" w:hAnsi="Times New Roman" w:cs="Times New Roman"/>
                <w:sz w:val="15"/>
                <w:szCs w:val="15"/>
              </w:rPr>
              <w:t>软质岩石坡面</w:t>
            </w:r>
          </w:p>
        </w:tc>
        <w:tc>
          <w:tcPr>
            <w:tcW w:w="1273" w:type="pct"/>
            <w:vAlign w:val="center"/>
          </w:tcPr>
          <w:p w14:paraId="176C2CB1">
            <w:pPr>
              <w:jc w:val="center"/>
              <w:rPr>
                <w:rFonts w:ascii="Times New Roman" w:hAnsi="Times New Roman" w:cs="Times New Roman"/>
                <w:sz w:val="15"/>
                <w:szCs w:val="15"/>
              </w:rPr>
            </w:pPr>
            <w:r>
              <w:rPr>
                <w:rFonts w:ascii="Times New Roman" w:hAnsi="Times New Roman" w:cs="Times New Roman"/>
                <w:sz w:val="15"/>
                <w:szCs w:val="15"/>
              </w:rPr>
              <w:t>0.50～0.75</w:t>
            </w:r>
          </w:p>
        </w:tc>
        <w:tc>
          <w:tcPr>
            <w:tcW w:w="1273" w:type="pct"/>
            <w:vAlign w:val="center"/>
          </w:tcPr>
          <w:p w14:paraId="3C7500A6">
            <w:pPr>
              <w:jc w:val="center"/>
              <w:rPr>
                <w:rFonts w:ascii="Times New Roman" w:hAnsi="Times New Roman" w:cs="Times New Roman"/>
                <w:sz w:val="15"/>
                <w:szCs w:val="15"/>
              </w:rPr>
            </w:pPr>
            <w:r>
              <w:rPr>
                <w:rFonts w:ascii="Times New Roman" w:hAnsi="Times New Roman" w:cs="Times New Roman"/>
                <w:sz w:val="15"/>
                <w:szCs w:val="15"/>
              </w:rPr>
              <w:t>粗砂土坡面</w:t>
            </w:r>
          </w:p>
        </w:tc>
        <w:tc>
          <w:tcPr>
            <w:tcW w:w="1272" w:type="pct"/>
            <w:vAlign w:val="center"/>
          </w:tcPr>
          <w:p w14:paraId="3E715E6E">
            <w:pPr>
              <w:jc w:val="center"/>
              <w:rPr>
                <w:rFonts w:ascii="Times New Roman" w:hAnsi="Times New Roman" w:cs="Times New Roman"/>
                <w:sz w:val="15"/>
                <w:szCs w:val="15"/>
              </w:rPr>
            </w:pPr>
            <w:r>
              <w:rPr>
                <w:rFonts w:ascii="Times New Roman" w:hAnsi="Times New Roman" w:cs="Times New Roman"/>
                <w:sz w:val="15"/>
                <w:szCs w:val="15"/>
              </w:rPr>
              <w:t>0.10～0.30</w:t>
            </w:r>
          </w:p>
        </w:tc>
      </w:tr>
      <w:tr w14:paraId="7ADA4CC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815" w:hRule="exact"/>
          <w:jc w:val="center"/>
        </w:trPr>
        <w:tc>
          <w:tcPr>
            <w:tcW w:w="1182" w:type="pct"/>
            <w:vAlign w:val="center"/>
          </w:tcPr>
          <w:p w14:paraId="7819F0A1">
            <w:pPr>
              <w:jc w:val="center"/>
              <w:rPr>
                <w:rFonts w:ascii="Times New Roman" w:hAnsi="Times New Roman" w:cs="Times New Roman"/>
                <w:sz w:val="15"/>
                <w:szCs w:val="15"/>
              </w:rPr>
            </w:pPr>
            <w:r>
              <w:rPr>
                <w:rFonts w:ascii="Times New Roman" w:hAnsi="Times New Roman" w:cs="Times New Roman"/>
                <w:sz w:val="15"/>
                <w:szCs w:val="15"/>
              </w:rPr>
              <w:t>水稻田、水塘</w:t>
            </w:r>
          </w:p>
        </w:tc>
        <w:tc>
          <w:tcPr>
            <w:tcW w:w="1273" w:type="pct"/>
            <w:vAlign w:val="center"/>
          </w:tcPr>
          <w:p w14:paraId="0A182A39">
            <w:pPr>
              <w:jc w:val="center"/>
              <w:rPr>
                <w:rFonts w:ascii="Times New Roman" w:hAnsi="Times New Roman" w:cs="Times New Roman"/>
                <w:sz w:val="15"/>
                <w:szCs w:val="15"/>
              </w:rPr>
            </w:pPr>
            <w:r>
              <w:rPr>
                <w:rFonts w:ascii="Times New Roman" w:hAnsi="Times New Roman" w:cs="Times New Roman"/>
                <w:sz w:val="15"/>
                <w:szCs w:val="15"/>
              </w:rPr>
              <w:t>0.70～0.80</w:t>
            </w:r>
          </w:p>
        </w:tc>
        <w:tc>
          <w:tcPr>
            <w:tcW w:w="1273" w:type="pct"/>
            <w:vAlign w:val="center"/>
          </w:tcPr>
          <w:p w14:paraId="14B4D407">
            <w:pPr>
              <w:jc w:val="center"/>
              <w:rPr>
                <w:rFonts w:ascii="Times New Roman" w:hAnsi="Times New Roman" w:cs="Times New Roman"/>
                <w:sz w:val="15"/>
                <w:szCs w:val="15"/>
              </w:rPr>
            </w:pPr>
            <w:r>
              <w:rPr>
                <w:rFonts w:ascii="Times New Roman" w:hAnsi="Times New Roman" w:cs="Times New Roman"/>
                <w:sz w:val="15"/>
                <w:szCs w:val="15"/>
              </w:rPr>
              <w:t>卵石、块石坡地</w:t>
            </w:r>
          </w:p>
        </w:tc>
        <w:tc>
          <w:tcPr>
            <w:tcW w:w="1272" w:type="pct"/>
            <w:vAlign w:val="center"/>
          </w:tcPr>
          <w:p w14:paraId="4F53F89A">
            <w:pPr>
              <w:jc w:val="center"/>
              <w:rPr>
                <w:rFonts w:ascii="Times New Roman" w:hAnsi="Times New Roman" w:cs="Times New Roman"/>
                <w:sz w:val="15"/>
                <w:szCs w:val="15"/>
              </w:rPr>
            </w:pPr>
            <w:r>
              <w:rPr>
                <w:rFonts w:ascii="Times New Roman" w:hAnsi="Times New Roman" w:cs="Times New Roman"/>
                <w:sz w:val="15"/>
                <w:szCs w:val="15"/>
              </w:rPr>
              <w:t>0.08～0.15</w:t>
            </w:r>
          </w:p>
        </w:tc>
      </w:tr>
    </w:tbl>
    <w:p w14:paraId="1DC7B782">
      <w:pPr>
        <w:tabs>
          <w:tab w:val="left" w:pos="1455"/>
        </w:tabs>
        <w:spacing w:line="360" w:lineRule="auto"/>
        <w:ind w:firstLine="438" w:firstLineChars="200"/>
        <w:jc w:val="left"/>
        <w:rPr>
          <w:rFonts w:ascii="Times New Roman" w:hAnsi="Times New Roman" w:cs="Times New Roman"/>
          <w:sz w:val="21"/>
          <w:szCs w:val="21"/>
        </w:rPr>
      </w:pPr>
      <w:r>
        <w:rPr>
          <w:rFonts w:ascii="Times New Roman" w:hAnsi="Times New Roman" w:cs="Times New Roman"/>
          <w:b/>
          <w:bCs/>
          <w:spacing w:val="4"/>
          <w:sz w:val="21"/>
          <w:szCs w:val="21"/>
        </w:rPr>
        <w:t>3</w:t>
      </w:r>
      <w:r>
        <w:rPr>
          <w:rFonts w:ascii="Times New Roman" w:hAnsi="Times New Roman" w:cs="Times New Roman"/>
          <w:sz w:val="21"/>
          <w:szCs w:val="21"/>
        </w:rPr>
        <w:t xml:space="preserve">  当工程场址及其邻近地区有10a以上自记雨量计资料时，应利用实测资料整理分析得到设计重现期的降雨强度。当缺乏自记雨量计资料时，可利用标准降雨强度等值线图和有关转换系数，按下式计算降雨强度：</w:t>
      </w:r>
    </w:p>
    <w:p w14:paraId="26137BC3">
      <w:pPr>
        <w:tabs>
          <w:tab w:val="left" w:pos="1455"/>
        </w:tabs>
        <w:spacing w:line="360" w:lineRule="auto"/>
        <w:ind w:firstLine="420"/>
        <w:jc w:val="right"/>
        <w:rPr>
          <w:rFonts w:ascii="Times New Roman" w:hAnsi="Times New Roman" w:cs="Times New Roman"/>
          <w:sz w:val="21"/>
          <w:szCs w:val="21"/>
        </w:rPr>
      </w:pPr>
      <w:r>
        <w:rPr>
          <w:rFonts w:ascii="Times New Roman" w:hAnsi="Times New Roman" w:cs="Times New Roman"/>
          <w:b/>
          <w:sz w:val="21"/>
          <w:szCs w:val="21"/>
        </w:rPr>
        <w:drawing>
          <wp:inline distT="0" distB="0" distL="114300" distR="114300">
            <wp:extent cx="716915" cy="215900"/>
            <wp:effectExtent l="0" t="0" r="14605" b="13335"/>
            <wp:docPr id="178"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05"/>
                    <pic:cNvPicPr>
                      <a:picLocks noChangeAspect="1"/>
                    </pic:cNvPicPr>
                  </pic:nvPicPr>
                  <pic:blipFill>
                    <a:blip r:embed="rId185"/>
                    <a:stretch>
                      <a:fillRect/>
                    </a:stretch>
                  </pic:blipFill>
                  <pic:spPr>
                    <a:xfrm>
                      <a:off x="0" y="0"/>
                      <a:ext cx="716915" cy="215900"/>
                    </a:xfrm>
                    <a:prstGeom prst="rect">
                      <a:avLst/>
                    </a:prstGeom>
                    <a:noFill/>
                    <a:ln>
                      <a:noFill/>
                    </a:ln>
                  </pic:spPr>
                </pic:pic>
              </a:graphicData>
            </a:graphic>
          </wp:inline>
        </w:drawing>
      </w:r>
      <w:r>
        <w:rPr>
          <w:rFonts w:ascii="Times New Roman" w:hAnsi="Times New Roman" w:cs="Times New Roman"/>
          <w:sz w:val="21"/>
          <w:szCs w:val="21"/>
        </w:rPr>
        <w:t xml:space="preserve">                        （A.4.1-2）</w:t>
      </w:r>
    </w:p>
    <w:p w14:paraId="2904D446">
      <w:pPr>
        <w:spacing w:line="360" w:lineRule="auto"/>
        <w:ind w:left="1470" w:hanging="1470" w:hangingChars="700"/>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q</w:t>
      </w:r>
      <w:r>
        <w:rPr>
          <w:rFonts w:ascii="Times New Roman" w:hAnsi="Times New Roman" w:cs="Times New Roman"/>
          <w:i/>
          <w:sz w:val="21"/>
          <w:szCs w:val="21"/>
          <w:vertAlign w:val="subscript"/>
        </w:rPr>
        <w:t>5,10</w:t>
      </w:r>
      <w:r>
        <w:rPr>
          <w:rFonts w:ascii="Times New Roman" w:hAnsi="Times New Roman" w:cs="Times New Roman"/>
          <w:sz w:val="21"/>
          <w:szCs w:val="21"/>
        </w:rPr>
        <w:t>——5年重现期和10min降雨历时的标准降雨强度，可按工程所在地区，查中国5年一遇10min降雨强度</w:t>
      </w:r>
      <w:r>
        <w:rPr>
          <w:rFonts w:ascii="Times New Roman" w:hAnsi="Times New Roman" w:cs="Times New Roman"/>
          <w:i/>
          <w:sz w:val="21"/>
          <w:szCs w:val="21"/>
        </w:rPr>
        <w:t>q</w:t>
      </w:r>
      <w:r>
        <w:rPr>
          <w:rFonts w:ascii="Times New Roman" w:hAnsi="Times New Roman" w:cs="Times New Roman"/>
          <w:i/>
          <w:sz w:val="21"/>
          <w:szCs w:val="21"/>
          <w:vertAlign w:val="subscript"/>
        </w:rPr>
        <w:t>5,10</w:t>
      </w:r>
      <w:r>
        <w:rPr>
          <w:rFonts w:ascii="Times New Roman" w:hAnsi="Times New Roman" w:cs="Times New Roman"/>
          <w:sz w:val="21"/>
          <w:szCs w:val="21"/>
        </w:rPr>
        <w:t>等值线图（图A.4.1-1）（mm/min）；</w:t>
      </w:r>
    </w:p>
    <w:p w14:paraId="3392F423">
      <w:pPr>
        <w:spacing w:line="360" w:lineRule="auto"/>
        <w:ind w:left="1559" w:leftChars="337" w:hanging="615" w:hangingChars="293"/>
        <w:rPr>
          <w:rFonts w:ascii="Times New Roman" w:hAnsi="Times New Roman" w:cs="Times New Roman"/>
          <w:sz w:val="21"/>
          <w:szCs w:val="21"/>
        </w:rPr>
      </w:pPr>
      <w:r>
        <w:rPr>
          <w:rFonts w:ascii="Times New Roman" w:hAnsi="Times New Roman" w:cs="Times New Roman"/>
          <w:i/>
          <w:sz w:val="21"/>
          <w:szCs w:val="21"/>
        </w:rPr>
        <w:t>C</w:t>
      </w:r>
      <w:r>
        <w:rPr>
          <w:rFonts w:ascii="Times New Roman" w:hAnsi="Times New Roman" w:cs="Times New Roman"/>
          <w:i/>
          <w:sz w:val="21"/>
          <w:szCs w:val="21"/>
          <w:vertAlign w:val="subscript"/>
        </w:rPr>
        <w:t>p</w:t>
      </w:r>
      <w:r>
        <w:rPr>
          <w:rFonts w:ascii="Times New Roman" w:hAnsi="Times New Roman" w:cs="Times New Roman"/>
          <w:sz w:val="21"/>
          <w:szCs w:val="21"/>
        </w:rPr>
        <w:t>——重现期转换系数，为设计重现期降雨强度</w:t>
      </w:r>
      <w:r>
        <w:rPr>
          <w:rFonts w:ascii="Times New Roman" w:hAnsi="Times New Roman" w:cs="Times New Roman"/>
          <w:i/>
          <w:sz w:val="21"/>
          <w:szCs w:val="21"/>
        </w:rPr>
        <w:t>q</w:t>
      </w:r>
      <w:r>
        <w:rPr>
          <w:rFonts w:ascii="Times New Roman" w:hAnsi="Times New Roman" w:cs="Times New Roman"/>
          <w:i/>
          <w:sz w:val="21"/>
          <w:szCs w:val="21"/>
          <w:vertAlign w:val="subscript"/>
        </w:rPr>
        <w:t>p</w:t>
      </w:r>
      <w:r>
        <w:rPr>
          <w:rFonts w:ascii="Times New Roman" w:hAnsi="Times New Roman" w:cs="Times New Roman"/>
          <w:sz w:val="21"/>
          <w:szCs w:val="21"/>
        </w:rPr>
        <w:t>同标准重现期降雨强度</w:t>
      </w:r>
      <w:r>
        <w:rPr>
          <w:rFonts w:ascii="Times New Roman" w:hAnsi="Times New Roman" w:cs="Times New Roman"/>
          <w:i/>
          <w:sz w:val="21"/>
          <w:szCs w:val="21"/>
        </w:rPr>
        <w:t>q</w:t>
      </w:r>
      <w:r>
        <w:rPr>
          <w:rFonts w:ascii="Times New Roman" w:hAnsi="Times New Roman" w:cs="Times New Roman"/>
          <w:sz w:val="21"/>
          <w:szCs w:val="21"/>
          <w:vertAlign w:val="subscript"/>
        </w:rPr>
        <w:t>5</w:t>
      </w:r>
      <w:r>
        <w:rPr>
          <w:rFonts w:ascii="Times New Roman" w:hAnsi="Times New Roman" w:cs="Times New Roman"/>
          <w:sz w:val="21"/>
          <w:szCs w:val="21"/>
        </w:rPr>
        <w:t>的比值（</w:t>
      </w:r>
      <w:r>
        <w:rPr>
          <w:rFonts w:ascii="Times New Roman" w:hAnsi="Times New Roman" w:cs="Times New Roman"/>
          <w:i/>
          <w:sz w:val="21"/>
          <w:szCs w:val="21"/>
        </w:rPr>
        <w:t>q</w:t>
      </w:r>
      <w:r>
        <w:rPr>
          <w:rFonts w:ascii="Times New Roman" w:hAnsi="Times New Roman" w:cs="Times New Roman"/>
          <w:sz w:val="21"/>
          <w:szCs w:val="21"/>
          <w:vertAlign w:val="subscript"/>
        </w:rPr>
        <w:t>p</w:t>
      </w:r>
      <w:r>
        <w:rPr>
          <w:rFonts w:ascii="Times New Roman" w:hAnsi="Times New Roman" w:cs="Times New Roman"/>
          <w:sz w:val="21"/>
          <w:szCs w:val="21"/>
        </w:rPr>
        <w:t>/</w:t>
      </w:r>
      <w:r>
        <w:rPr>
          <w:rFonts w:ascii="Times New Roman" w:hAnsi="Times New Roman" w:cs="Times New Roman"/>
          <w:i/>
          <w:sz w:val="21"/>
          <w:szCs w:val="21"/>
        </w:rPr>
        <w:t>q</w:t>
      </w:r>
      <w:r>
        <w:rPr>
          <w:rFonts w:ascii="Times New Roman" w:hAnsi="Times New Roman" w:cs="Times New Roman"/>
          <w:sz w:val="21"/>
          <w:szCs w:val="21"/>
          <w:vertAlign w:val="subscript"/>
        </w:rPr>
        <w:t>5</w:t>
      </w:r>
      <w:r>
        <w:rPr>
          <w:rFonts w:ascii="Times New Roman" w:hAnsi="Times New Roman" w:cs="Times New Roman"/>
          <w:sz w:val="21"/>
          <w:szCs w:val="21"/>
        </w:rPr>
        <w:t>），按工程所在地区，由表A.4.1-2确定。</w:t>
      </w:r>
    </w:p>
    <w:p w14:paraId="4C43DD4E">
      <w:pPr>
        <w:spacing w:line="360" w:lineRule="auto"/>
        <w:ind w:left="1557" w:leftChars="337" w:right="-76" w:rightChars="-27" w:hanging="613" w:hangingChars="292"/>
        <w:rPr>
          <w:rFonts w:ascii="Times New Roman" w:hAnsi="Times New Roman" w:cs="Times New Roman"/>
          <w:sz w:val="21"/>
          <w:szCs w:val="21"/>
        </w:rPr>
      </w:pPr>
      <w:r>
        <w:rPr>
          <w:rFonts w:ascii="Times New Roman" w:hAnsi="Times New Roman" w:cs="Times New Roman"/>
          <w:i/>
          <w:sz w:val="21"/>
          <w:szCs w:val="21"/>
        </w:rPr>
        <w:t>C</w:t>
      </w:r>
      <w:r>
        <w:rPr>
          <w:rFonts w:ascii="Times New Roman" w:hAnsi="Times New Roman" w:cs="Times New Roman"/>
          <w:i/>
          <w:sz w:val="21"/>
          <w:szCs w:val="21"/>
          <w:vertAlign w:val="subscript"/>
        </w:rPr>
        <w:t>t</w:t>
      </w:r>
      <w:r>
        <w:rPr>
          <w:rFonts w:ascii="Times New Roman" w:hAnsi="Times New Roman" w:cs="Times New Roman"/>
          <w:sz w:val="21"/>
          <w:szCs w:val="21"/>
        </w:rPr>
        <w:t>——降雨历时转换系数，为降雨历时t的降雨强度</w:t>
      </w:r>
      <w:r>
        <w:rPr>
          <w:rFonts w:ascii="Times New Roman" w:hAnsi="Times New Roman" w:cs="Times New Roman"/>
          <w:i/>
          <w:sz w:val="21"/>
          <w:szCs w:val="21"/>
        </w:rPr>
        <w:t>q</w:t>
      </w:r>
      <w:r>
        <w:rPr>
          <w:rFonts w:ascii="Times New Roman" w:hAnsi="Times New Roman" w:cs="Times New Roman"/>
          <w:i/>
          <w:sz w:val="21"/>
          <w:szCs w:val="21"/>
          <w:vertAlign w:val="subscript"/>
        </w:rPr>
        <w:t>t</w:t>
      </w:r>
      <w:r>
        <w:rPr>
          <w:rFonts w:ascii="Times New Roman" w:hAnsi="Times New Roman" w:cs="Times New Roman"/>
          <w:sz w:val="21"/>
          <w:szCs w:val="21"/>
        </w:rPr>
        <w:t>同10min降雨历时的降雨强度</w:t>
      </w:r>
      <w:r>
        <w:rPr>
          <w:rFonts w:ascii="Times New Roman" w:hAnsi="Times New Roman" w:cs="Times New Roman"/>
          <w:i/>
          <w:sz w:val="21"/>
          <w:szCs w:val="21"/>
        </w:rPr>
        <w:t>q</w:t>
      </w:r>
      <w:r>
        <w:rPr>
          <w:rFonts w:ascii="Times New Roman" w:hAnsi="Times New Roman" w:cs="Times New Roman"/>
          <w:sz w:val="21"/>
          <w:szCs w:val="21"/>
          <w:vertAlign w:val="subscript"/>
        </w:rPr>
        <w:t>10</w:t>
      </w:r>
      <w:r>
        <w:rPr>
          <w:rFonts w:ascii="Times New Roman" w:hAnsi="Times New Roman" w:cs="Times New Roman"/>
          <w:sz w:val="21"/>
          <w:szCs w:val="21"/>
        </w:rPr>
        <w:t>的比值（</w:t>
      </w:r>
      <w:r>
        <w:rPr>
          <w:rFonts w:ascii="Times New Roman" w:hAnsi="Times New Roman" w:cs="Times New Roman"/>
          <w:i/>
          <w:sz w:val="21"/>
          <w:szCs w:val="21"/>
        </w:rPr>
        <w:t>q</w:t>
      </w:r>
      <w:r>
        <w:rPr>
          <w:rFonts w:ascii="Times New Roman" w:hAnsi="Times New Roman" w:cs="Times New Roman"/>
          <w:sz w:val="21"/>
          <w:szCs w:val="21"/>
          <w:vertAlign w:val="subscript"/>
        </w:rPr>
        <w:t>t</w:t>
      </w:r>
      <w:r>
        <w:rPr>
          <w:rFonts w:ascii="Times New Roman" w:hAnsi="Times New Roman" w:cs="Times New Roman"/>
          <w:sz w:val="21"/>
          <w:szCs w:val="21"/>
        </w:rPr>
        <w:t>/</w:t>
      </w:r>
      <w:r>
        <w:rPr>
          <w:rFonts w:ascii="Times New Roman" w:hAnsi="Times New Roman" w:cs="Times New Roman"/>
          <w:i/>
          <w:sz w:val="21"/>
          <w:szCs w:val="21"/>
        </w:rPr>
        <w:t>q</w:t>
      </w:r>
      <w:r>
        <w:rPr>
          <w:rFonts w:ascii="Times New Roman" w:hAnsi="Times New Roman" w:cs="Times New Roman"/>
          <w:sz w:val="21"/>
          <w:szCs w:val="21"/>
          <w:vertAlign w:val="subscript"/>
        </w:rPr>
        <w:t>10</w:t>
      </w:r>
      <w:r>
        <w:rPr>
          <w:rFonts w:ascii="Times New Roman" w:hAnsi="Times New Roman" w:cs="Times New Roman"/>
          <w:sz w:val="21"/>
          <w:szCs w:val="21"/>
        </w:rPr>
        <w:t>），按工程所在地区的60min转换系数（C</w:t>
      </w:r>
      <w:r>
        <w:rPr>
          <w:rFonts w:ascii="Times New Roman" w:hAnsi="Times New Roman" w:cs="Times New Roman"/>
          <w:sz w:val="21"/>
          <w:szCs w:val="21"/>
          <w:vertAlign w:val="subscript"/>
        </w:rPr>
        <w:t>60</w:t>
      </w:r>
      <w:r>
        <w:rPr>
          <w:rFonts w:ascii="Times New Roman" w:hAnsi="Times New Roman" w:cs="Times New Roman"/>
          <w:sz w:val="21"/>
          <w:szCs w:val="21"/>
        </w:rPr>
        <w:t>），由表A.4.1-3查取，C</w:t>
      </w:r>
      <w:r>
        <w:rPr>
          <w:rFonts w:ascii="Times New Roman" w:hAnsi="Times New Roman" w:cs="Times New Roman"/>
          <w:sz w:val="21"/>
          <w:szCs w:val="21"/>
          <w:vertAlign w:val="subscript"/>
        </w:rPr>
        <w:t>60</w:t>
      </w:r>
      <w:r>
        <w:rPr>
          <w:rFonts w:ascii="Times New Roman" w:hAnsi="Times New Roman" w:cs="Times New Roman"/>
          <w:sz w:val="21"/>
          <w:szCs w:val="21"/>
        </w:rPr>
        <w:t>可由图A.4.1-2查取。</w:t>
      </w:r>
    </w:p>
    <w:p w14:paraId="09F3F26C">
      <w:pPr>
        <w:ind w:firstLine="2833" w:firstLineChars="1574"/>
        <w:jc w:val="left"/>
        <w:rPr>
          <w:rFonts w:ascii="Times New Roman" w:hAnsi="Times New Roman" w:eastAsia="黑体" w:cs="Times New Roman"/>
          <w:sz w:val="18"/>
          <w:szCs w:val="21"/>
        </w:rPr>
      </w:pPr>
      <w:r>
        <w:rPr>
          <w:rFonts w:ascii="Times New Roman" w:hAnsi="Times New Roman" w:eastAsia="黑体" w:cs="Times New Roman"/>
          <w:sz w:val="18"/>
          <w:szCs w:val="21"/>
        </w:rPr>
        <w:t>表A</w:t>
      </w:r>
      <w:r>
        <w:rPr>
          <w:rFonts w:ascii="Times New Roman" w:hAnsi="Times New Roman" w:cs="Times New Roman"/>
          <w:sz w:val="18"/>
          <w:szCs w:val="21"/>
        </w:rPr>
        <w:t>.</w:t>
      </w:r>
      <w:r>
        <w:rPr>
          <w:rFonts w:ascii="Times New Roman" w:hAnsi="Times New Roman" w:eastAsia="黑体" w:cs="Times New Roman"/>
          <w:sz w:val="18"/>
          <w:szCs w:val="21"/>
        </w:rPr>
        <w:t>4</w:t>
      </w:r>
      <w:r>
        <w:rPr>
          <w:rFonts w:ascii="Times New Roman" w:hAnsi="Times New Roman" w:cs="Times New Roman"/>
          <w:sz w:val="18"/>
          <w:szCs w:val="21"/>
        </w:rPr>
        <w:t>.</w:t>
      </w:r>
      <w:r>
        <w:rPr>
          <w:rFonts w:ascii="Times New Roman" w:hAnsi="Times New Roman" w:eastAsia="黑体" w:cs="Times New Roman"/>
          <w:sz w:val="18"/>
          <w:szCs w:val="21"/>
        </w:rPr>
        <w:t>1-2  重现期转换系数（</w:t>
      </w:r>
      <w:r>
        <w:rPr>
          <w:rFonts w:ascii="Times New Roman" w:hAnsi="Times New Roman" w:eastAsia="黑体" w:cs="Times New Roman"/>
          <w:i/>
          <w:sz w:val="18"/>
          <w:szCs w:val="21"/>
        </w:rPr>
        <w:t>C</w:t>
      </w:r>
      <w:r>
        <w:rPr>
          <w:rFonts w:ascii="Times New Roman" w:hAnsi="Times New Roman" w:eastAsia="黑体" w:cs="Times New Roman"/>
          <w:i/>
          <w:sz w:val="18"/>
          <w:szCs w:val="21"/>
          <w:vertAlign w:val="subscript"/>
        </w:rPr>
        <w:t>p</w:t>
      </w:r>
      <w:r>
        <w:rPr>
          <w:rFonts w:ascii="Times New Roman" w:hAnsi="Times New Roman" w:eastAsia="黑体" w:cs="Times New Roman"/>
          <w:sz w:val="18"/>
          <w:szCs w:val="21"/>
        </w:rPr>
        <w:t>）表</w:t>
      </w:r>
    </w:p>
    <w:tbl>
      <w:tblPr>
        <w:tblStyle w:val="10"/>
        <w:tblW w:w="4997"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4684"/>
        <w:gridCol w:w="957"/>
        <w:gridCol w:w="957"/>
        <w:gridCol w:w="957"/>
        <w:gridCol w:w="962"/>
      </w:tblGrid>
      <w:tr w14:paraId="45198D8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26" w:hRule="exact"/>
        </w:trPr>
        <w:tc>
          <w:tcPr>
            <w:tcW w:w="2750" w:type="pct"/>
            <w:vMerge w:val="restart"/>
            <w:vAlign w:val="center"/>
          </w:tcPr>
          <w:p w14:paraId="6A3F9369">
            <w:pPr>
              <w:spacing w:line="360" w:lineRule="auto"/>
              <w:jc w:val="center"/>
              <w:rPr>
                <w:rFonts w:ascii="Times New Roman" w:hAnsi="Times New Roman" w:cs="Times New Roman"/>
                <w:sz w:val="15"/>
                <w:szCs w:val="15"/>
              </w:rPr>
            </w:pPr>
            <w:r>
              <w:rPr>
                <w:rFonts w:ascii="Times New Roman" w:hAnsi="Times New Roman" w:cs="Times New Roman"/>
                <w:sz w:val="15"/>
                <w:szCs w:val="15"/>
              </w:rPr>
              <w:t>地    区</w:t>
            </w:r>
          </w:p>
        </w:tc>
        <w:tc>
          <w:tcPr>
            <w:tcW w:w="2250" w:type="pct"/>
            <w:gridSpan w:val="4"/>
            <w:vAlign w:val="center"/>
          </w:tcPr>
          <w:p w14:paraId="22F6601E">
            <w:pPr>
              <w:spacing w:line="360" w:lineRule="auto"/>
              <w:jc w:val="center"/>
              <w:rPr>
                <w:rFonts w:ascii="Times New Roman" w:hAnsi="Times New Roman" w:cs="Times New Roman"/>
                <w:sz w:val="15"/>
                <w:szCs w:val="15"/>
              </w:rPr>
            </w:pPr>
            <w:r>
              <w:rPr>
                <w:rFonts w:ascii="Times New Roman" w:hAnsi="Times New Roman" w:cs="Times New Roman"/>
                <w:sz w:val="15"/>
                <w:szCs w:val="15"/>
              </w:rPr>
              <w:t>重现期P（年）</w:t>
            </w:r>
          </w:p>
        </w:tc>
      </w:tr>
      <w:tr w14:paraId="59397B7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2" w:hRule="exact"/>
        </w:trPr>
        <w:tc>
          <w:tcPr>
            <w:tcW w:w="2750" w:type="pct"/>
            <w:vMerge w:val="continue"/>
            <w:vAlign w:val="center"/>
          </w:tcPr>
          <w:p w14:paraId="7D0ED213">
            <w:pPr>
              <w:spacing w:line="360" w:lineRule="auto"/>
              <w:ind w:firstLine="360"/>
              <w:jc w:val="center"/>
              <w:rPr>
                <w:rFonts w:ascii="Times New Roman" w:hAnsi="Times New Roman" w:cs="Times New Roman"/>
                <w:sz w:val="15"/>
                <w:szCs w:val="15"/>
              </w:rPr>
            </w:pPr>
          </w:p>
        </w:tc>
        <w:tc>
          <w:tcPr>
            <w:tcW w:w="562" w:type="pct"/>
            <w:vAlign w:val="center"/>
          </w:tcPr>
          <w:p w14:paraId="1C410D56">
            <w:pPr>
              <w:spacing w:line="360" w:lineRule="auto"/>
              <w:jc w:val="center"/>
              <w:rPr>
                <w:rFonts w:ascii="Times New Roman" w:hAnsi="Times New Roman" w:cs="Times New Roman"/>
                <w:sz w:val="15"/>
                <w:szCs w:val="15"/>
              </w:rPr>
            </w:pPr>
            <w:r>
              <w:rPr>
                <w:rFonts w:ascii="Times New Roman" w:hAnsi="Times New Roman" w:cs="Times New Roman"/>
                <w:sz w:val="15"/>
                <w:szCs w:val="15"/>
              </w:rPr>
              <w:t>3</w:t>
            </w:r>
          </w:p>
        </w:tc>
        <w:tc>
          <w:tcPr>
            <w:tcW w:w="562" w:type="pct"/>
            <w:vAlign w:val="center"/>
          </w:tcPr>
          <w:p w14:paraId="7028B1F9">
            <w:pPr>
              <w:spacing w:line="360" w:lineRule="auto"/>
              <w:jc w:val="center"/>
              <w:rPr>
                <w:rFonts w:ascii="Times New Roman" w:hAnsi="Times New Roman" w:cs="Times New Roman"/>
                <w:sz w:val="15"/>
                <w:szCs w:val="15"/>
              </w:rPr>
            </w:pPr>
            <w:r>
              <w:rPr>
                <w:rFonts w:ascii="Times New Roman" w:hAnsi="Times New Roman" w:cs="Times New Roman"/>
                <w:sz w:val="15"/>
                <w:szCs w:val="15"/>
              </w:rPr>
              <w:t>5</w:t>
            </w:r>
          </w:p>
        </w:tc>
        <w:tc>
          <w:tcPr>
            <w:tcW w:w="562" w:type="pct"/>
            <w:vAlign w:val="center"/>
          </w:tcPr>
          <w:p w14:paraId="40EEAEA8">
            <w:pPr>
              <w:spacing w:line="360" w:lineRule="auto"/>
              <w:jc w:val="center"/>
              <w:rPr>
                <w:rFonts w:ascii="Times New Roman" w:hAnsi="Times New Roman" w:cs="Times New Roman"/>
                <w:sz w:val="15"/>
                <w:szCs w:val="15"/>
              </w:rPr>
            </w:pPr>
            <w:r>
              <w:rPr>
                <w:rFonts w:ascii="Times New Roman" w:hAnsi="Times New Roman" w:cs="Times New Roman"/>
                <w:sz w:val="15"/>
                <w:szCs w:val="15"/>
              </w:rPr>
              <w:t>10</w:t>
            </w:r>
          </w:p>
        </w:tc>
        <w:tc>
          <w:tcPr>
            <w:tcW w:w="563" w:type="pct"/>
            <w:vAlign w:val="center"/>
          </w:tcPr>
          <w:p w14:paraId="132E3BE1">
            <w:pPr>
              <w:spacing w:line="360" w:lineRule="auto"/>
              <w:jc w:val="center"/>
              <w:rPr>
                <w:rFonts w:ascii="Times New Roman" w:hAnsi="Times New Roman" w:cs="Times New Roman"/>
                <w:sz w:val="15"/>
                <w:szCs w:val="15"/>
              </w:rPr>
            </w:pPr>
            <w:r>
              <w:rPr>
                <w:rFonts w:ascii="Times New Roman" w:hAnsi="Times New Roman" w:cs="Times New Roman"/>
                <w:sz w:val="15"/>
                <w:szCs w:val="15"/>
              </w:rPr>
              <w:t>15</w:t>
            </w:r>
          </w:p>
        </w:tc>
      </w:tr>
      <w:tr w14:paraId="2A75197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39" w:hRule="atLeast"/>
        </w:trPr>
        <w:tc>
          <w:tcPr>
            <w:tcW w:w="2750" w:type="pct"/>
            <w:vAlign w:val="center"/>
          </w:tcPr>
          <w:p w14:paraId="103CE0ED">
            <w:pPr>
              <w:spacing w:line="360" w:lineRule="auto"/>
              <w:jc w:val="left"/>
              <w:rPr>
                <w:rFonts w:ascii="Times New Roman" w:hAnsi="Times New Roman" w:cs="Times New Roman"/>
                <w:sz w:val="15"/>
                <w:szCs w:val="15"/>
              </w:rPr>
            </w:pPr>
            <w:r>
              <w:rPr>
                <w:rFonts w:ascii="Times New Roman" w:hAnsi="Times New Roman" w:cs="Times New Roman"/>
                <w:sz w:val="15"/>
                <w:szCs w:val="15"/>
              </w:rPr>
              <w:t>海南、广东、广西、云南、贵州、四川东、湖南、湖北、福建、江西、安徽、江苏、浙江、上海、台湾</w:t>
            </w:r>
          </w:p>
        </w:tc>
        <w:tc>
          <w:tcPr>
            <w:tcW w:w="562" w:type="pct"/>
            <w:vAlign w:val="center"/>
          </w:tcPr>
          <w:p w14:paraId="2B0BFDF9">
            <w:pPr>
              <w:spacing w:line="360" w:lineRule="auto"/>
              <w:jc w:val="center"/>
              <w:rPr>
                <w:rFonts w:ascii="Times New Roman" w:hAnsi="Times New Roman" w:cs="Times New Roman"/>
                <w:sz w:val="15"/>
                <w:szCs w:val="15"/>
              </w:rPr>
            </w:pPr>
            <w:r>
              <w:rPr>
                <w:rFonts w:ascii="Times New Roman" w:hAnsi="Times New Roman" w:cs="Times New Roman"/>
                <w:sz w:val="15"/>
                <w:szCs w:val="15"/>
              </w:rPr>
              <w:t>0.86</w:t>
            </w:r>
          </w:p>
        </w:tc>
        <w:tc>
          <w:tcPr>
            <w:tcW w:w="562" w:type="pct"/>
            <w:vAlign w:val="center"/>
          </w:tcPr>
          <w:p w14:paraId="3D55D345">
            <w:pPr>
              <w:spacing w:line="360" w:lineRule="auto"/>
              <w:jc w:val="center"/>
              <w:rPr>
                <w:rFonts w:ascii="Times New Roman" w:hAnsi="Times New Roman" w:cs="Times New Roman"/>
                <w:sz w:val="15"/>
                <w:szCs w:val="15"/>
              </w:rPr>
            </w:pPr>
            <w:r>
              <w:rPr>
                <w:rFonts w:ascii="Times New Roman" w:hAnsi="Times New Roman" w:cs="Times New Roman"/>
                <w:sz w:val="15"/>
                <w:szCs w:val="15"/>
              </w:rPr>
              <w:t>1.00</w:t>
            </w:r>
          </w:p>
        </w:tc>
        <w:tc>
          <w:tcPr>
            <w:tcW w:w="562" w:type="pct"/>
            <w:vAlign w:val="center"/>
          </w:tcPr>
          <w:p w14:paraId="461D6689">
            <w:pPr>
              <w:spacing w:line="360" w:lineRule="auto"/>
              <w:jc w:val="center"/>
              <w:rPr>
                <w:rFonts w:ascii="Times New Roman" w:hAnsi="Times New Roman" w:cs="Times New Roman"/>
                <w:sz w:val="15"/>
                <w:szCs w:val="15"/>
              </w:rPr>
            </w:pPr>
            <w:r>
              <w:rPr>
                <w:rFonts w:ascii="Times New Roman" w:hAnsi="Times New Roman" w:cs="Times New Roman"/>
                <w:sz w:val="15"/>
                <w:szCs w:val="15"/>
              </w:rPr>
              <w:t>1.17</w:t>
            </w:r>
          </w:p>
        </w:tc>
        <w:tc>
          <w:tcPr>
            <w:tcW w:w="563" w:type="pct"/>
            <w:vAlign w:val="center"/>
          </w:tcPr>
          <w:p w14:paraId="122D69B7">
            <w:pPr>
              <w:spacing w:line="360" w:lineRule="auto"/>
              <w:jc w:val="center"/>
              <w:rPr>
                <w:rFonts w:ascii="Times New Roman" w:hAnsi="Times New Roman" w:cs="Times New Roman"/>
                <w:sz w:val="15"/>
                <w:szCs w:val="15"/>
              </w:rPr>
            </w:pPr>
            <w:r>
              <w:rPr>
                <w:rFonts w:ascii="Times New Roman" w:hAnsi="Times New Roman" w:cs="Times New Roman"/>
                <w:sz w:val="15"/>
                <w:szCs w:val="15"/>
              </w:rPr>
              <w:t>1.27</w:t>
            </w:r>
          </w:p>
        </w:tc>
      </w:tr>
      <w:tr w14:paraId="1811540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39" w:hRule="atLeast"/>
        </w:trPr>
        <w:tc>
          <w:tcPr>
            <w:tcW w:w="2750" w:type="pct"/>
            <w:vAlign w:val="center"/>
          </w:tcPr>
          <w:p w14:paraId="0A8E16A0">
            <w:pPr>
              <w:spacing w:line="360" w:lineRule="auto"/>
              <w:jc w:val="left"/>
              <w:rPr>
                <w:rFonts w:ascii="Times New Roman" w:hAnsi="Times New Roman" w:cs="Times New Roman"/>
                <w:sz w:val="15"/>
                <w:szCs w:val="15"/>
              </w:rPr>
            </w:pPr>
            <w:r>
              <w:rPr>
                <w:rFonts w:ascii="Times New Roman" w:hAnsi="Times New Roman" w:cs="Times New Roman"/>
                <w:sz w:val="15"/>
                <w:szCs w:val="15"/>
              </w:rPr>
              <w:t>黑龙江、吉林、辽宁、北京、天津、河北、山西、河南、山东、四川、重庆、西藏</w:t>
            </w:r>
          </w:p>
        </w:tc>
        <w:tc>
          <w:tcPr>
            <w:tcW w:w="562" w:type="pct"/>
            <w:vAlign w:val="center"/>
          </w:tcPr>
          <w:p w14:paraId="7D05CD1A">
            <w:pPr>
              <w:spacing w:line="360" w:lineRule="auto"/>
              <w:jc w:val="center"/>
              <w:rPr>
                <w:rFonts w:ascii="Times New Roman" w:hAnsi="Times New Roman" w:cs="Times New Roman"/>
                <w:sz w:val="15"/>
                <w:szCs w:val="15"/>
              </w:rPr>
            </w:pPr>
            <w:r>
              <w:rPr>
                <w:rFonts w:ascii="Times New Roman" w:hAnsi="Times New Roman" w:cs="Times New Roman"/>
                <w:sz w:val="15"/>
                <w:szCs w:val="15"/>
              </w:rPr>
              <w:t>0.83</w:t>
            </w:r>
          </w:p>
        </w:tc>
        <w:tc>
          <w:tcPr>
            <w:tcW w:w="562" w:type="pct"/>
            <w:vAlign w:val="center"/>
          </w:tcPr>
          <w:p w14:paraId="145F1A58">
            <w:pPr>
              <w:spacing w:line="360" w:lineRule="auto"/>
              <w:jc w:val="center"/>
              <w:rPr>
                <w:rFonts w:ascii="Times New Roman" w:hAnsi="Times New Roman" w:cs="Times New Roman"/>
                <w:sz w:val="15"/>
                <w:szCs w:val="15"/>
              </w:rPr>
            </w:pPr>
            <w:r>
              <w:rPr>
                <w:rFonts w:ascii="Times New Roman" w:hAnsi="Times New Roman" w:cs="Times New Roman"/>
                <w:sz w:val="15"/>
                <w:szCs w:val="15"/>
              </w:rPr>
              <w:t>1.00</w:t>
            </w:r>
          </w:p>
        </w:tc>
        <w:tc>
          <w:tcPr>
            <w:tcW w:w="562" w:type="pct"/>
            <w:vAlign w:val="center"/>
          </w:tcPr>
          <w:p w14:paraId="3B7D09EC">
            <w:pPr>
              <w:spacing w:line="360" w:lineRule="auto"/>
              <w:jc w:val="center"/>
              <w:rPr>
                <w:rFonts w:ascii="Times New Roman" w:hAnsi="Times New Roman" w:cs="Times New Roman"/>
                <w:sz w:val="15"/>
                <w:szCs w:val="15"/>
              </w:rPr>
            </w:pPr>
            <w:r>
              <w:rPr>
                <w:rFonts w:ascii="Times New Roman" w:hAnsi="Times New Roman" w:cs="Times New Roman"/>
                <w:sz w:val="15"/>
                <w:szCs w:val="15"/>
              </w:rPr>
              <w:t>1.22</w:t>
            </w:r>
          </w:p>
        </w:tc>
        <w:tc>
          <w:tcPr>
            <w:tcW w:w="563" w:type="pct"/>
            <w:vAlign w:val="center"/>
          </w:tcPr>
          <w:p w14:paraId="6004001C">
            <w:pPr>
              <w:spacing w:line="360" w:lineRule="auto"/>
              <w:jc w:val="center"/>
              <w:rPr>
                <w:rFonts w:ascii="Times New Roman" w:hAnsi="Times New Roman" w:cs="Times New Roman"/>
                <w:sz w:val="15"/>
                <w:szCs w:val="15"/>
              </w:rPr>
            </w:pPr>
            <w:r>
              <w:rPr>
                <w:rFonts w:ascii="Times New Roman" w:hAnsi="Times New Roman" w:cs="Times New Roman"/>
                <w:sz w:val="15"/>
                <w:szCs w:val="15"/>
              </w:rPr>
              <w:t>1.36</w:t>
            </w:r>
          </w:p>
        </w:tc>
      </w:tr>
      <w:tr w14:paraId="623B0EB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39" w:hRule="atLeast"/>
        </w:trPr>
        <w:tc>
          <w:tcPr>
            <w:tcW w:w="2750" w:type="pct"/>
            <w:vAlign w:val="center"/>
          </w:tcPr>
          <w:p w14:paraId="08E8835E">
            <w:pPr>
              <w:spacing w:line="360" w:lineRule="auto"/>
              <w:jc w:val="left"/>
              <w:rPr>
                <w:rFonts w:ascii="Times New Roman" w:hAnsi="Times New Roman" w:cs="Times New Roman"/>
                <w:sz w:val="15"/>
                <w:szCs w:val="15"/>
              </w:rPr>
            </w:pPr>
            <w:r>
              <w:rPr>
                <w:rFonts w:ascii="Times New Roman" w:hAnsi="Times New Roman" w:cs="Times New Roman"/>
                <w:sz w:val="15"/>
                <w:szCs w:val="15"/>
              </w:rPr>
              <w:t>内蒙古、陕西、 甘肃、宁夏、青海、新疆（非干旱区）</w:t>
            </w:r>
          </w:p>
        </w:tc>
        <w:tc>
          <w:tcPr>
            <w:tcW w:w="562" w:type="pct"/>
            <w:vAlign w:val="center"/>
          </w:tcPr>
          <w:p w14:paraId="7786457B">
            <w:pPr>
              <w:spacing w:line="360" w:lineRule="auto"/>
              <w:jc w:val="center"/>
              <w:rPr>
                <w:rFonts w:ascii="Times New Roman" w:hAnsi="Times New Roman" w:cs="Times New Roman"/>
                <w:sz w:val="15"/>
                <w:szCs w:val="15"/>
              </w:rPr>
            </w:pPr>
            <w:r>
              <w:rPr>
                <w:rFonts w:ascii="Times New Roman" w:hAnsi="Times New Roman" w:cs="Times New Roman"/>
                <w:sz w:val="15"/>
                <w:szCs w:val="15"/>
              </w:rPr>
              <w:t>0.76</w:t>
            </w:r>
          </w:p>
        </w:tc>
        <w:tc>
          <w:tcPr>
            <w:tcW w:w="562" w:type="pct"/>
            <w:vAlign w:val="center"/>
          </w:tcPr>
          <w:p w14:paraId="2962881B">
            <w:pPr>
              <w:spacing w:line="360" w:lineRule="auto"/>
              <w:jc w:val="center"/>
              <w:rPr>
                <w:rFonts w:ascii="Times New Roman" w:hAnsi="Times New Roman" w:cs="Times New Roman"/>
                <w:sz w:val="15"/>
                <w:szCs w:val="15"/>
              </w:rPr>
            </w:pPr>
            <w:r>
              <w:rPr>
                <w:rFonts w:ascii="Times New Roman" w:hAnsi="Times New Roman" w:cs="Times New Roman"/>
                <w:sz w:val="15"/>
                <w:szCs w:val="15"/>
              </w:rPr>
              <w:t>1.00</w:t>
            </w:r>
          </w:p>
        </w:tc>
        <w:tc>
          <w:tcPr>
            <w:tcW w:w="562" w:type="pct"/>
            <w:vAlign w:val="center"/>
          </w:tcPr>
          <w:p w14:paraId="47CC676F">
            <w:pPr>
              <w:spacing w:line="360" w:lineRule="auto"/>
              <w:jc w:val="center"/>
              <w:rPr>
                <w:rFonts w:ascii="Times New Roman" w:hAnsi="Times New Roman" w:cs="Times New Roman"/>
                <w:sz w:val="15"/>
                <w:szCs w:val="15"/>
              </w:rPr>
            </w:pPr>
            <w:r>
              <w:rPr>
                <w:rFonts w:ascii="Times New Roman" w:hAnsi="Times New Roman" w:cs="Times New Roman"/>
                <w:sz w:val="15"/>
                <w:szCs w:val="15"/>
              </w:rPr>
              <w:t>1.34</w:t>
            </w:r>
          </w:p>
        </w:tc>
        <w:tc>
          <w:tcPr>
            <w:tcW w:w="563" w:type="pct"/>
            <w:vAlign w:val="center"/>
          </w:tcPr>
          <w:p w14:paraId="7881357E">
            <w:pPr>
              <w:spacing w:line="360" w:lineRule="auto"/>
              <w:jc w:val="center"/>
              <w:rPr>
                <w:rFonts w:ascii="Times New Roman" w:hAnsi="Times New Roman" w:cs="Times New Roman"/>
                <w:sz w:val="15"/>
                <w:szCs w:val="15"/>
              </w:rPr>
            </w:pPr>
            <w:r>
              <w:rPr>
                <w:rFonts w:ascii="Times New Roman" w:hAnsi="Times New Roman" w:cs="Times New Roman"/>
                <w:sz w:val="15"/>
                <w:szCs w:val="15"/>
              </w:rPr>
              <w:t>1.54</w:t>
            </w:r>
          </w:p>
        </w:tc>
      </w:tr>
      <w:tr w14:paraId="10E5F87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39" w:hRule="atLeast"/>
        </w:trPr>
        <w:tc>
          <w:tcPr>
            <w:tcW w:w="2750" w:type="pct"/>
            <w:vAlign w:val="center"/>
          </w:tcPr>
          <w:p w14:paraId="5B614D7C">
            <w:pPr>
              <w:spacing w:line="360" w:lineRule="auto"/>
              <w:jc w:val="left"/>
              <w:rPr>
                <w:rFonts w:ascii="Times New Roman" w:hAnsi="Times New Roman" w:cs="Times New Roman"/>
                <w:sz w:val="15"/>
                <w:szCs w:val="15"/>
              </w:rPr>
            </w:pPr>
            <w:r>
              <w:rPr>
                <w:rFonts w:ascii="Times New Roman" w:hAnsi="Times New Roman" w:cs="Times New Roman"/>
                <w:sz w:val="15"/>
                <w:szCs w:val="15"/>
              </w:rPr>
              <w:t>内蒙古、陕西、 甘肃、宁夏、青海、新疆（干旱区，约相当于5年一遇10mm降雨强度小于0.5mm/mim的地区）</w:t>
            </w:r>
          </w:p>
        </w:tc>
        <w:tc>
          <w:tcPr>
            <w:tcW w:w="562" w:type="pct"/>
            <w:vAlign w:val="center"/>
          </w:tcPr>
          <w:p w14:paraId="7C4DABC4">
            <w:pPr>
              <w:spacing w:line="360" w:lineRule="auto"/>
              <w:jc w:val="center"/>
              <w:rPr>
                <w:rFonts w:ascii="Times New Roman" w:hAnsi="Times New Roman" w:cs="Times New Roman"/>
                <w:sz w:val="15"/>
                <w:szCs w:val="15"/>
              </w:rPr>
            </w:pPr>
            <w:r>
              <w:rPr>
                <w:rFonts w:ascii="Times New Roman" w:hAnsi="Times New Roman" w:cs="Times New Roman"/>
                <w:sz w:val="15"/>
                <w:szCs w:val="15"/>
              </w:rPr>
              <w:t>0.71</w:t>
            </w:r>
          </w:p>
        </w:tc>
        <w:tc>
          <w:tcPr>
            <w:tcW w:w="562" w:type="pct"/>
            <w:vAlign w:val="center"/>
          </w:tcPr>
          <w:p w14:paraId="7906D881">
            <w:pPr>
              <w:spacing w:line="360" w:lineRule="auto"/>
              <w:jc w:val="center"/>
              <w:rPr>
                <w:rFonts w:ascii="Times New Roman" w:hAnsi="Times New Roman" w:cs="Times New Roman"/>
                <w:sz w:val="15"/>
                <w:szCs w:val="15"/>
              </w:rPr>
            </w:pPr>
            <w:r>
              <w:rPr>
                <w:rFonts w:ascii="Times New Roman" w:hAnsi="Times New Roman" w:cs="Times New Roman"/>
                <w:sz w:val="15"/>
                <w:szCs w:val="15"/>
              </w:rPr>
              <w:t>1.00</w:t>
            </w:r>
          </w:p>
        </w:tc>
        <w:tc>
          <w:tcPr>
            <w:tcW w:w="562" w:type="pct"/>
            <w:vAlign w:val="center"/>
          </w:tcPr>
          <w:p w14:paraId="46D58DF8">
            <w:pPr>
              <w:spacing w:line="360" w:lineRule="auto"/>
              <w:jc w:val="center"/>
              <w:rPr>
                <w:rFonts w:ascii="Times New Roman" w:hAnsi="Times New Roman" w:cs="Times New Roman"/>
                <w:sz w:val="15"/>
                <w:szCs w:val="15"/>
              </w:rPr>
            </w:pPr>
            <w:r>
              <w:rPr>
                <w:rFonts w:ascii="Times New Roman" w:hAnsi="Times New Roman" w:cs="Times New Roman"/>
                <w:sz w:val="15"/>
                <w:szCs w:val="15"/>
              </w:rPr>
              <w:t>1.44</w:t>
            </w:r>
          </w:p>
        </w:tc>
        <w:tc>
          <w:tcPr>
            <w:tcW w:w="563" w:type="pct"/>
            <w:vAlign w:val="center"/>
          </w:tcPr>
          <w:p w14:paraId="6B2964C8">
            <w:pPr>
              <w:spacing w:line="360" w:lineRule="auto"/>
              <w:jc w:val="center"/>
              <w:rPr>
                <w:rFonts w:ascii="Times New Roman" w:hAnsi="Times New Roman" w:cs="Times New Roman"/>
                <w:sz w:val="15"/>
                <w:szCs w:val="15"/>
              </w:rPr>
            </w:pPr>
            <w:r>
              <w:rPr>
                <w:rFonts w:ascii="Times New Roman" w:hAnsi="Times New Roman" w:cs="Times New Roman"/>
                <w:sz w:val="15"/>
                <w:szCs w:val="15"/>
              </w:rPr>
              <w:t>1.72</w:t>
            </w:r>
          </w:p>
        </w:tc>
      </w:tr>
    </w:tbl>
    <w:p w14:paraId="7D3339F2">
      <w:pPr>
        <w:jc w:val="center"/>
        <w:rPr>
          <w:rFonts w:ascii="Times New Roman" w:hAnsi="Times New Roman" w:eastAsia="黑体" w:cs="Times New Roman"/>
          <w:sz w:val="18"/>
          <w:szCs w:val="21"/>
        </w:rPr>
      </w:pPr>
      <w:r>
        <w:rPr>
          <w:rFonts w:ascii="Times New Roman" w:hAnsi="Times New Roman" w:eastAsia="黑体" w:cs="Times New Roman"/>
          <w:sz w:val="18"/>
          <w:szCs w:val="21"/>
        </w:rPr>
        <w:t>表A</w:t>
      </w:r>
      <w:r>
        <w:rPr>
          <w:rFonts w:ascii="Times New Roman" w:hAnsi="Times New Roman" w:cs="Times New Roman"/>
          <w:sz w:val="18"/>
          <w:szCs w:val="21"/>
        </w:rPr>
        <w:t>.</w:t>
      </w:r>
      <w:r>
        <w:rPr>
          <w:rFonts w:ascii="Times New Roman" w:hAnsi="Times New Roman" w:eastAsia="黑体" w:cs="Times New Roman"/>
          <w:sz w:val="18"/>
          <w:szCs w:val="21"/>
        </w:rPr>
        <w:t>4</w:t>
      </w:r>
      <w:r>
        <w:rPr>
          <w:rFonts w:ascii="Times New Roman" w:hAnsi="Times New Roman" w:cs="Times New Roman"/>
          <w:sz w:val="18"/>
          <w:szCs w:val="21"/>
        </w:rPr>
        <w:t>.</w:t>
      </w:r>
      <w:r>
        <w:rPr>
          <w:rFonts w:ascii="Times New Roman" w:hAnsi="Times New Roman" w:eastAsia="黑体" w:cs="Times New Roman"/>
          <w:sz w:val="18"/>
          <w:szCs w:val="21"/>
        </w:rPr>
        <w:t>1-3  降雨历时转换系数（</w:t>
      </w:r>
      <w:r>
        <w:rPr>
          <w:rFonts w:ascii="Times New Roman" w:hAnsi="Times New Roman" w:eastAsia="黑体" w:cs="Times New Roman"/>
          <w:i/>
          <w:sz w:val="18"/>
          <w:szCs w:val="21"/>
        </w:rPr>
        <w:t>C</w:t>
      </w:r>
      <w:r>
        <w:rPr>
          <w:rFonts w:ascii="Times New Roman" w:hAnsi="Times New Roman" w:eastAsia="黑体" w:cs="Times New Roman"/>
          <w:i/>
          <w:sz w:val="18"/>
          <w:szCs w:val="21"/>
          <w:vertAlign w:val="subscript"/>
        </w:rPr>
        <w:t>t</w:t>
      </w:r>
      <w:r>
        <w:rPr>
          <w:rFonts w:ascii="Times New Roman" w:hAnsi="Times New Roman" w:eastAsia="黑体" w:cs="Times New Roman"/>
          <w:sz w:val="18"/>
          <w:szCs w:val="21"/>
        </w:rPr>
        <w:t>）表</w:t>
      </w:r>
    </w:p>
    <w:tbl>
      <w:tblPr>
        <w:tblStyle w:val="10"/>
        <w:tblW w:w="5000"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710"/>
        <w:gridCol w:w="710"/>
        <w:gridCol w:w="710"/>
        <w:gridCol w:w="711"/>
        <w:gridCol w:w="711"/>
        <w:gridCol w:w="711"/>
        <w:gridCol w:w="711"/>
        <w:gridCol w:w="711"/>
        <w:gridCol w:w="711"/>
        <w:gridCol w:w="711"/>
        <w:gridCol w:w="711"/>
        <w:gridCol w:w="704"/>
      </w:tblGrid>
      <w:tr w14:paraId="01F587D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3" w:hRule="exact"/>
        </w:trPr>
        <w:tc>
          <w:tcPr>
            <w:tcW w:w="417" w:type="pct"/>
            <w:vMerge w:val="restart"/>
            <w:vAlign w:val="center"/>
          </w:tcPr>
          <w:p w14:paraId="435DC4C9">
            <w:pPr>
              <w:spacing w:line="360" w:lineRule="auto"/>
              <w:jc w:val="center"/>
              <w:rPr>
                <w:rFonts w:ascii="Times New Roman" w:hAnsi="Times New Roman" w:cs="Times New Roman"/>
                <w:sz w:val="15"/>
                <w:szCs w:val="15"/>
              </w:rPr>
            </w:pPr>
            <w:r>
              <w:rPr>
                <w:rFonts w:ascii="Times New Roman" w:hAnsi="Times New Roman" w:cs="Times New Roman"/>
                <w:sz w:val="15"/>
                <w:szCs w:val="15"/>
              </w:rPr>
              <w:t>C</w:t>
            </w:r>
            <w:r>
              <w:rPr>
                <w:rFonts w:ascii="Times New Roman" w:hAnsi="Times New Roman" w:cs="Times New Roman"/>
                <w:sz w:val="15"/>
                <w:szCs w:val="15"/>
                <w:vertAlign w:val="subscript"/>
              </w:rPr>
              <w:t>60</w:t>
            </w:r>
          </w:p>
        </w:tc>
        <w:tc>
          <w:tcPr>
            <w:tcW w:w="4583" w:type="pct"/>
            <w:gridSpan w:val="11"/>
            <w:vAlign w:val="center"/>
          </w:tcPr>
          <w:p w14:paraId="5C1B17DA">
            <w:pPr>
              <w:spacing w:line="360" w:lineRule="auto"/>
              <w:ind w:firstLine="360"/>
              <w:jc w:val="center"/>
              <w:rPr>
                <w:rFonts w:ascii="Times New Roman" w:hAnsi="Times New Roman" w:cs="Times New Roman"/>
                <w:sz w:val="15"/>
                <w:szCs w:val="15"/>
              </w:rPr>
            </w:pPr>
            <w:r>
              <w:rPr>
                <w:rFonts w:ascii="Times New Roman" w:hAnsi="Times New Roman" w:cs="Times New Roman"/>
                <w:sz w:val="15"/>
                <w:szCs w:val="15"/>
              </w:rPr>
              <w:t>降雨历时t（min）</w:t>
            </w:r>
          </w:p>
        </w:tc>
      </w:tr>
      <w:tr w14:paraId="416831D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07" w:hRule="exact"/>
        </w:trPr>
        <w:tc>
          <w:tcPr>
            <w:tcW w:w="417" w:type="pct"/>
            <w:vMerge w:val="continue"/>
            <w:vAlign w:val="center"/>
          </w:tcPr>
          <w:p w14:paraId="17F8A05B">
            <w:pPr>
              <w:spacing w:line="360" w:lineRule="auto"/>
              <w:jc w:val="center"/>
              <w:rPr>
                <w:rFonts w:ascii="Times New Roman" w:hAnsi="Times New Roman" w:cs="Times New Roman"/>
                <w:sz w:val="15"/>
                <w:szCs w:val="15"/>
              </w:rPr>
            </w:pPr>
          </w:p>
        </w:tc>
        <w:tc>
          <w:tcPr>
            <w:tcW w:w="417" w:type="pct"/>
            <w:vAlign w:val="center"/>
          </w:tcPr>
          <w:p w14:paraId="6563D473">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3</w:t>
            </w:r>
          </w:p>
        </w:tc>
        <w:tc>
          <w:tcPr>
            <w:tcW w:w="417" w:type="pct"/>
            <w:vAlign w:val="center"/>
          </w:tcPr>
          <w:p w14:paraId="5ACD6C5A">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5</w:t>
            </w:r>
          </w:p>
        </w:tc>
        <w:tc>
          <w:tcPr>
            <w:tcW w:w="417" w:type="pct"/>
            <w:vAlign w:val="center"/>
          </w:tcPr>
          <w:p w14:paraId="28A627E1">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10</w:t>
            </w:r>
          </w:p>
        </w:tc>
        <w:tc>
          <w:tcPr>
            <w:tcW w:w="417" w:type="pct"/>
            <w:vAlign w:val="center"/>
          </w:tcPr>
          <w:p w14:paraId="0D99ACBA">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15</w:t>
            </w:r>
          </w:p>
        </w:tc>
        <w:tc>
          <w:tcPr>
            <w:tcW w:w="417" w:type="pct"/>
            <w:vAlign w:val="center"/>
          </w:tcPr>
          <w:p w14:paraId="26740900">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20</w:t>
            </w:r>
          </w:p>
        </w:tc>
        <w:tc>
          <w:tcPr>
            <w:tcW w:w="417" w:type="pct"/>
            <w:vAlign w:val="center"/>
          </w:tcPr>
          <w:p w14:paraId="3EE1A0A7">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30</w:t>
            </w:r>
          </w:p>
        </w:tc>
        <w:tc>
          <w:tcPr>
            <w:tcW w:w="417" w:type="pct"/>
            <w:vAlign w:val="center"/>
          </w:tcPr>
          <w:p w14:paraId="2346E195">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40</w:t>
            </w:r>
          </w:p>
        </w:tc>
        <w:tc>
          <w:tcPr>
            <w:tcW w:w="417" w:type="pct"/>
            <w:vAlign w:val="center"/>
          </w:tcPr>
          <w:p w14:paraId="62D32D81">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50</w:t>
            </w:r>
          </w:p>
        </w:tc>
        <w:tc>
          <w:tcPr>
            <w:tcW w:w="417" w:type="pct"/>
            <w:vAlign w:val="center"/>
          </w:tcPr>
          <w:p w14:paraId="13AFE87C">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60</w:t>
            </w:r>
          </w:p>
        </w:tc>
        <w:tc>
          <w:tcPr>
            <w:tcW w:w="417" w:type="pct"/>
            <w:vAlign w:val="center"/>
          </w:tcPr>
          <w:p w14:paraId="13E66C32">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90</w:t>
            </w:r>
          </w:p>
        </w:tc>
        <w:tc>
          <w:tcPr>
            <w:tcW w:w="417" w:type="pct"/>
            <w:vAlign w:val="center"/>
          </w:tcPr>
          <w:p w14:paraId="168D56A8">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120</w:t>
            </w:r>
          </w:p>
        </w:tc>
      </w:tr>
      <w:tr w14:paraId="0D7DF98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83" w:hRule="exact"/>
        </w:trPr>
        <w:tc>
          <w:tcPr>
            <w:tcW w:w="417" w:type="pct"/>
            <w:vAlign w:val="center"/>
          </w:tcPr>
          <w:p w14:paraId="1AD63F35">
            <w:pPr>
              <w:spacing w:line="360" w:lineRule="auto"/>
              <w:jc w:val="center"/>
              <w:rPr>
                <w:rFonts w:ascii="Times New Roman" w:hAnsi="Times New Roman" w:cs="Times New Roman"/>
                <w:sz w:val="15"/>
                <w:szCs w:val="15"/>
              </w:rPr>
            </w:pPr>
            <w:r>
              <w:rPr>
                <w:rFonts w:ascii="Times New Roman" w:hAnsi="Times New Roman" w:cs="Times New Roman"/>
                <w:sz w:val="15"/>
                <w:szCs w:val="15"/>
              </w:rPr>
              <w:t>0.30</w:t>
            </w:r>
          </w:p>
        </w:tc>
        <w:tc>
          <w:tcPr>
            <w:tcW w:w="417" w:type="pct"/>
            <w:vAlign w:val="center"/>
          </w:tcPr>
          <w:p w14:paraId="0822CC5C">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1.40</w:t>
            </w:r>
          </w:p>
        </w:tc>
        <w:tc>
          <w:tcPr>
            <w:tcW w:w="417" w:type="pct"/>
            <w:vAlign w:val="center"/>
          </w:tcPr>
          <w:p w14:paraId="0667F0CF">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1.25</w:t>
            </w:r>
          </w:p>
        </w:tc>
        <w:tc>
          <w:tcPr>
            <w:tcW w:w="417" w:type="pct"/>
            <w:vAlign w:val="center"/>
          </w:tcPr>
          <w:p w14:paraId="7B5C1F20">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1.00</w:t>
            </w:r>
          </w:p>
        </w:tc>
        <w:tc>
          <w:tcPr>
            <w:tcW w:w="417" w:type="pct"/>
            <w:vAlign w:val="center"/>
          </w:tcPr>
          <w:p w14:paraId="26AA016D">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0.77</w:t>
            </w:r>
          </w:p>
        </w:tc>
        <w:tc>
          <w:tcPr>
            <w:tcW w:w="417" w:type="pct"/>
            <w:vAlign w:val="center"/>
          </w:tcPr>
          <w:p w14:paraId="48A21D2F">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0.64</w:t>
            </w:r>
          </w:p>
        </w:tc>
        <w:tc>
          <w:tcPr>
            <w:tcW w:w="417" w:type="pct"/>
            <w:vAlign w:val="center"/>
          </w:tcPr>
          <w:p w14:paraId="04752473">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0.50</w:t>
            </w:r>
          </w:p>
        </w:tc>
        <w:tc>
          <w:tcPr>
            <w:tcW w:w="417" w:type="pct"/>
            <w:vAlign w:val="center"/>
          </w:tcPr>
          <w:p w14:paraId="11E05297">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0.40</w:t>
            </w:r>
          </w:p>
        </w:tc>
        <w:tc>
          <w:tcPr>
            <w:tcW w:w="417" w:type="pct"/>
            <w:vAlign w:val="center"/>
          </w:tcPr>
          <w:p w14:paraId="16BCC055">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0.34</w:t>
            </w:r>
          </w:p>
        </w:tc>
        <w:tc>
          <w:tcPr>
            <w:tcW w:w="417" w:type="pct"/>
            <w:vAlign w:val="center"/>
          </w:tcPr>
          <w:p w14:paraId="522BD877">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0.30</w:t>
            </w:r>
          </w:p>
        </w:tc>
        <w:tc>
          <w:tcPr>
            <w:tcW w:w="417" w:type="pct"/>
            <w:vAlign w:val="center"/>
          </w:tcPr>
          <w:p w14:paraId="78478A2F">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0.22</w:t>
            </w:r>
          </w:p>
        </w:tc>
        <w:tc>
          <w:tcPr>
            <w:tcW w:w="417" w:type="pct"/>
            <w:vAlign w:val="center"/>
          </w:tcPr>
          <w:p w14:paraId="5DB8CC15">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0.18</w:t>
            </w:r>
          </w:p>
        </w:tc>
      </w:tr>
      <w:tr w14:paraId="15ACFA9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1" w:hRule="exact"/>
        </w:trPr>
        <w:tc>
          <w:tcPr>
            <w:tcW w:w="417" w:type="pct"/>
            <w:vAlign w:val="center"/>
          </w:tcPr>
          <w:p w14:paraId="01B5AC35">
            <w:pPr>
              <w:spacing w:line="360" w:lineRule="auto"/>
              <w:jc w:val="center"/>
              <w:rPr>
                <w:rFonts w:ascii="Times New Roman" w:hAnsi="Times New Roman" w:cs="Times New Roman"/>
                <w:sz w:val="15"/>
                <w:szCs w:val="15"/>
              </w:rPr>
            </w:pPr>
            <w:r>
              <w:rPr>
                <w:rFonts w:ascii="Times New Roman" w:hAnsi="Times New Roman" w:cs="Times New Roman"/>
                <w:sz w:val="15"/>
                <w:szCs w:val="15"/>
              </w:rPr>
              <w:t>0.35</w:t>
            </w:r>
          </w:p>
        </w:tc>
        <w:tc>
          <w:tcPr>
            <w:tcW w:w="417" w:type="pct"/>
            <w:vAlign w:val="center"/>
          </w:tcPr>
          <w:p w14:paraId="4837AD8E">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1.40</w:t>
            </w:r>
          </w:p>
        </w:tc>
        <w:tc>
          <w:tcPr>
            <w:tcW w:w="417" w:type="pct"/>
            <w:vAlign w:val="center"/>
          </w:tcPr>
          <w:p w14:paraId="3003BE6C">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1.25</w:t>
            </w:r>
          </w:p>
        </w:tc>
        <w:tc>
          <w:tcPr>
            <w:tcW w:w="417" w:type="pct"/>
            <w:vAlign w:val="center"/>
          </w:tcPr>
          <w:p w14:paraId="3D14C0BC">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1.00</w:t>
            </w:r>
          </w:p>
        </w:tc>
        <w:tc>
          <w:tcPr>
            <w:tcW w:w="417" w:type="pct"/>
            <w:vAlign w:val="center"/>
          </w:tcPr>
          <w:p w14:paraId="5B702EE2">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0.80</w:t>
            </w:r>
          </w:p>
        </w:tc>
        <w:tc>
          <w:tcPr>
            <w:tcW w:w="417" w:type="pct"/>
            <w:vAlign w:val="center"/>
          </w:tcPr>
          <w:p w14:paraId="0B32EC22">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0.68</w:t>
            </w:r>
          </w:p>
        </w:tc>
        <w:tc>
          <w:tcPr>
            <w:tcW w:w="417" w:type="pct"/>
            <w:vAlign w:val="center"/>
          </w:tcPr>
          <w:p w14:paraId="4F1F806B">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0.55</w:t>
            </w:r>
          </w:p>
        </w:tc>
        <w:tc>
          <w:tcPr>
            <w:tcW w:w="417" w:type="pct"/>
            <w:vAlign w:val="center"/>
          </w:tcPr>
          <w:p w14:paraId="1ADF6F20">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0.45</w:t>
            </w:r>
          </w:p>
        </w:tc>
        <w:tc>
          <w:tcPr>
            <w:tcW w:w="417" w:type="pct"/>
            <w:vAlign w:val="center"/>
          </w:tcPr>
          <w:p w14:paraId="04BBC455">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0.39</w:t>
            </w:r>
          </w:p>
        </w:tc>
        <w:tc>
          <w:tcPr>
            <w:tcW w:w="417" w:type="pct"/>
            <w:vAlign w:val="center"/>
          </w:tcPr>
          <w:p w14:paraId="08E10798">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0.35</w:t>
            </w:r>
          </w:p>
        </w:tc>
        <w:tc>
          <w:tcPr>
            <w:tcW w:w="417" w:type="pct"/>
            <w:vAlign w:val="center"/>
          </w:tcPr>
          <w:p w14:paraId="1A4FAAF0">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0.26</w:t>
            </w:r>
          </w:p>
        </w:tc>
        <w:tc>
          <w:tcPr>
            <w:tcW w:w="417" w:type="pct"/>
            <w:vAlign w:val="center"/>
          </w:tcPr>
          <w:p w14:paraId="2C5C479D">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0.21</w:t>
            </w:r>
          </w:p>
        </w:tc>
      </w:tr>
      <w:tr w14:paraId="3A02FFF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7" w:hRule="exact"/>
        </w:trPr>
        <w:tc>
          <w:tcPr>
            <w:tcW w:w="417" w:type="pct"/>
            <w:vAlign w:val="center"/>
          </w:tcPr>
          <w:p w14:paraId="7D744C79">
            <w:pPr>
              <w:spacing w:line="360" w:lineRule="auto"/>
              <w:jc w:val="center"/>
              <w:rPr>
                <w:rFonts w:ascii="Times New Roman" w:hAnsi="Times New Roman" w:cs="Times New Roman"/>
                <w:sz w:val="15"/>
                <w:szCs w:val="15"/>
              </w:rPr>
            </w:pPr>
            <w:r>
              <w:rPr>
                <w:rFonts w:ascii="Times New Roman" w:hAnsi="Times New Roman" w:cs="Times New Roman"/>
                <w:sz w:val="15"/>
                <w:szCs w:val="15"/>
              </w:rPr>
              <w:t>0.40</w:t>
            </w:r>
          </w:p>
        </w:tc>
        <w:tc>
          <w:tcPr>
            <w:tcW w:w="417" w:type="pct"/>
            <w:vAlign w:val="center"/>
          </w:tcPr>
          <w:p w14:paraId="557D2DFB">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1.40</w:t>
            </w:r>
          </w:p>
        </w:tc>
        <w:tc>
          <w:tcPr>
            <w:tcW w:w="417" w:type="pct"/>
            <w:vAlign w:val="center"/>
          </w:tcPr>
          <w:p w14:paraId="6B78D044">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1.25</w:t>
            </w:r>
          </w:p>
        </w:tc>
        <w:tc>
          <w:tcPr>
            <w:tcW w:w="417" w:type="pct"/>
            <w:vAlign w:val="center"/>
          </w:tcPr>
          <w:p w14:paraId="595B01D2">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1.00</w:t>
            </w:r>
          </w:p>
        </w:tc>
        <w:tc>
          <w:tcPr>
            <w:tcW w:w="417" w:type="pct"/>
            <w:vAlign w:val="center"/>
          </w:tcPr>
          <w:p w14:paraId="319617A7">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0.82</w:t>
            </w:r>
          </w:p>
        </w:tc>
        <w:tc>
          <w:tcPr>
            <w:tcW w:w="417" w:type="pct"/>
            <w:vAlign w:val="center"/>
          </w:tcPr>
          <w:p w14:paraId="70131358">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0.72</w:t>
            </w:r>
          </w:p>
        </w:tc>
        <w:tc>
          <w:tcPr>
            <w:tcW w:w="417" w:type="pct"/>
            <w:vAlign w:val="center"/>
          </w:tcPr>
          <w:p w14:paraId="761C2E6B">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0.59</w:t>
            </w:r>
          </w:p>
        </w:tc>
        <w:tc>
          <w:tcPr>
            <w:tcW w:w="417" w:type="pct"/>
            <w:vAlign w:val="center"/>
          </w:tcPr>
          <w:p w14:paraId="127D3DA7">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0.50</w:t>
            </w:r>
          </w:p>
        </w:tc>
        <w:tc>
          <w:tcPr>
            <w:tcW w:w="417" w:type="pct"/>
            <w:vAlign w:val="center"/>
          </w:tcPr>
          <w:p w14:paraId="46E9DDAB">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0.44</w:t>
            </w:r>
          </w:p>
        </w:tc>
        <w:tc>
          <w:tcPr>
            <w:tcW w:w="417" w:type="pct"/>
            <w:vAlign w:val="center"/>
          </w:tcPr>
          <w:p w14:paraId="0AE7DBFF">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0.40</w:t>
            </w:r>
          </w:p>
        </w:tc>
        <w:tc>
          <w:tcPr>
            <w:tcW w:w="417" w:type="pct"/>
            <w:vAlign w:val="center"/>
          </w:tcPr>
          <w:p w14:paraId="1640BA9D">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0.30</w:t>
            </w:r>
          </w:p>
        </w:tc>
        <w:tc>
          <w:tcPr>
            <w:tcW w:w="417" w:type="pct"/>
            <w:vAlign w:val="center"/>
          </w:tcPr>
          <w:p w14:paraId="5AB2F435">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0.25</w:t>
            </w:r>
          </w:p>
        </w:tc>
      </w:tr>
      <w:tr w14:paraId="15E7D22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71" w:hRule="exact"/>
        </w:trPr>
        <w:tc>
          <w:tcPr>
            <w:tcW w:w="417" w:type="pct"/>
            <w:vAlign w:val="center"/>
          </w:tcPr>
          <w:p w14:paraId="54AE6F16">
            <w:pPr>
              <w:spacing w:line="360" w:lineRule="auto"/>
              <w:jc w:val="center"/>
              <w:rPr>
                <w:rFonts w:ascii="Times New Roman" w:hAnsi="Times New Roman" w:cs="Times New Roman"/>
                <w:sz w:val="15"/>
                <w:szCs w:val="15"/>
              </w:rPr>
            </w:pPr>
            <w:r>
              <w:rPr>
                <w:rFonts w:ascii="Times New Roman" w:hAnsi="Times New Roman" w:cs="Times New Roman"/>
                <w:sz w:val="15"/>
                <w:szCs w:val="15"/>
              </w:rPr>
              <w:t>0.45</w:t>
            </w:r>
          </w:p>
        </w:tc>
        <w:tc>
          <w:tcPr>
            <w:tcW w:w="417" w:type="pct"/>
            <w:vAlign w:val="center"/>
          </w:tcPr>
          <w:p w14:paraId="60BA794E">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1.40</w:t>
            </w:r>
          </w:p>
        </w:tc>
        <w:tc>
          <w:tcPr>
            <w:tcW w:w="417" w:type="pct"/>
            <w:vAlign w:val="center"/>
          </w:tcPr>
          <w:p w14:paraId="0980EE46">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1.25</w:t>
            </w:r>
          </w:p>
        </w:tc>
        <w:tc>
          <w:tcPr>
            <w:tcW w:w="417" w:type="pct"/>
            <w:vAlign w:val="center"/>
          </w:tcPr>
          <w:p w14:paraId="5F08913D">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1.00</w:t>
            </w:r>
          </w:p>
        </w:tc>
        <w:tc>
          <w:tcPr>
            <w:tcW w:w="417" w:type="pct"/>
            <w:vAlign w:val="center"/>
          </w:tcPr>
          <w:p w14:paraId="50B531C2">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0.84</w:t>
            </w:r>
          </w:p>
        </w:tc>
        <w:tc>
          <w:tcPr>
            <w:tcW w:w="417" w:type="pct"/>
            <w:vAlign w:val="center"/>
          </w:tcPr>
          <w:p w14:paraId="7CFA980F">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0.76</w:t>
            </w:r>
          </w:p>
        </w:tc>
        <w:tc>
          <w:tcPr>
            <w:tcW w:w="417" w:type="pct"/>
            <w:vAlign w:val="center"/>
          </w:tcPr>
          <w:p w14:paraId="65718A81">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0.63</w:t>
            </w:r>
          </w:p>
        </w:tc>
        <w:tc>
          <w:tcPr>
            <w:tcW w:w="417" w:type="pct"/>
            <w:vAlign w:val="center"/>
          </w:tcPr>
          <w:p w14:paraId="2AFF19C6">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0.55</w:t>
            </w:r>
          </w:p>
        </w:tc>
        <w:tc>
          <w:tcPr>
            <w:tcW w:w="417" w:type="pct"/>
            <w:vAlign w:val="center"/>
          </w:tcPr>
          <w:p w14:paraId="775DE77C">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0.50</w:t>
            </w:r>
          </w:p>
        </w:tc>
        <w:tc>
          <w:tcPr>
            <w:tcW w:w="417" w:type="pct"/>
            <w:vAlign w:val="center"/>
          </w:tcPr>
          <w:p w14:paraId="7B3FC6FD">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0.45</w:t>
            </w:r>
          </w:p>
        </w:tc>
        <w:tc>
          <w:tcPr>
            <w:tcW w:w="417" w:type="pct"/>
            <w:vAlign w:val="center"/>
          </w:tcPr>
          <w:p w14:paraId="468954AC">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0.34</w:t>
            </w:r>
          </w:p>
        </w:tc>
        <w:tc>
          <w:tcPr>
            <w:tcW w:w="417" w:type="pct"/>
            <w:vAlign w:val="center"/>
          </w:tcPr>
          <w:p w14:paraId="44974CD5">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0.29</w:t>
            </w:r>
          </w:p>
        </w:tc>
      </w:tr>
      <w:tr w14:paraId="0156E71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09" w:hRule="exact"/>
        </w:trPr>
        <w:tc>
          <w:tcPr>
            <w:tcW w:w="417" w:type="pct"/>
            <w:vAlign w:val="center"/>
          </w:tcPr>
          <w:p w14:paraId="5613BD44">
            <w:pPr>
              <w:spacing w:line="360" w:lineRule="auto"/>
              <w:jc w:val="center"/>
              <w:rPr>
                <w:rFonts w:ascii="Times New Roman" w:hAnsi="Times New Roman" w:cs="Times New Roman"/>
                <w:sz w:val="15"/>
                <w:szCs w:val="15"/>
              </w:rPr>
            </w:pPr>
            <w:r>
              <w:rPr>
                <w:rFonts w:ascii="Times New Roman" w:hAnsi="Times New Roman" w:cs="Times New Roman"/>
                <w:sz w:val="15"/>
                <w:szCs w:val="15"/>
              </w:rPr>
              <w:t>0.50</w:t>
            </w:r>
          </w:p>
        </w:tc>
        <w:tc>
          <w:tcPr>
            <w:tcW w:w="417" w:type="pct"/>
            <w:vAlign w:val="center"/>
          </w:tcPr>
          <w:p w14:paraId="147C20EE">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1.40</w:t>
            </w:r>
          </w:p>
        </w:tc>
        <w:tc>
          <w:tcPr>
            <w:tcW w:w="417" w:type="pct"/>
            <w:vAlign w:val="center"/>
          </w:tcPr>
          <w:p w14:paraId="40EACA20">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1.25</w:t>
            </w:r>
          </w:p>
        </w:tc>
        <w:tc>
          <w:tcPr>
            <w:tcW w:w="417" w:type="pct"/>
            <w:vAlign w:val="center"/>
          </w:tcPr>
          <w:p w14:paraId="00F36302">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1.00</w:t>
            </w:r>
          </w:p>
        </w:tc>
        <w:tc>
          <w:tcPr>
            <w:tcW w:w="417" w:type="pct"/>
            <w:vAlign w:val="center"/>
          </w:tcPr>
          <w:p w14:paraId="34BFBB4F">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0.87</w:t>
            </w:r>
          </w:p>
        </w:tc>
        <w:tc>
          <w:tcPr>
            <w:tcW w:w="417" w:type="pct"/>
            <w:vAlign w:val="center"/>
          </w:tcPr>
          <w:p w14:paraId="0F0FEEBB">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0.80</w:t>
            </w:r>
          </w:p>
        </w:tc>
        <w:tc>
          <w:tcPr>
            <w:tcW w:w="417" w:type="pct"/>
            <w:vAlign w:val="center"/>
          </w:tcPr>
          <w:p w14:paraId="1DFE6903">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0.68</w:t>
            </w:r>
          </w:p>
        </w:tc>
        <w:tc>
          <w:tcPr>
            <w:tcW w:w="417" w:type="pct"/>
            <w:vAlign w:val="center"/>
          </w:tcPr>
          <w:p w14:paraId="3C316157">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0.60</w:t>
            </w:r>
          </w:p>
        </w:tc>
        <w:tc>
          <w:tcPr>
            <w:tcW w:w="417" w:type="pct"/>
            <w:vAlign w:val="center"/>
          </w:tcPr>
          <w:p w14:paraId="4F67253A">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0.55</w:t>
            </w:r>
          </w:p>
        </w:tc>
        <w:tc>
          <w:tcPr>
            <w:tcW w:w="417" w:type="pct"/>
            <w:vAlign w:val="center"/>
          </w:tcPr>
          <w:p w14:paraId="0BE5093B">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0.50</w:t>
            </w:r>
          </w:p>
        </w:tc>
        <w:tc>
          <w:tcPr>
            <w:tcW w:w="417" w:type="pct"/>
            <w:vAlign w:val="center"/>
          </w:tcPr>
          <w:p w14:paraId="55E312CF">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0.39</w:t>
            </w:r>
          </w:p>
        </w:tc>
        <w:tc>
          <w:tcPr>
            <w:tcW w:w="417" w:type="pct"/>
            <w:vAlign w:val="center"/>
          </w:tcPr>
          <w:p w14:paraId="3A57180D">
            <w:pPr>
              <w:spacing w:line="360" w:lineRule="auto"/>
              <w:ind w:left="1" w:hanging="1" w:hangingChars="1"/>
              <w:jc w:val="center"/>
              <w:rPr>
                <w:rFonts w:ascii="Times New Roman" w:hAnsi="Times New Roman" w:cs="Times New Roman"/>
                <w:sz w:val="15"/>
                <w:szCs w:val="15"/>
              </w:rPr>
            </w:pPr>
            <w:r>
              <w:rPr>
                <w:rFonts w:ascii="Times New Roman" w:hAnsi="Times New Roman" w:cs="Times New Roman"/>
                <w:sz w:val="15"/>
                <w:szCs w:val="15"/>
              </w:rPr>
              <w:t>0.33</w:t>
            </w:r>
          </w:p>
        </w:tc>
      </w:tr>
    </w:tbl>
    <w:p w14:paraId="3472B7BD">
      <w:pPr>
        <w:spacing w:line="360" w:lineRule="auto"/>
        <w:ind w:firstLine="420" w:firstLineChars="200"/>
        <w:jc w:val="left"/>
        <w:rPr>
          <w:rFonts w:ascii="Times New Roman" w:hAnsi="Times New Roman" w:cs="Times New Roman"/>
          <w:sz w:val="21"/>
          <w:szCs w:val="21"/>
        </w:rPr>
      </w:pPr>
    </w:p>
    <w:p w14:paraId="40D6F9D4">
      <w:pPr>
        <w:rPr>
          <w:rFonts w:ascii="Times New Roman" w:hAnsi="Times New Roman" w:cs="Times New Roman"/>
        </w:rPr>
        <w:sectPr>
          <w:footerReference r:id="rId13" w:type="default"/>
          <w:pgSz w:w="11906" w:h="16838"/>
          <w:pgMar w:top="1440" w:right="1800" w:bottom="1440" w:left="1800" w:header="851" w:footer="992" w:gutter="0"/>
          <w:cols w:space="720" w:num="1"/>
          <w:docGrid w:type="lines" w:linePitch="312" w:charSpace="0"/>
        </w:sectPr>
      </w:pPr>
    </w:p>
    <w:p w14:paraId="65BFC92C">
      <w:pPr>
        <w:spacing w:line="360" w:lineRule="auto"/>
        <w:jc w:val="center"/>
        <w:rPr>
          <w:rFonts w:ascii="Times New Roman" w:hAnsi="Times New Roman" w:cs="Times New Roman"/>
          <w:sz w:val="21"/>
        </w:rPr>
      </w:pPr>
      <w:r>
        <w:rPr>
          <w:rFonts w:ascii="Times New Roman" w:hAnsi="Times New Roman" w:cs="Times New Roman"/>
          <w:b/>
          <w:sz w:val="21"/>
        </w:rPr>
        <w:drawing>
          <wp:inline distT="0" distB="0" distL="114300" distR="114300">
            <wp:extent cx="7359015" cy="4900295"/>
            <wp:effectExtent l="0" t="0" r="0" b="6985"/>
            <wp:docPr id="14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8"/>
                    <pic:cNvPicPr>
                      <a:picLocks noChangeAspect="1"/>
                    </pic:cNvPicPr>
                  </pic:nvPicPr>
                  <pic:blipFill>
                    <a:blip r:embed="rId186"/>
                    <a:srcRect l="21951" t="2852" r="18820" b="3566"/>
                    <a:stretch>
                      <a:fillRect/>
                    </a:stretch>
                  </pic:blipFill>
                  <pic:spPr>
                    <a:xfrm>
                      <a:off x="0" y="0"/>
                      <a:ext cx="7359015" cy="4900295"/>
                    </a:xfrm>
                    <a:prstGeom prst="rect">
                      <a:avLst/>
                    </a:prstGeom>
                    <a:noFill/>
                    <a:ln>
                      <a:noFill/>
                    </a:ln>
                  </pic:spPr>
                </pic:pic>
              </a:graphicData>
            </a:graphic>
          </wp:inline>
        </w:drawing>
      </w:r>
    </w:p>
    <w:p w14:paraId="19F80AF1">
      <w:pPr>
        <w:jc w:val="center"/>
        <w:rPr>
          <w:rFonts w:ascii="Times New Roman" w:hAnsi="Times New Roman" w:eastAsia="黑体" w:cs="Times New Roman"/>
          <w:sz w:val="18"/>
          <w:szCs w:val="18"/>
        </w:rPr>
      </w:pPr>
      <w:r>
        <w:rPr>
          <w:rFonts w:ascii="Times New Roman" w:hAnsi="Times New Roman" w:eastAsia="黑体" w:cs="Times New Roman"/>
          <w:sz w:val="18"/>
          <w:szCs w:val="18"/>
        </w:rPr>
        <w:t>图A</w:t>
      </w:r>
      <w:r>
        <w:rPr>
          <w:rFonts w:ascii="Times New Roman" w:hAnsi="Times New Roman" w:cs="Times New Roman"/>
          <w:sz w:val="18"/>
          <w:szCs w:val="18"/>
        </w:rPr>
        <w:t>.</w:t>
      </w:r>
      <w:r>
        <w:rPr>
          <w:rFonts w:ascii="Times New Roman" w:hAnsi="Times New Roman" w:eastAsia="黑体" w:cs="Times New Roman"/>
          <w:sz w:val="18"/>
          <w:szCs w:val="18"/>
        </w:rPr>
        <w:t>4</w:t>
      </w:r>
      <w:r>
        <w:rPr>
          <w:rFonts w:ascii="Times New Roman" w:hAnsi="Times New Roman" w:cs="Times New Roman"/>
          <w:sz w:val="18"/>
          <w:szCs w:val="18"/>
        </w:rPr>
        <w:t>.</w:t>
      </w:r>
      <w:r>
        <w:rPr>
          <w:rFonts w:ascii="Times New Roman" w:hAnsi="Times New Roman" w:eastAsia="黑体" w:cs="Times New Roman"/>
          <w:sz w:val="18"/>
          <w:szCs w:val="18"/>
        </w:rPr>
        <w:t>1-1  中国5年一遇10min降雨强度q</w:t>
      </w:r>
      <w:r>
        <w:rPr>
          <w:rFonts w:ascii="Times New Roman" w:hAnsi="Times New Roman" w:eastAsia="黑体" w:cs="Times New Roman"/>
          <w:sz w:val="18"/>
          <w:szCs w:val="18"/>
          <w:vertAlign w:val="subscript"/>
        </w:rPr>
        <w:t>5,10</w:t>
      </w:r>
      <w:r>
        <w:rPr>
          <w:rFonts w:ascii="Times New Roman" w:hAnsi="Times New Roman" w:eastAsia="黑体" w:cs="Times New Roman"/>
          <w:sz w:val="18"/>
          <w:szCs w:val="18"/>
        </w:rPr>
        <w:t>等值线图</w:t>
      </w:r>
    </w:p>
    <w:p w14:paraId="604DA489">
      <w:pPr>
        <w:spacing w:line="360" w:lineRule="auto"/>
        <w:jc w:val="left"/>
        <w:rPr>
          <w:rFonts w:ascii="Times New Roman" w:hAnsi="Times New Roman" w:eastAsia="黑体" w:cs="Times New Roman"/>
          <w:sz w:val="18"/>
          <w:szCs w:val="18"/>
        </w:rPr>
      </w:pPr>
      <w:r>
        <w:rPr>
          <w:rFonts w:ascii="Times New Roman" w:hAnsi="Times New Roman" w:eastAsia="黑体" w:cs="Times New Roman"/>
          <w:sz w:val="18"/>
          <w:szCs w:val="18"/>
        </w:rPr>
        <w:br w:type="page"/>
      </w:r>
    </w:p>
    <w:p w14:paraId="46E5FE69">
      <w:pPr>
        <w:spacing w:line="360" w:lineRule="auto"/>
        <w:jc w:val="center"/>
        <w:rPr>
          <w:rFonts w:ascii="Times New Roman" w:hAnsi="Times New Roman" w:cs="Times New Roman"/>
          <w:sz w:val="21"/>
        </w:rPr>
      </w:pPr>
      <w:r>
        <w:rPr>
          <w:rFonts w:ascii="Times New Roman" w:hAnsi="Times New Roman" w:eastAsia="黑体" w:cs="Times New Roman"/>
          <w:b/>
          <w:sz w:val="18"/>
          <w:szCs w:val="21"/>
        </w:rPr>
        <w:drawing>
          <wp:inline distT="0" distB="0" distL="114300" distR="114300">
            <wp:extent cx="7222490" cy="4919345"/>
            <wp:effectExtent l="0" t="0" r="1270" b="3175"/>
            <wp:docPr id="14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9"/>
                    <pic:cNvPicPr>
                      <a:picLocks noChangeAspect="1"/>
                    </pic:cNvPicPr>
                  </pic:nvPicPr>
                  <pic:blipFill>
                    <a:blip r:embed="rId187"/>
                    <a:srcRect l="15382" r="35690" b="2968"/>
                    <a:stretch>
                      <a:fillRect/>
                    </a:stretch>
                  </pic:blipFill>
                  <pic:spPr>
                    <a:xfrm>
                      <a:off x="0" y="0"/>
                      <a:ext cx="7222490" cy="4919345"/>
                    </a:xfrm>
                    <a:prstGeom prst="rect">
                      <a:avLst/>
                    </a:prstGeom>
                    <a:noFill/>
                    <a:ln>
                      <a:noFill/>
                    </a:ln>
                  </pic:spPr>
                </pic:pic>
              </a:graphicData>
            </a:graphic>
          </wp:inline>
        </w:drawing>
      </w:r>
    </w:p>
    <w:p w14:paraId="4A0FC3DF">
      <w:pPr>
        <w:jc w:val="center"/>
        <w:rPr>
          <w:rFonts w:ascii="Times New Roman" w:hAnsi="Times New Roman" w:cs="Times New Roman"/>
        </w:rPr>
        <w:sectPr>
          <w:pgSz w:w="16838" w:h="11906" w:orient="landscape"/>
          <w:pgMar w:top="1797" w:right="1440" w:bottom="1797" w:left="1440" w:header="851" w:footer="992" w:gutter="0"/>
          <w:cols w:space="720" w:num="1"/>
          <w:docGrid w:linePitch="312" w:charSpace="0"/>
        </w:sectPr>
      </w:pPr>
      <w:r>
        <w:rPr>
          <w:rFonts w:ascii="Times New Roman" w:hAnsi="Times New Roman" w:eastAsia="黑体" w:cs="Times New Roman"/>
          <w:sz w:val="18"/>
          <w:szCs w:val="18"/>
        </w:rPr>
        <w:t>图A</w:t>
      </w:r>
      <w:r>
        <w:rPr>
          <w:rFonts w:ascii="Times New Roman" w:hAnsi="Times New Roman" w:cs="Times New Roman"/>
          <w:sz w:val="18"/>
          <w:szCs w:val="18"/>
        </w:rPr>
        <w:t>.</w:t>
      </w:r>
      <w:r>
        <w:rPr>
          <w:rFonts w:ascii="Times New Roman" w:hAnsi="Times New Roman" w:eastAsia="黑体" w:cs="Times New Roman"/>
          <w:sz w:val="18"/>
          <w:szCs w:val="18"/>
        </w:rPr>
        <w:t>4</w:t>
      </w:r>
      <w:r>
        <w:rPr>
          <w:rFonts w:ascii="Times New Roman" w:hAnsi="Times New Roman" w:cs="Times New Roman"/>
          <w:sz w:val="18"/>
          <w:szCs w:val="18"/>
        </w:rPr>
        <w:t>.</w:t>
      </w:r>
      <w:r>
        <w:rPr>
          <w:rFonts w:ascii="Times New Roman" w:hAnsi="Times New Roman" w:eastAsia="黑体" w:cs="Times New Roman"/>
          <w:sz w:val="18"/>
          <w:szCs w:val="18"/>
        </w:rPr>
        <w:t>1-2</w:t>
      </w:r>
      <w:r>
        <w:rPr>
          <w:rFonts w:ascii="Times New Roman" w:hAnsi="Times New Roman" w:eastAsia="黑体" w:cs="Times New Roman"/>
          <w:sz w:val="18"/>
          <w:szCs w:val="21"/>
        </w:rPr>
        <w:t xml:space="preserve">  中国60min降雨强度转换系数（C</w:t>
      </w:r>
      <w:r>
        <w:rPr>
          <w:rFonts w:ascii="Times New Roman" w:hAnsi="Times New Roman" w:eastAsia="黑体" w:cs="Times New Roman"/>
          <w:sz w:val="18"/>
          <w:szCs w:val="21"/>
          <w:vertAlign w:val="subscript"/>
        </w:rPr>
        <w:t>60</w:t>
      </w:r>
      <w:r>
        <w:rPr>
          <w:rFonts w:ascii="Times New Roman" w:hAnsi="Times New Roman" w:eastAsia="黑体" w:cs="Times New Roman"/>
          <w:sz w:val="18"/>
          <w:szCs w:val="21"/>
        </w:rPr>
        <w:t>）等值线图</w:t>
      </w:r>
    </w:p>
    <w:p w14:paraId="3E0C559D">
      <w:pPr>
        <w:spacing w:line="360" w:lineRule="auto"/>
        <w:jc w:val="left"/>
        <w:rPr>
          <w:rFonts w:ascii="Times New Roman" w:hAnsi="Times New Roman" w:eastAsia="黑体" w:cs="Times New Roman"/>
          <w:sz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4</w:t>
      </w:r>
      <w:r>
        <w:rPr>
          <w:rFonts w:ascii="Times New Roman" w:hAnsi="Times New Roman" w:cs="Times New Roman"/>
          <w:b/>
          <w:sz w:val="21"/>
        </w:rPr>
        <w:t>.</w:t>
      </w:r>
      <w:r>
        <w:rPr>
          <w:rFonts w:ascii="Times New Roman" w:hAnsi="Times New Roman" w:eastAsia="黑体" w:cs="Times New Roman"/>
          <w:b/>
          <w:sz w:val="21"/>
        </w:rPr>
        <w:t>2</w:t>
      </w:r>
      <w:r>
        <w:rPr>
          <w:rFonts w:ascii="Times New Roman" w:hAnsi="Times New Roman" w:eastAsia="黑体" w:cs="Times New Roman"/>
          <w:sz w:val="21"/>
        </w:rPr>
        <w:t xml:space="preserve">  </w:t>
      </w:r>
      <w:r>
        <w:rPr>
          <w:rFonts w:ascii="Times New Roman" w:hAnsi="Times New Roman" w:cs="Times New Roman"/>
          <w:sz w:val="21"/>
        </w:rPr>
        <w:t>永久截（排）水沟设计排水流量计算应按下列流程（图A.4.2）进行计算，并应符合下列要求:</w:t>
      </w:r>
    </w:p>
    <w:p w14:paraId="1D0D05D1">
      <w:pPr>
        <w:tabs>
          <w:tab w:val="left" w:pos="1455"/>
        </w:tabs>
        <w:spacing w:line="360" w:lineRule="auto"/>
        <w:ind w:firstLine="420"/>
        <w:jc w:val="left"/>
        <w:rPr>
          <w:rFonts w:ascii="Times New Roman" w:hAnsi="Times New Roman" w:cs="Times New Roman"/>
          <w:bCs/>
          <w:spacing w:val="4"/>
          <w:sz w:val="21"/>
        </w:rPr>
      </w:pPr>
      <w:r>
        <w:rPr>
          <w:rFonts w:ascii="Times New Roman" w:hAnsi="Times New Roman" w:cs="Times New Roman"/>
          <w:sz w:val="21"/>
        </w:rPr>
        <w:drawing>
          <wp:inline distT="0" distB="0" distL="114300" distR="114300">
            <wp:extent cx="4529455" cy="3489325"/>
            <wp:effectExtent l="0" t="0" r="12065" b="635"/>
            <wp:docPr id="14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30"/>
                    <pic:cNvPicPr>
                      <a:picLocks noChangeAspect="1"/>
                    </pic:cNvPicPr>
                  </pic:nvPicPr>
                  <pic:blipFill>
                    <a:blip r:embed="rId188"/>
                    <a:stretch>
                      <a:fillRect/>
                    </a:stretch>
                  </pic:blipFill>
                  <pic:spPr>
                    <a:xfrm>
                      <a:off x="0" y="0"/>
                      <a:ext cx="4529455" cy="3489325"/>
                    </a:xfrm>
                    <a:prstGeom prst="rect">
                      <a:avLst/>
                    </a:prstGeom>
                    <a:noFill/>
                    <a:ln>
                      <a:noFill/>
                    </a:ln>
                  </pic:spPr>
                </pic:pic>
              </a:graphicData>
            </a:graphic>
          </wp:inline>
        </w:drawing>
      </w:r>
    </w:p>
    <w:p w14:paraId="44015374">
      <w:pPr>
        <w:ind w:firstLine="357"/>
        <w:jc w:val="center"/>
        <w:rPr>
          <w:rFonts w:ascii="Times New Roman" w:hAnsi="Times New Roman" w:eastAsia="黑体" w:cs="Times New Roman"/>
          <w:sz w:val="18"/>
          <w:szCs w:val="18"/>
        </w:rPr>
      </w:pPr>
      <w:r>
        <w:rPr>
          <w:rFonts w:ascii="Times New Roman" w:hAnsi="Times New Roman" w:eastAsia="黑体" w:cs="Times New Roman"/>
          <w:sz w:val="18"/>
          <w:szCs w:val="18"/>
        </w:rPr>
        <w:t>图A</w:t>
      </w:r>
      <w:r>
        <w:rPr>
          <w:rFonts w:ascii="Times New Roman" w:hAnsi="Times New Roman" w:cs="Times New Roman"/>
          <w:sz w:val="18"/>
          <w:szCs w:val="18"/>
        </w:rPr>
        <w:t>.</w:t>
      </w:r>
      <w:r>
        <w:rPr>
          <w:rFonts w:ascii="Times New Roman" w:hAnsi="Times New Roman" w:eastAsia="黑体" w:cs="Times New Roman"/>
          <w:sz w:val="18"/>
          <w:szCs w:val="18"/>
        </w:rPr>
        <w:t>4</w:t>
      </w:r>
      <w:r>
        <w:rPr>
          <w:rFonts w:ascii="Times New Roman" w:hAnsi="Times New Roman" w:cs="Times New Roman"/>
          <w:sz w:val="18"/>
          <w:szCs w:val="18"/>
        </w:rPr>
        <w:t>.</w:t>
      </w:r>
      <w:r>
        <w:rPr>
          <w:rFonts w:ascii="Times New Roman" w:hAnsi="Times New Roman" w:eastAsia="黑体" w:cs="Times New Roman"/>
          <w:sz w:val="18"/>
          <w:szCs w:val="18"/>
        </w:rPr>
        <w:t>2  截（排）水沟设计排水流量计算流程框图</w:t>
      </w:r>
    </w:p>
    <w:p w14:paraId="07FF535B">
      <w:pPr>
        <w:spacing w:before="93" w:beforeLines="30" w:line="360" w:lineRule="auto"/>
        <w:ind w:firstLine="422" w:firstLineChars="200"/>
        <w:jc w:val="left"/>
        <w:rPr>
          <w:rFonts w:ascii="Times New Roman" w:hAnsi="Times New Roman" w:cs="Times New Roman"/>
          <w:sz w:val="21"/>
          <w:szCs w:val="21"/>
        </w:rPr>
      </w:pPr>
      <w:r>
        <w:rPr>
          <w:rFonts w:ascii="Times New Roman" w:hAnsi="Times New Roman" w:eastAsia="黑体" w:cs="Times New Roman"/>
          <w:b/>
          <w:sz w:val="21"/>
        </w:rPr>
        <w:t>1</w:t>
      </w:r>
      <w:r>
        <w:rPr>
          <w:rFonts w:ascii="Times New Roman" w:hAnsi="Times New Roman" w:eastAsia="黑体" w:cs="Times New Roman"/>
          <w:sz w:val="21"/>
        </w:rPr>
        <w:t xml:space="preserve"> </w:t>
      </w:r>
      <w:r>
        <w:rPr>
          <w:rFonts w:ascii="Times New Roman" w:hAnsi="Times New Roman" w:cs="Times New Roman"/>
          <w:sz w:val="21"/>
          <w:szCs w:val="21"/>
        </w:rPr>
        <w:t xml:space="preserve"> 降雨历时应取设计控制点的汇流时间，其值为汇水区最远点到排水设施处的坡面汇流历时</w:t>
      </w:r>
      <w:r>
        <w:rPr>
          <w:rFonts w:hint="eastAsia" w:ascii="Times New Roman" w:hAnsi="Times New Roman" w:cs="Times New Roman"/>
          <w:i/>
          <w:iCs/>
          <w:sz w:val="21"/>
          <w:szCs w:val="21"/>
        </w:rPr>
        <w:t>t</w:t>
      </w:r>
      <w:r>
        <w:rPr>
          <w:rFonts w:hint="eastAsia" w:ascii="Times New Roman" w:hAnsi="Times New Roman" w:cs="Times New Roman"/>
          <w:sz w:val="21"/>
          <w:szCs w:val="21"/>
          <w:vertAlign w:val="subscript"/>
        </w:rPr>
        <w:t>1</w:t>
      </w:r>
      <w:r>
        <w:rPr>
          <w:rFonts w:ascii="Times New Roman" w:hAnsi="Times New Roman" w:cs="Times New Roman"/>
          <w:sz w:val="21"/>
          <w:szCs w:val="21"/>
        </w:rPr>
        <w:t>与在沟（管）内的沟（管）汇流历时</w:t>
      </w:r>
      <w:r>
        <w:rPr>
          <w:rFonts w:hint="eastAsia" w:ascii="Times New Roman" w:hAnsi="Times New Roman" w:cs="Times New Roman"/>
          <w:i/>
          <w:iCs/>
          <w:sz w:val="21"/>
          <w:szCs w:val="21"/>
        </w:rPr>
        <w:t>t</w:t>
      </w:r>
      <w:r>
        <w:rPr>
          <w:rFonts w:hint="eastAsia" w:ascii="Times New Roman" w:hAnsi="Times New Roman" w:cs="Times New Roman"/>
          <w:i/>
          <w:iCs/>
          <w:sz w:val="21"/>
          <w:szCs w:val="21"/>
          <w:vertAlign w:val="subscript"/>
        </w:rPr>
        <w:t>2</w:t>
      </w:r>
      <w:r>
        <w:rPr>
          <w:rFonts w:ascii="Times New Roman" w:hAnsi="Times New Roman" w:cs="Times New Roman"/>
          <w:sz w:val="21"/>
          <w:szCs w:val="21"/>
        </w:rPr>
        <w:t>之和。当路面有表面排水要求时，可不计沟（管）内的汇流历时</w:t>
      </w:r>
      <w:r>
        <w:rPr>
          <w:rFonts w:hint="eastAsia" w:ascii="Times New Roman" w:hAnsi="Times New Roman" w:cs="Times New Roman"/>
          <w:i/>
          <w:iCs/>
          <w:sz w:val="21"/>
          <w:szCs w:val="21"/>
        </w:rPr>
        <w:t>t</w:t>
      </w:r>
      <w:r>
        <w:rPr>
          <w:rFonts w:hint="eastAsia" w:ascii="Times New Roman" w:hAnsi="Times New Roman" w:cs="Times New Roman"/>
          <w:i/>
          <w:iCs/>
          <w:sz w:val="21"/>
          <w:szCs w:val="21"/>
          <w:vertAlign w:val="subscript"/>
        </w:rPr>
        <w:t>2</w:t>
      </w:r>
      <w:r>
        <w:rPr>
          <w:rFonts w:ascii="Times New Roman" w:hAnsi="Times New Roman" w:cs="Times New Roman"/>
          <w:sz w:val="21"/>
          <w:szCs w:val="21"/>
        </w:rPr>
        <w:t>。</w:t>
      </w:r>
    </w:p>
    <w:p w14:paraId="3D815BC3">
      <w:pPr>
        <w:spacing w:line="360" w:lineRule="auto"/>
        <w:ind w:firstLine="422" w:firstLineChars="200"/>
        <w:jc w:val="left"/>
        <w:rPr>
          <w:rFonts w:ascii="Times New Roman" w:hAnsi="Times New Roman" w:cs="Times New Roman"/>
          <w:sz w:val="21"/>
          <w:szCs w:val="21"/>
        </w:rPr>
      </w:pPr>
      <w:r>
        <w:rPr>
          <w:rFonts w:ascii="Times New Roman" w:hAnsi="Times New Roman" w:eastAsia="黑体" w:cs="Times New Roman"/>
          <w:b/>
          <w:sz w:val="21"/>
        </w:rPr>
        <w:t>2</w:t>
      </w:r>
      <w:r>
        <w:rPr>
          <w:rFonts w:ascii="Times New Roman" w:hAnsi="Times New Roman" w:eastAsia="黑体" w:cs="Times New Roman"/>
          <w:sz w:val="21"/>
        </w:rPr>
        <w:t xml:space="preserve"> </w:t>
      </w:r>
      <w:r>
        <w:rPr>
          <w:rFonts w:ascii="Times New Roman" w:hAnsi="Times New Roman" w:cs="Times New Roman"/>
          <w:sz w:val="21"/>
          <w:szCs w:val="21"/>
        </w:rPr>
        <w:t xml:space="preserve"> 坡面汇流历时可按下式计算：</w:t>
      </w:r>
    </w:p>
    <w:p w14:paraId="07A7227A">
      <w:pPr>
        <w:spacing w:line="360" w:lineRule="auto"/>
        <w:ind w:firstLine="561"/>
        <w:jc w:val="right"/>
        <w:rPr>
          <w:rFonts w:ascii="Times New Roman" w:hAnsi="Times New Roman" w:cs="Times New Roman"/>
          <w:sz w:val="21"/>
          <w:szCs w:val="21"/>
        </w:rPr>
      </w:pPr>
      <w:r>
        <w:rPr>
          <w:rFonts w:ascii="Times New Roman" w:hAnsi="Times New Roman" w:cs="Times New Roman"/>
          <w:b/>
          <w:position w:val="-36"/>
          <w:sz w:val="21"/>
          <w:szCs w:val="21"/>
        </w:rPr>
        <w:drawing>
          <wp:inline distT="0" distB="0" distL="114300" distR="114300">
            <wp:extent cx="1083310" cy="482600"/>
            <wp:effectExtent l="0" t="0" r="13970" b="5080"/>
            <wp:docPr id="14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06"/>
                    <pic:cNvPicPr>
                      <a:picLocks noChangeAspect="1"/>
                    </pic:cNvPicPr>
                  </pic:nvPicPr>
                  <pic:blipFill>
                    <a:blip r:embed="rId189"/>
                    <a:stretch>
                      <a:fillRect/>
                    </a:stretch>
                  </pic:blipFill>
                  <pic:spPr>
                    <a:xfrm>
                      <a:off x="0" y="0"/>
                      <a:ext cx="1083310" cy="482600"/>
                    </a:xfrm>
                    <a:prstGeom prst="rect">
                      <a:avLst/>
                    </a:prstGeom>
                    <a:noFill/>
                    <a:ln>
                      <a:noFill/>
                    </a:ln>
                  </pic:spPr>
                </pic:pic>
              </a:graphicData>
            </a:graphic>
          </wp:inline>
        </w:drawing>
      </w:r>
      <w:r>
        <w:rPr>
          <w:rFonts w:ascii="Times New Roman" w:hAnsi="Times New Roman" w:cs="Times New Roman"/>
          <w:sz w:val="21"/>
          <w:szCs w:val="21"/>
        </w:rPr>
        <w:t xml:space="preserve">                     （A.4.2-1）</w:t>
      </w:r>
    </w:p>
    <w:p w14:paraId="1A78BA7A">
      <w:pPr>
        <w:spacing w:line="360" w:lineRule="auto"/>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b/>
          <w:position w:val="-12"/>
          <w:sz w:val="21"/>
          <w:szCs w:val="21"/>
        </w:rPr>
        <w:drawing>
          <wp:inline distT="0" distB="0" distL="114300" distR="114300">
            <wp:extent cx="116840" cy="226695"/>
            <wp:effectExtent l="0" t="0" r="5080" b="1270"/>
            <wp:docPr id="180"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07"/>
                    <pic:cNvPicPr>
                      <a:picLocks noChangeAspect="1"/>
                    </pic:cNvPicPr>
                  </pic:nvPicPr>
                  <pic:blipFill>
                    <a:blip r:embed="rId190"/>
                    <a:stretch>
                      <a:fillRect/>
                    </a:stretch>
                  </pic:blipFill>
                  <pic:spPr>
                    <a:xfrm>
                      <a:off x="0" y="0"/>
                      <a:ext cx="116840" cy="226695"/>
                    </a:xfrm>
                    <a:prstGeom prst="rect">
                      <a:avLst/>
                    </a:prstGeom>
                    <a:noFill/>
                    <a:ln>
                      <a:noFill/>
                    </a:ln>
                  </pic:spPr>
                </pic:pic>
              </a:graphicData>
            </a:graphic>
          </wp:inline>
        </w:drawing>
      </w:r>
      <w:r>
        <w:rPr>
          <w:rFonts w:ascii="Times New Roman" w:hAnsi="Times New Roman" w:cs="Times New Roman"/>
          <w:sz w:val="21"/>
          <w:szCs w:val="21"/>
        </w:rPr>
        <w:t>——坡面汇流历时（min）；</w:t>
      </w:r>
    </w:p>
    <w:p w14:paraId="5D5F56F4">
      <w:pPr>
        <w:tabs>
          <w:tab w:val="left" w:pos="1227"/>
        </w:tabs>
        <w:spacing w:line="360" w:lineRule="auto"/>
        <w:ind w:firstLine="645" w:firstLineChars="306"/>
        <w:jc w:val="left"/>
        <w:rPr>
          <w:rFonts w:ascii="Times New Roman" w:hAnsi="Times New Roman" w:cs="Times New Roman"/>
          <w:sz w:val="21"/>
          <w:szCs w:val="21"/>
        </w:rPr>
      </w:pPr>
      <w:r>
        <w:rPr>
          <w:rFonts w:ascii="Times New Roman" w:hAnsi="Times New Roman" w:cs="Times New Roman"/>
          <w:b/>
          <w:position w:val="-12"/>
          <w:sz w:val="21"/>
          <w:szCs w:val="21"/>
        </w:rPr>
        <w:drawing>
          <wp:inline distT="0" distB="0" distL="114300" distR="114300">
            <wp:extent cx="182880" cy="190500"/>
            <wp:effectExtent l="0" t="0" r="0" b="6350"/>
            <wp:docPr id="14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08"/>
                    <pic:cNvPicPr>
                      <a:picLocks noChangeAspect="1"/>
                    </pic:cNvPicPr>
                  </pic:nvPicPr>
                  <pic:blipFill>
                    <a:blip r:embed="rId191"/>
                    <a:stretch>
                      <a:fillRect/>
                    </a:stretch>
                  </pic:blipFill>
                  <pic:spPr>
                    <a:xfrm>
                      <a:off x="0" y="0"/>
                      <a:ext cx="182880" cy="190500"/>
                    </a:xfrm>
                    <a:prstGeom prst="rect">
                      <a:avLst/>
                    </a:prstGeom>
                    <a:noFill/>
                    <a:ln>
                      <a:noFill/>
                    </a:ln>
                  </pic:spPr>
                </pic:pic>
              </a:graphicData>
            </a:graphic>
          </wp:inline>
        </w:drawing>
      </w:r>
      <w:r>
        <w:rPr>
          <w:rFonts w:ascii="Times New Roman" w:hAnsi="Times New Roman" w:cs="Times New Roman"/>
          <w:sz w:val="21"/>
          <w:szCs w:val="21"/>
        </w:rPr>
        <w:t>——坡面流的长度（m）；</w:t>
      </w:r>
    </w:p>
    <w:p w14:paraId="42B65492">
      <w:pPr>
        <w:tabs>
          <w:tab w:val="left" w:pos="1227"/>
        </w:tabs>
        <w:spacing w:line="360" w:lineRule="auto"/>
        <w:ind w:firstLine="658"/>
        <w:jc w:val="left"/>
        <w:rPr>
          <w:rFonts w:ascii="Times New Roman" w:hAnsi="Times New Roman" w:cs="Times New Roman"/>
          <w:sz w:val="21"/>
          <w:szCs w:val="21"/>
        </w:rPr>
      </w:pPr>
      <w:r>
        <w:rPr>
          <w:rFonts w:ascii="Times New Roman" w:hAnsi="Times New Roman" w:cs="Times New Roman"/>
          <w:b/>
          <w:sz w:val="21"/>
          <w:szCs w:val="21"/>
        </w:rPr>
        <w:drawing>
          <wp:inline distT="0" distB="0" distL="114300" distR="114300">
            <wp:extent cx="131445" cy="190500"/>
            <wp:effectExtent l="0" t="0" r="0" b="6350"/>
            <wp:docPr id="14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09"/>
                    <pic:cNvPicPr>
                      <a:picLocks noChangeAspect="1"/>
                    </pic:cNvPicPr>
                  </pic:nvPicPr>
                  <pic:blipFill>
                    <a:blip r:embed="rId192"/>
                    <a:stretch>
                      <a:fillRect/>
                    </a:stretch>
                  </pic:blipFill>
                  <pic:spPr>
                    <a:xfrm>
                      <a:off x="0" y="0"/>
                      <a:ext cx="131445" cy="190500"/>
                    </a:xfrm>
                    <a:prstGeom prst="rect">
                      <a:avLst/>
                    </a:prstGeom>
                    <a:noFill/>
                    <a:ln>
                      <a:noFill/>
                    </a:ln>
                  </pic:spPr>
                </pic:pic>
              </a:graphicData>
            </a:graphic>
          </wp:inline>
        </w:drawing>
      </w:r>
      <w:r>
        <w:rPr>
          <w:rFonts w:ascii="Times New Roman" w:hAnsi="Times New Roman" w:cs="Times New Roman"/>
          <w:sz w:val="21"/>
          <w:szCs w:val="21"/>
        </w:rPr>
        <w:t>——坡面流的坡降，以小数计；</w:t>
      </w:r>
    </w:p>
    <w:p w14:paraId="0332A02E">
      <w:pPr>
        <w:tabs>
          <w:tab w:val="left" w:pos="1227"/>
        </w:tabs>
        <w:spacing w:line="360" w:lineRule="auto"/>
        <w:ind w:firstLine="658"/>
        <w:jc w:val="left"/>
        <w:rPr>
          <w:rFonts w:ascii="Times New Roman" w:hAnsi="Times New Roman" w:cs="Times New Roman"/>
          <w:sz w:val="21"/>
          <w:szCs w:val="21"/>
        </w:rPr>
      </w:pPr>
      <w:r>
        <w:rPr>
          <w:rFonts w:ascii="Times New Roman" w:hAnsi="Times New Roman" w:cs="Times New Roman"/>
          <w:i/>
          <w:sz w:val="21"/>
          <w:szCs w:val="21"/>
        </w:rPr>
        <w:t>m</w:t>
      </w:r>
      <w:r>
        <w:rPr>
          <w:rFonts w:ascii="Times New Roman" w:hAnsi="Times New Roman" w:cs="Times New Roman"/>
          <w:sz w:val="21"/>
          <w:szCs w:val="21"/>
          <w:vertAlign w:val="subscript"/>
        </w:rPr>
        <w:t>1</w:t>
      </w:r>
      <w:r>
        <w:rPr>
          <w:rFonts w:ascii="Times New Roman" w:hAnsi="Times New Roman" w:cs="Times New Roman"/>
          <w:sz w:val="21"/>
          <w:szCs w:val="21"/>
        </w:rPr>
        <w:t>——地面粗度系数，可按地表情况查表A.4.2-1确定。</w:t>
      </w:r>
    </w:p>
    <w:p w14:paraId="488B2B5F">
      <w:pPr>
        <w:jc w:val="center"/>
        <w:rPr>
          <w:rFonts w:ascii="Times New Roman" w:hAnsi="Times New Roman" w:eastAsia="黑体" w:cs="Times New Roman"/>
          <w:sz w:val="18"/>
          <w:szCs w:val="18"/>
        </w:rPr>
      </w:pPr>
      <w:r>
        <w:rPr>
          <w:rFonts w:ascii="Times New Roman" w:hAnsi="Times New Roman" w:eastAsia="黑体" w:cs="Times New Roman"/>
          <w:sz w:val="18"/>
          <w:szCs w:val="18"/>
        </w:rPr>
        <w:t>表A</w:t>
      </w:r>
      <w:r>
        <w:rPr>
          <w:rFonts w:ascii="Times New Roman" w:hAnsi="Times New Roman" w:cs="Times New Roman"/>
          <w:sz w:val="18"/>
          <w:szCs w:val="18"/>
        </w:rPr>
        <w:t>.</w:t>
      </w:r>
      <w:r>
        <w:rPr>
          <w:rFonts w:ascii="Times New Roman" w:hAnsi="Times New Roman" w:eastAsia="黑体" w:cs="Times New Roman"/>
          <w:sz w:val="18"/>
          <w:szCs w:val="18"/>
        </w:rPr>
        <w:t>4</w:t>
      </w:r>
      <w:r>
        <w:rPr>
          <w:rFonts w:ascii="Times New Roman" w:hAnsi="Times New Roman" w:cs="Times New Roman"/>
          <w:sz w:val="18"/>
          <w:szCs w:val="18"/>
        </w:rPr>
        <w:t>.</w:t>
      </w:r>
      <w:r>
        <w:rPr>
          <w:rFonts w:ascii="Times New Roman" w:hAnsi="Times New Roman" w:eastAsia="黑体" w:cs="Times New Roman"/>
          <w:sz w:val="18"/>
          <w:szCs w:val="18"/>
        </w:rPr>
        <w:t>2-1  地面粗度系数</w:t>
      </w:r>
      <w:r>
        <w:rPr>
          <w:rFonts w:ascii="Times New Roman" w:hAnsi="Times New Roman" w:eastAsia="黑体" w:cs="Times New Roman"/>
          <w:i/>
          <w:sz w:val="18"/>
          <w:szCs w:val="18"/>
        </w:rPr>
        <w:t>m</w:t>
      </w:r>
      <w:r>
        <w:rPr>
          <w:rFonts w:ascii="Times New Roman" w:hAnsi="Times New Roman" w:eastAsia="黑体" w:cs="Times New Roman"/>
          <w:sz w:val="18"/>
          <w:szCs w:val="18"/>
          <w:vertAlign w:val="subscript"/>
        </w:rPr>
        <w:t>1</w:t>
      </w:r>
      <w:r>
        <w:rPr>
          <w:rFonts w:ascii="Times New Roman" w:hAnsi="Times New Roman" w:eastAsia="黑体" w:cs="Times New Roman"/>
          <w:sz w:val="18"/>
          <w:szCs w:val="18"/>
        </w:rPr>
        <w:t>参考值</w:t>
      </w:r>
    </w:p>
    <w:tbl>
      <w:tblPr>
        <w:tblStyle w:val="10"/>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118"/>
        <w:gridCol w:w="2141"/>
        <w:gridCol w:w="2122"/>
        <w:gridCol w:w="2141"/>
      </w:tblGrid>
      <w:tr w14:paraId="51727E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4" w:hRule="exact"/>
          <w:jc w:val="center"/>
        </w:trPr>
        <w:tc>
          <w:tcPr>
            <w:tcW w:w="1243" w:type="pct"/>
            <w:vAlign w:val="center"/>
          </w:tcPr>
          <w:p w14:paraId="42292692">
            <w:pPr>
              <w:ind w:firstLine="11"/>
              <w:jc w:val="center"/>
              <w:rPr>
                <w:rFonts w:ascii="Times New Roman" w:hAnsi="Times New Roman" w:cs="Times New Roman"/>
                <w:sz w:val="15"/>
                <w:szCs w:val="15"/>
              </w:rPr>
            </w:pPr>
            <w:r>
              <w:rPr>
                <w:rFonts w:ascii="Times New Roman" w:hAnsi="Times New Roman" w:cs="Times New Roman"/>
                <w:sz w:val="15"/>
                <w:szCs w:val="15"/>
              </w:rPr>
              <w:t>地表状况</w:t>
            </w:r>
          </w:p>
        </w:tc>
        <w:tc>
          <w:tcPr>
            <w:tcW w:w="1256" w:type="pct"/>
            <w:vAlign w:val="center"/>
          </w:tcPr>
          <w:p w14:paraId="1C538425">
            <w:pPr>
              <w:ind w:firstLine="11"/>
              <w:jc w:val="center"/>
              <w:rPr>
                <w:rFonts w:ascii="Times New Roman" w:hAnsi="Times New Roman" w:cs="Times New Roman"/>
                <w:sz w:val="15"/>
                <w:szCs w:val="15"/>
              </w:rPr>
            </w:pPr>
            <w:r>
              <w:rPr>
                <w:rFonts w:ascii="Times New Roman" w:hAnsi="Times New Roman" w:cs="Times New Roman"/>
                <w:sz w:val="15"/>
                <w:szCs w:val="15"/>
              </w:rPr>
              <w:t>粗度系数</w:t>
            </w:r>
          </w:p>
        </w:tc>
        <w:tc>
          <w:tcPr>
            <w:tcW w:w="1245" w:type="pct"/>
            <w:vAlign w:val="center"/>
          </w:tcPr>
          <w:p w14:paraId="5FED5268">
            <w:pPr>
              <w:ind w:firstLine="11"/>
              <w:jc w:val="center"/>
              <w:rPr>
                <w:rFonts w:ascii="Times New Roman" w:hAnsi="Times New Roman" w:cs="Times New Roman"/>
                <w:sz w:val="15"/>
                <w:szCs w:val="15"/>
              </w:rPr>
            </w:pPr>
            <w:r>
              <w:rPr>
                <w:rFonts w:ascii="Times New Roman" w:hAnsi="Times New Roman" w:cs="Times New Roman"/>
                <w:sz w:val="15"/>
                <w:szCs w:val="15"/>
              </w:rPr>
              <w:t>地表状况</w:t>
            </w:r>
          </w:p>
        </w:tc>
        <w:tc>
          <w:tcPr>
            <w:tcW w:w="1256" w:type="pct"/>
            <w:vAlign w:val="center"/>
          </w:tcPr>
          <w:p w14:paraId="22A1ED8A">
            <w:pPr>
              <w:ind w:firstLine="11"/>
              <w:jc w:val="center"/>
              <w:rPr>
                <w:rFonts w:ascii="Times New Roman" w:hAnsi="Times New Roman" w:cs="Times New Roman"/>
                <w:sz w:val="15"/>
                <w:szCs w:val="15"/>
              </w:rPr>
            </w:pPr>
            <w:r>
              <w:rPr>
                <w:rFonts w:ascii="Times New Roman" w:hAnsi="Times New Roman" w:cs="Times New Roman"/>
                <w:sz w:val="15"/>
                <w:szCs w:val="15"/>
              </w:rPr>
              <w:t>粗度系数</w:t>
            </w:r>
          </w:p>
        </w:tc>
      </w:tr>
      <w:tr w14:paraId="53FA42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4" w:hRule="exact"/>
          <w:jc w:val="center"/>
        </w:trPr>
        <w:tc>
          <w:tcPr>
            <w:tcW w:w="1243" w:type="pct"/>
            <w:vAlign w:val="center"/>
          </w:tcPr>
          <w:p w14:paraId="62DEC317">
            <w:pPr>
              <w:ind w:firstLine="11"/>
              <w:jc w:val="center"/>
              <w:rPr>
                <w:rFonts w:ascii="Times New Roman" w:hAnsi="Times New Roman" w:cs="Times New Roman"/>
                <w:sz w:val="15"/>
                <w:szCs w:val="15"/>
              </w:rPr>
            </w:pPr>
            <w:r>
              <w:rPr>
                <w:rFonts w:ascii="Times New Roman" w:hAnsi="Times New Roman" w:cs="Times New Roman"/>
                <w:sz w:val="15"/>
                <w:szCs w:val="15"/>
              </w:rPr>
              <w:t>光滑的不透水地面</w:t>
            </w:r>
          </w:p>
        </w:tc>
        <w:tc>
          <w:tcPr>
            <w:tcW w:w="1256" w:type="pct"/>
            <w:vAlign w:val="center"/>
          </w:tcPr>
          <w:p w14:paraId="5E358158">
            <w:pPr>
              <w:ind w:firstLine="11"/>
              <w:jc w:val="center"/>
              <w:rPr>
                <w:rFonts w:ascii="Times New Roman" w:hAnsi="Times New Roman" w:cs="Times New Roman"/>
                <w:sz w:val="15"/>
                <w:szCs w:val="15"/>
              </w:rPr>
            </w:pPr>
            <w:r>
              <w:rPr>
                <w:rFonts w:ascii="Times New Roman" w:hAnsi="Times New Roman" w:cs="Times New Roman"/>
                <w:sz w:val="15"/>
                <w:szCs w:val="15"/>
              </w:rPr>
              <w:t>0.02</w:t>
            </w:r>
          </w:p>
        </w:tc>
        <w:tc>
          <w:tcPr>
            <w:tcW w:w="1245" w:type="pct"/>
            <w:vAlign w:val="center"/>
          </w:tcPr>
          <w:p w14:paraId="5D538CF1">
            <w:pPr>
              <w:ind w:firstLine="11"/>
              <w:jc w:val="center"/>
              <w:rPr>
                <w:rFonts w:ascii="Times New Roman" w:hAnsi="Times New Roman" w:cs="Times New Roman"/>
                <w:sz w:val="15"/>
                <w:szCs w:val="15"/>
              </w:rPr>
            </w:pPr>
            <w:r>
              <w:rPr>
                <w:rFonts w:ascii="Times New Roman" w:hAnsi="Times New Roman" w:cs="Times New Roman"/>
                <w:sz w:val="15"/>
                <w:szCs w:val="15"/>
              </w:rPr>
              <w:t>牧草地、草地</w:t>
            </w:r>
          </w:p>
        </w:tc>
        <w:tc>
          <w:tcPr>
            <w:tcW w:w="1256" w:type="pct"/>
            <w:vAlign w:val="center"/>
          </w:tcPr>
          <w:p w14:paraId="0B4327E2">
            <w:pPr>
              <w:ind w:firstLine="11"/>
              <w:jc w:val="center"/>
              <w:rPr>
                <w:rFonts w:ascii="Times New Roman" w:hAnsi="Times New Roman" w:cs="Times New Roman"/>
                <w:sz w:val="15"/>
                <w:szCs w:val="15"/>
              </w:rPr>
            </w:pPr>
            <w:r>
              <w:rPr>
                <w:rFonts w:ascii="Times New Roman" w:hAnsi="Times New Roman" w:cs="Times New Roman"/>
                <w:sz w:val="15"/>
                <w:szCs w:val="15"/>
              </w:rPr>
              <w:t>0.40</w:t>
            </w:r>
          </w:p>
        </w:tc>
      </w:tr>
      <w:tr w14:paraId="3C64A5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4" w:hRule="exact"/>
          <w:jc w:val="center"/>
        </w:trPr>
        <w:tc>
          <w:tcPr>
            <w:tcW w:w="1243" w:type="pct"/>
            <w:vAlign w:val="center"/>
          </w:tcPr>
          <w:p w14:paraId="2CEAB00F">
            <w:pPr>
              <w:ind w:firstLine="11"/>
              <w:jc w:val="center"/>
              <w:rPr>
                <w:rFonts w:ascii="Times New Roman" w:hAnsi="Times New Roman" w:cs="Times New Roman"/>
                <w:sz w:val="15"/>
                <w:szCs w:val="15"/>
              </w:rPr>
            </w:pPr>
            <w:r>
              <w:rPr>
                <w:rFonts w:ascii="Times New Roman" w:hAnsi="Times New Roman" w:cs="Times New Roman"/>
                <w:sz w:val="15"/>
                <w:szCs w:val="15"/>
              </w:rPr>
              <w:t>光滑的压实地面</w:t>
            </w:r>
          </w:p>
        </w:tc>
        <w:tc>
          <w:tcPr>
            <w:tcW w:w="1256" w:type="pct"/>
            <w:vAlign w:val="center"/>
          </w:tcPr>
          <w:p w14:paraId="7F37CEE0">
            <w:pPr>
              <w:ind w:firstLine="11"/>
              <w:jc w:val="center"/>
              <w:rPr>
                <w:rFonts w:ascii="Times New Roman" w:hAnsi="Times New Roman" w:cs="Times New Roman"/>
                <w:sz w:val="15"/>
                <w:szCs w:val="15"/>
              </w:rPr>
            </w:pPr>
            <w:r>
              <w:rPr>
                <w:rFonts w:ascii="Times New Roman" w:hAnsi="Times New Roman" w:cs="Times New Roman"/>
                <w:sz w:val="15"/>
                <w:szCs w:val="15"/>
              </w:rPr>
              <w:t>0.10</w:t>
            </w:r>
          </w:p>
        </w:tc>
        <w:tc>
          <w:tcPr>
            <w:tcW w:w="1245" w:type="pct"/>
            <w:vAlign w:val="center"/>
          </w:tcPr>
          <w:p w14:paraId="06F93E03">
            <w:pPr>
              <w:ind w:firstLine="11"/>
              <w:jc w:val="center"/>
              <w:rPr>
                <w:rFonts w:ascii="Times New Roman" w:hAnsi="Times New Roman" w:cs="Times New Roman"/>
                <w:sz w:val="15"/>
                <w:szCs w:val="15"/>
              </w:rPr>
            </w:pPr>
            <w:r>
              <w:rPr>
                <w:rFonts w:ascii="Times New Roman" w:hAnsi="Times New Roman" w:cs="Times New Roman"/>
                <w:sz w:val="15"/>
                <w:szCs w:val="15"/>
              </w:rPr>
              <w:t>落叶树林</w:t>
            </w:r>
          </w:p>
        </w:tc>
        <w:tc>
          <w:tcPr>
            <w:tcW w:w="1256" w:type="pct"/>
            <w:vAlign w:val="center"/>
          </w:tcPr>
          <w:p w14:paraId="22BC3EB7">
            <w:pPr>
              <w:ind w:firstLine="11"/>
              <w:jc w:val="center"/>
              <w:rPr>
                <w:rFonts w:ascii="Times New Roman" w:hAnsi="Times New Roman" w:cs="Times New Roman"/>
                <w:sz w:val="15"/>
                <w:szCs w:val="15"/>
              </w:rPr>
            </w:pPr>
            <w:r>
              <w:rPr>
                <w:rFonts w:ascii="Times New Roman" w:hAnsi="Times New Roman" w:cs="Times New Roman"/>
                <w:sz w:val="15"/>
                <w:szCs w:val="15"/>
              </w:rPr>
              <w:t>0.60</w:t>
            </w:r>
          </w:p>
        </w:tc>
      </w:tr>
      <w:tr w14:paraId="6897C8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4" w:hRule="exact"/>
          <w:jc w:val="center"/>
        </w:trPr>
        <w:tc>
          <w:tcPr>
            <w:tcW w:w="1243" w:type="pct"/>
            <w:vAlign w:val="center"/>
          </w:tcPr>
          <w:p w14:paraId="5B9998BF">
            <w:pPr>
              <w:ind w:firstLine="11"/>
              <w:jc w:val="center"/>
              <w:rPr>
                <w:rFonts w:ascii="Times New Roman" w:hAnsi="Times New Roman" w:cs="Times New Roman"/>
                <w:sz w:val="15"/>
                <w:szCs w:val="15"/>
              </w:rPr>
            </w:pPr>
            <w:r>
              <w:rPr>
                <w:rFonts w:ascii="Times New Roman" w:hAnsi="Times New Roman" w:cs="Times New Roman"/>
                <w:sz w:val="15"/>
                <w:szCs w:val="15"/>
              </w:rPr>
              <w:t>稀疏草地、耕地</w:t>
            </w:r>
          </w:p>
        </w:tc>
        <w:tc>
          <w:tcPr>
            <w:tcW w:w="1256" w:type="pct"/>
            <w:vAlign w:val="center"/>
          </w:tcPr>
          <w:p w14:paraId="497264BD">
            <w:pPr>
              <w:ind w:firstLine="11"/>
              <w:jc w:val="center"/>
              <w:rPr>
                <w:rFonts w:ascii="Times New Roman" w:hAnsi="Times New Roman" w:cs="Times New Roman"/>
                <w:sz w:val="15"/>
                <w:szCs w:val="15"/>
              </w:rPr>
            </w:pPr>
            <w:r>
              <w:rPr>
                <w:rFonts w:ascii="Times New Roman" w:hAnsi="Times New Roman" w:cs="Times New Roman"/>
                <w:sz w:val="15"/>
                <w:szCs w:val="15"/>
              </w:rPr>
              <w:t>0.20</w:t>
            </w:r>
          </w:p>
        </w:tc>
        <w:tc>
          <w:tcPr>
            <w:tcW w:w="1245" w:type="pct"/>
            <w:vAlign w:val="center"/>
          </w:tcPr>
          <w:p w14:paraId="6B7DD3C2">
            <w:pPr>
              <w:ind w:firstLine="11"/>
              <w:jc w:val="center"/>
              <w:rPr>
                <w:rFonts w:ascii="Times New Roman" w:hAnsi="Times New Roman" w:cs="Times New Roman"/>
                <w:sz w:val="15"/>
                <w:szCs w:val="15"/>
              </w:rPr>
            </w:pPr>
            <w:r>
              <w:rPr>
                <w:rFonts w:ascii="Times New Roman" w:hAnsi="Times New Roman" w:cs="Times New Roman"/>
                <w:sz w:val="15"/>
                <w:szCs w:val="15"/>
              </w:rPr>
              <w:t>针叶树林</w:t>
            </w:r>
          </w:p>
        </w:tc>
        <w:tc>
          <w:tcPr>
            <w:tcW w:w="1256" w:type="pct"/>
            <w:vAlign w:val="center"/>
          </w:tcPr>
          <w:p w14:paraId="633B56D2">
            <w:pPr>
              <w:ind w:firstLine="11"/>
              <w:jc w:val="center"/>
              <w:rPr>
                <w:rFonts w:ascii="Times New Roman" w:hAnsi="Times New Roman" w:cs="Times New Roman"/>
                <w:sz w:val="15"/>
                <w:szCs w:val="15"/>
              </w:rPr>
            </w:pPr>
            <w:r>
              <w:rPr>
                <w:rFonts w:ascii="Times New Roman" w:hAnsi="Times New Roman" w:cs="Times New Roman"/>
                <w:sz w:val="15"/>
                <w:szCs w:val="15"/>
              </w:rPr>
              <w:t>0.80</w:t>
            </w:r>
          </w:p>
        </w:tc>
      </w:tr>
    </w:tbl>
    <w:p w14:paraId="3F1A4419">
      <w:pPr>
        <w:spacing w:before="93" w:beforeLines="30" w:line="360" w:lineRule="auto"/>
        <w:ind w:firstLine="482"/>
        <w:jc w:val="left"/>
        <w:rPr>
          <w:rFonts w:ascii="Times New Roman" w:hAnsi="Times New Roman" w:cs="Times New Roman"/>
          <w:sz w:val="21"/>
          <w:szCs w:val="21"/>
        </w:rPr>
      </w:pPr>
      <w:r>
        <w:rPr>
          <w:rFonts w:ascii="Times New Roman" w:hAnsi="Times New Roman" w:eastAsia="黑体" w:cs="Times New Roman"/>
          <w:b/>
          <w:bCs/>
          <w:sz w:val="21"/>
        </w:rPr>
        <w:t>3</w:t>
      </w:r>
      <w:r>
        <w:rPr>
          <w:rFonts w:ascii="Times New Roman" w:hAnsi="Times New Roman" w:eastAsia="黑体" w:cs="Times New Roman"/>
          <w:sz w:val="21"/>
        </w:rPr>
        <w:t xml:space="preserve"> </w:t>
      </w:r>
      <w:r>
        <w:rPr>
          <w:rFonts w:ascii="Times New Roman" w:hAnsi="Times New Roman" w:cs="Times New Roman"/>
          <w:sz w:val="21"/>
          <w:szCs w:val="21"/>
        </w:rPr>
        <w:t xml:space="preserve"> 计算沟（管）内汇流历时</w:t>
      </w:r>
      <w:r>
        <w:rPr>
          <w:rFonts w:ascii="Times New Roman" w:hAnsi="Times New Roman" w:cs="Times New Roman"/>
          <w:b/>
          <w:position w:val="-12"/>
          <w:sz w:val="21"/>
          <w:szCs w:val="21"/>
        </w:rPr>
        <w:drawing>
          <wp:inline distT="0" distB="0" distL="114300" distR="114300">
            <wp:extent cx="131445" cy="226695"/>
            <wp:effectExtent l="0" t="0" r="0" b="0"/>
            <wp:docPr id="15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37"/>
                    <pic:cNvPicPr>
                      <a:picLocks noChangeAspect="1"/>
                    </pic:cNvPicPr>
                  </pic:nvPicPr>
                  <pic:blipFill>
                    <a:blip r:embed="rId132"/>
                    <a:stretch>
                      <a:fillRect/>
                    </a:stretch>
                  </pic:blipFill>
                  <pic:spPr>
                    <a:xfrm>
                      <a:off x="0" y="0"/>
                      <a:ext cx="131445" cy="226695"/>
                    </a:xfrm>
                    <a:prstGeom prst="rect">
                      <a:avLst/>
                    </a:prstGeom>
                    <a:noFill/>
                    <a:ln>
                      <a:noFill/>
                    </a:ln>
                  </pic:spPr>
                </pic:pic>
              </a:graphicData>
            </a:graphic>
          </wp:inline>
        </w:drawing>
      </w:r>
      <w:r>
        <w:rPr>
          <w:rFonts w:ascii="Times New Roman" w:hAnsi="Times New Roman" w:cs="Times New Roman"/>
          <w:sz w:val="21"/>
          <w:szCs w:val="21"/>
        </w:rPr>
        <w:t>时，先在断面尺寸、坡度变化点或者有支沟（支管）汇入处分段，应分别计算各段的汇流历时后再叠加而得，并应按下式计算：</w:t>
      </w:r>
    </w:p>
    <w:p w14:paraId="4423F0B2">
      <w:pPr>
        <w:spacing w:line="360" w:lineRule="auto"/>
        <w:ind w:firstLine="420"/>
        <w:jc w:val="right"/>
        <w:rPr>
          <w:rFonts w:ascii="Times New Roman" w:hAnsi="Times New Roman" w:cs="Times New Roman"/>
          <w:sz w:val="21"/>
          <w:szCs w:val="21"/>
        </w:rPr>
      </w:pPr>
      <w:r>
        <w:rPr>
          <w:rFonts w:ascii="Times New Roman" w:hAnsi="Times New Roman" w:cs="Times New Roman"/>
          <w:b/>
          <w:position w:val="-32"/>
          <w:sz w:val="21"/>
          <w:szCs w:val="21"/>
        </w:rPr>
        <w:drawing>
          <wp:inline distT="0" distB="0" distL="114300" distR="114300">
            <wp:extent cx="782955" cy="414655"/>
            <wp:effectExtent l="0" t="0" r="9525" b="12065"/>
            <wp:docPr id="151"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10"/>
                    <pic:cNvPicPr>
                      <a:picLocks noChangeAspect="1"/>
                    </pic:cNvPicPr>
                  </pic:nvPicPr>
                  <pic:blipFill>
                    <a:blip r:embed="rId193"/>
                    <a:stretch>
                      <a:fillRect/>
                    </a:stretch>
                  </pic:blipFill>
                  <pic:spPr>
                    <a:xfrm>
                      <a:off x="0" y="0"/>
                      <a:ext cx="782955" cy="414655"/>
                    </a:xfrm>
                    <a:prstGeom prst="rect">
                      <a:avLst/>
                    </a:prstGeom>
                    <a:noFill/>
                    <a:ln>
                      <a:noFill/>
                    </a:ln>
                  </pic:spPr>
                </pic:pic>
              </a:graphicData>
            </a:graphic>
          </wp:inline>
        </w:drawing>
      </w:r>
      <w:r>
        <w:rPr>
          <w:rFonts w:ascii="Times New Roman" w:hAnsi="Times New Roman" w:cs="Times New Roman"/>
          <w:sz w:val="21"/>
          <w:szCs w:val="21"/>
        </w:rPr>
        <w:t xml:space="preserve">                         （A.4.2-2）</w:t>
      </w:r>
    </w:p>
    <w:p w14:paraId="033F6883">
      <w:pPr>
        <w:spacing w:line="360" w:lineRule="auto"/>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b/>
          <w:position w:val="-12"/>
          <w:sz w:val="21"/>
          <w:szCs w:val="21"/>
        </w:rPr>
        <w:drawing>
          <wp:inline distT="0" distB="0" distL="114300" distR="114300">
            <wp:extent cx="131445" cy="226695"/>
            <wp:effectExtent l="0" t="0" r="5715" b="1270"/>
            <wp:docPr id="152"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11"/>
                    <pic:cNvPicPr>
                      <a:picLocks noChangeAspect="1"/>
                    </pic:cNvPicPr>
                  </pic:nvPicPr>
                  <pic:blipFill>
                    <a:blip r:embed="rId194"/>
                    <a:stretch>
                      <a:fillRect/>
                    </a:stretch>
                  </pic:blipFill>
                  <pic:spPr>
                    <a:xfrm>
                      <a:off x="0" y="0"/>
                      <a:ext cx="131445" cy="226695"/>
                    </a:xfrm>
                    <a:prstGeom prst="rect">
                      <a:avLst/>
                    </a:prstGeom>
                    <a:noFill/>
                    <a:ln>
                      <a:noFill/>
                    </a:ln>
                  </pic:spPr>
                </pic:pic>
              </a:graphicData>
            </a:graphic>
          </wp:inline>
        </w:drawing>
      </w:r>
      <w:r>
        <w:rPr>
          <w:rFonts w:ascii="Times New Roman" w:hAnsi="Times New Roman" w:cs="Times New Roman"/>
          <w:sz w:val="21"/>
          <w:szCs w:val="21"/>
        </w:rPr>
        <w:t>——沟（管）内汇流历时（min）；</w:t>
      </w:r>
    </w:p>
    <w:p w14:paraId="4DA40DDB">
      <w:pPr>
        <w:spacing w:line="360" w:lineRule="auto"/>
        <w:ind w:firstLine="630" w:firstLineChars="300"/>
        <w:jc w:val="left"/>
        <w:rPr>
          <w:rFonts w:ascii="Times New Roman" w:hAnsi="Times New Roman" w:cs="Times New Roman"/>
          <w:sz w:val="21"/>
          <w:szCs w:val="21"/>
        </w:rPr>
      </w:pPr>
      <w:r>
        <w:rPr>
          <w:rFonts w:ascii="Times New Roman" w:hAnsi="Times New Roman" w:cs="Times New Roman"/>
          <w:i/>
          <w:sz w:val="21"/>
          <w:szCs w:val="21"/>
        </w:rPr>
        <w:t>n、i</w:t>
      </w:r>
      <w:r>
        <w:rPr>
          <w:rFonts w:ascii="Times New Roman" w:hAnsi="Times New Roman" w:cs="Times New Roman"/>
          <w:sz w:val="21"/>
          <w:szCs w:val="21"/>
        </w:rPr>
        <w:t>——分段数和分段序号；</w:t>
      </w:r>
    </w:p>
    <w:p w14:paraId="2EAD0EB3">
      <w:pPr>
        <w:spacing w:line="360" w:lineRule="auto"/>
        <w:ind w:firstLine="658"/>
        <w:jc w:val="left"/>
        <w:rPr>
          <w:rFonts w:ascii="Times New Roman" w:hAnsi="Times New Roman" w:cs="Times New Roman"/>
          <w:sz w:val="21"/>
          <w:szCs w:val="21"/>
        </w:rPr>
      </w:pPr>
      <w:r>
        <w:rPr>
          <w:rFonts w:ascii="Times New Roman" w:hAnsi="Times New Roman" w:cs="Times New Roman"/>
          <w:i/>
          <w:sz w:val="21"/>
          <w:szCs w:val="21"/>
        </w:rPr>
        <w:t>l</w:t>
      </w:r>
      <w:r>
        <w:rPr>
          <w:rFonts w:ascii="Times New Roman" w:hAnsi="Times New Roman" w:cs="Times New Roman"/>
          <w:i/>
          <w:sz w:val="21"/>
          <w:szCs w:val="21"/>
          <w:vertAlign w:val="subscript"/>
        </w:rPr>
        <w:t>i</w:t>
      </w:r>
      <w:r>
        <w:rPr>
          <w:rFonts w:ascii="Times New Roman" w:hAnsi="Times New Roman" w:cs="Times New Roman"/>
          <w:sz w:val="21"/>
          <w:szCs w:val="21"/>
        </w:rPr>
        <w:t>——第</w:t>
      </w:r>
      <w:r>
        <w:rPr>
          <w:rFonts w:ascii="Times New Roman" w:hAnsi="Times New Roman" w:cs="Times New Roman"/>
          <w:i/>
          <w:sz w:val="21"/>
          <w:szCs w:val="21"/>
        </w:rPr>
        <w:t>i</w:t>
      </w:r>
      <w:r>
        <w:rPr>
          <w:rFonts w:ascii="Times New Roman" w:hAnsi="Times New Roman" w:cs="Times New Roman"/>
          <w:sz w:val="21"/>
          <w:szCs w:val="21"/>
        </w:rPr>
        <w:t>段的长度（m）；</w:t>
      </w:r>
    </w:p>
    <w:p w14:paraId="6416CF1B">
      <w:pPr>
        <w:spacing w:line="360" w:lineRule="auto"/>
        <w:ind w:firstLine="630"/>
        <w:jc w:val="left"/>
        <w:rPr>
          <w:rFonts w:ascii="Times New Roman" w:hAnsi="Times New Roman" w:cs="Times New Roman"/>
          <w:sz w:val="21"/>
          <w:szCs w:val="21"/>
        </w:rPr>
      </w:pPr>
      <w:r>
        <w:rPr>
          <w:rFonts w:ascii="Times New Roman" w:hAnsi="Times New Roman" w:cs="Times New Roman"/>
          <w:i/>
          <w:sz w:val="21"/>
          <w:szCs w:val="21"/>
        </w:rPr>
        <w:t>v</w:t>
      </w:r>
      <w:r>
        <w:rPr>
          <w:rFonts w:ascii="Times New Roman" w:hAnsi="Times New Roman" w:cs="Times New Roman"/>
          <w:i/>
          <w:sz w:val="21"/>
          <w:szCs w:val="21"/>
          <w:vertAlign w:val="subscript"/>
        </w:rPr>
        <w:t>i</w:t>
      </w:r>
      <w:r>
        <w:rPr>
          <w:rFonts w:ascii="Times New Roman" w:hAnsi="Times New Roman" w:cs="Times New Roman"/>
          <w:sz w:val="21"/>
          <w:szCs w:val="21"/>
        </w:rPr>
        <w:t>——第</w:t>
      </w:r>
      <w:r>
        <w:rPr>
          <w:rFonts w:ascii="Times New Roman" w:hAnsi="Times New Roman" w:cs="Times New Roman"/>
          <w:i/>
          <w:sz w:val="21"/>
          <w:szCs w:val="21"/>
        </w:rPr>
        <w:t>i</w:t>
      </w:r>
      <w:r>
        <w:rPr>
          <w:rFonts w:ascii="Times New Roman" w:hAnsi="Times New Roman" w:cs="Times New Roman"/>
          <w:sz w:val="21"/>
          <w:szCs w:val="21"/>
        </w:rPr>
        <w:t>段的平均流速（m/s）。</w:t>
      </w:r>
    </w:p>
    <w:p w14:paraId="1B3F9354">
      <w:pPr>
        <w:spacing w:before="93" w:beforeLines="30" w:line="360" w:lineRule="auto"/>
        <w:ind w:firstLine="694" w:firstLineChars="329"/>
        <w:jc w:val="left"/>
        <w:rPr>
          <w:rFonts w:ascii="Times New Roman" w:hAnsi="Times New Roman" w:cs="Times New Roman"/>
          <w:sz w:val="21"/>
          <w:szCs w:val="21"/>
        </w:rPr>
      </w:pPr>
      <w:r>
        <w:rPr>
          <w:rFonts w:ascii="Times New Roman" w:hAnsi="Times New Roman" w:eastAsia="黑体" w:cs="Times New Roman"/>
          <w:b/>
          <w:bCs/>
          <w:sz w:val="21"/>
        </w:rPr>
        <w:t>1</w:t>
      </w:r>
      <w:r>
        <w:rPr>
          <w:rFonts w:hint="eastAsia" w:ascii="宋体" w:hAnsi="宋体"/>
          <w:sz w:val="21"/>
        </w:rPr>
        <w:t>）</w:t>
      </w:r>
      <w:r>
        <w:rPr>
          <w:rFonts w:ascii="Times New Roman" w:hAnsi="Times New Roman" w:cs="Times New Roman"/>
          <w:sz w:val="21"/>
          <w:szCs w:val="21"/>
        </w:rPr>
        <w:t>沟（管）平均流速</w:t>
      </w:r>
      <w:r>
        <w:rPr>
          <w:rFonts w:ascii="Times New Roman" w:hAnsi="Times New Roman" w:cs="Times New Roman"/>
          <w:i/>
          <w:sz w:val="21"/>
          <w:szCs w:val="21"/>
        </w:rPr>
        <w:t>v</w:t>
      </w:r>
      <w:r>
        <w:rPr>
          <w:rFonts w:ascii="Times New Roman" w:hAnsi="Times New Roman" w:cs="Times New Roman"/>
          <w:sz w:val="21"/>
          <w:szCs w:val="21"/>
        </w:rPr>
        <w:t>按下列公式计算：</w:t>
      </w:r>
    </w:p>
    <w:p w14:paraId="1B9F147C">
      <w:pPr>
        <w:spacing w:line="360" w:lineRule="auto"/>
        <w:ind w:firstLine="420"/>
        <w:jc w:val="right"/>
        <w:rPr>
          <w:rFonts w:ascii="Times New Roman" w:hAnsi="Times New Roman" w:cs="Times New Roman"/>
          <w:sz w:val="21"/>
          <w:szCs w:val="21"/>
        </w:rPr>
      </w:pPr>
      <w:r>
        <w:rPr>
          <w:rFonts w:ascii="Times New Roman" w:hAnsi="Times New Roman" w:cs="Times New Roman"/>
          <w:b/>
          <w:position w:val="-20"/>
          <w:sz w:val="21"/>
          <w:szCs w:val="21"/>
        </w:rPr>
        <w:drawing>
          <wp:inline distT="0" distB="0" distL="114300" distR="114300">
            <wp:extent cx="666115" cy="329565"/>
            <wp:effectExtent l="0" t="0" r="0" b="5080"/>
            <wp:docPr id="153"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12"/>
                    <pic:cNvPicPr>
                      <a:picLocks noChangeAspect="1"/>
                    </pic:cNvPicPr>
                  </pic:nvPicPr>
                  <pic:blipFill>
                    <a:blip r:embed="rId195"/>
                    <a:stretch>
                      <a:fillRect/>
                    </a:stretch>
                  </pic:blipFill>
                  <pic:spPr>
                    <a:xfrm>
                      <a:off x="0" y="0"/>
                      <a:ext cx="666115" cy="329565"/>
                    </a:xfrm>
                    <a:prstGeom prst="rect">
                      <a:avLst/>
                    </a:prstGeom>
                    <a:noFill/>
                    <a:ln>
                      <a:noFill/>
                    </a:ln>
                  </pic:spPr>
                </pic:pic>
              </a:graphicData>
            </a:graphic>
          </wp:inline>
        </w:drawing>
      </w:r>
      <w:r>
        <w:rPr>
          <w:rFonts w:ascii="Times New Roman" w:hAnsi="Times New Roman" w:cs="Times New Roman"/>
          <w:sz w:val="21"/>
          <w:szCs w:val="21"/>
        </w:rPr>
        <w:t xml:space="preserve">                         （A.4.2-3）</w:t>
      </w:r>
    </w:p>
    <w:p w14:paraId="48D298B6">
      <w:pPr>
        <w:spacing w:line="360" w:lineRule="auto"/>
        <w:ind w:right="11" w:firstLine="420"/>
        <w:jc w:val="right"/>
        <w:rPr>
          <w:rFonts w:ascii="Times New Roman" w:hAnsi="Times New Roman" w:cs="Times New Roman"/>
          <w:sz w:val="21"/>
          <w:szCs w:val="21"/>
        </w:rPr>
      </w:pPr>
      <w:r>
        <w:rPr>
          <w:rFonts w:ascii="Times New Roman" w:hAnsi="Times New Roman" w:cs="Times New Roman"/>
          <w:i/>
          <w:sz w:val="21"/>
          <w:szCs w:val="21"/>
        </w:rPr>
        <w:t>R</w:t>
      </w:r>
      <w:r>
        <w:rPr>
          <w:rFonts w:ascii="Times New Roman" w:hAnsi="Times New Roman" w:cs="Times New Roman"/>
          <w:sz w:val="21"/>
          <w:szCs w:val="21"/>
        </w:rPr>
        <w:t>=</w:t>
      </w:r>
      <w:r>
        <w:rPr>
          <w:rFonts w:ascii="Times New Roman" w:hAnsi="Times New Roman" w:cs="Times New Roman"/>
          <w:i/>
          <w:sz w:val="21"/>
          <w:szCs w:val="21"/>
        </w:rPr>
        <w:t>A</w:t>
      </w:r>
      <w:r>
        <w:rPr>
          <w:rFonts w:ascii="Times New Roman" w:hAnsi="Times New Roman" w:cs="Times New Roman"/>
          <w:sz w:val="21"/>
          <w:szCs w:val="21"/>
        </w:rPr>
        <w:t>/</w:t>
      </w:r>
      <w:r>
        <w:rPr>
          <w:rFonts w:ascii="Times New Roman" w:hAnsi="Times New Roman" w:cs="Times New Roman"/>
          <w:i/>
          <w:sz w:val="21"/>
          <w:szCs w:val="21"/>
        </w:rPr>
        <w:t>X</w:t>
      </w:r>
      <w:r>
        <w:rPr>
          <w:rFonts w:ascii="Times New Roman" w:hAnsi="Times New Roman" w:cs="Times New Roman"/>
          <w:sz w:val="21"/>
          <w:szCs w:val="21"/>
        </w:rPr>
        <w:t xml:space="preserve">                             （A.4.2-4）</w:t>
      </w:r>
    </w:p>
    <w:p w14:paraId="5E7DACFA">
      <w:pPr>
        <w:spacing w:line="360" w:lineRule="auto"/>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n</w:t>
      </w:r>
      <w:r>
        <w:rPr>
          <w:rFonts w:ascii="Times New Roman" w:hAnsi="Times New Roman" w:cs="Times New Roman"/>
          <w:sz w:val="21"/>
          <w:szCs w:val="21"/>
        </w:rPr>
        <w:t>——沟壁（管壁）的粗糙系数，按表A.</w:t>
      </w:r>
      <w:r>
        <w:rPr>
          <w:rFonts w:hint="eastAsia" w:ascii="Times New Roman" w:hAnsi="Times New Roman" w:cs="Times New Roman"/>
          <w:sz w:val="21"/>
          <w:szCs w:val="21"/>
        </w:rPr>
        <w:t>4</w:t>
      </w:r>
      <w:r>
        <w:rPr>
          <w:rFonts w:ascii="Times New Roman" w:hAnsi="Times New Roman" w:cs="Times New Roman"/>
          <w:sz w:val="21"/>
          <w:szCs w:val="21"/>
        </w:rPr>
        <w:t>.2-2确定；</w:t>
      </w:r>
    </w:p>
    <w:p w14:paraId="594D91DA">
      <w:pPr>
        <w:spacing w:line="360" w:lineRule="auto"/>
        <w:ind w:firstLine="615" w:firstLineChars="293"/>
        <w:jc w:val="left"/>
        <w:rPr>
          <w:rFonts w:ascii="Times New Roman" w:hAnsi="Times New Roman" w:cs="Times New Roman"/>
          <w:sz w:val="21"/>
          <w:szCs w:val="21"/>
        </w:rPr>
      </w:pPr>
      <w:r>
        <w:rPr>
          <w:rFonts w:ascii="Times New Roman" w:hAnsi="Times New Roman" w:cs="Times New Roman"/>
          <w:i/>
          <w:sz w:val="21"/>
          <w:szCs w:val="21"/>
        </w:rPr>
        <w:t>R</w:t>
      </w:r>
      <w:r>
        <w:rPr>
          <w:rFonts w:ascii="Times New Roman" w:hAnsi="Times New Roman" w:cs="Times New Roman"/>
          <w:sz w:val="21"/>
          <w:szCs w:val="21"/>
        </w:rPr>
        <w:t>——水力半径（m）；</w:t>
      </w:r>
    </w:p>
    <w:p w14:paraId="5A94DB94">
      <w:pPr>
        <w:spacing w:line="360" w:lineRule="auto"/>
        <w:ind w:firstLine="615" w:firstLineChars="293"/>
        <w:jc w:val="left"/>
        <w:rPr>
          <w:rFonts w:ascii="Times New Roman" w:hAnsi="Times New Roman" w:cs="Times New Roman"/>
          <w:i/>
          <w:sz w:val="21"/>
          <w:szCs w:val="21"/>
        </w:rPr>
      </w:pPr>
      <w:r>
        <w:rPr>
          <w:rFonts w:ascii="Times New Roman" w:hAnsi="Times New Roman" w:cs="Times New Roman"/>
          <w:i/>
          <w:sz w:val="21"/>
          <w:szCs w:val="21"/>
        </w:rPr>
        <w:t>X</w:t>
      </w:r>
      <w:r>
        <w:rPr>
          <w:rFonts w:ascii="Times New Roman" w:hAnsi="Times New Roman" w:cs="Times New Roman"/>
          <w:sz w:val="21"/>
          <w:szCs w:val="21"/>
        </w:rPr>
        <w:t>——过水断面湿周（m）；</w:t>
      </w:r>
    </w:p>
    <w:p w14:paraId="26FB6916">
      <w:pPr>
        <w:spacing w:line="360" w:lineRule="auto"/>
        <w:ind w:firstLine="615" w:firstLineChars="293"/>
        <w:jc w:val="left"/>
        <w:rPr>
          <w:rFonts w:ascii="Times New Roman" w:hAnsi="Times New Roman" w:cs="Times New Roman"/>
          <w:sz w:val="21"/>
          <w:szCs w:val="21"/>
        </w:rPr>
      </w:pPr>
      <w:r>
        <w:rPr>
          <w:rFonts w:ascii="Times New Roman" w:hAnsi="Times New Roman" w:cs="Times New Roman"/>
          <w:i/>
          <w:sz w:val="21"/>
          <w:szCs w:val="21"/>
        </w:rPr>
        <w:t>I</w:t>
      </w:r>
      <w:r>
        <w:rPr>
          <w:rFonts w:ascii="Times New Roman" w:hAnsi="Times New Roman" w:cs="Times New Roman"/>
          <w:sz w:val="21"/>
          <w:szCs w:val="21"/>
        </w:rPr>
        <w:t>——水力坡度，可取沟（管）的底坡，以小数计。</w:t>
      </w:r>
    </w:p>
    <w:p w14:paraId="3C01E38D">
      <w:pPr>
        <w:jc w:val="center"/>
        <w:rPr>
          <w:rFonts w:ascii="Times New Roman" w:hAnsi="Times New Roman" w:eastAsia="黑体" w:cs="Times New Roman"/>
          <w:sz w:val="18"/>
          <w:szCs w:val="18"/>
        </w:rPr>
      </w:pPr>
      <w:r>
        <w:rPr>
          <w:rFonts w:ascii="Times New Roman" w:hAnsi="Times New Roman" w:eastAsia="黑体" w:cs="Times New Roman"/>
          <w:sz w:val="18"/>
          <w:szCs w:val="18"/>
        </w:rPr>
        <w:t>表A</w:t>
      </w:r>
      <w:r>
        <w:rPr>
          <w:rFonts w:ascii="Times New Roman" w:hAnsi="Times New Roman" w:cs="Times New Roman"/>
          <w:sz w:val="18"/>
          <w:szCs w:val="18"/>
        </w:rPr>
        <w:t>.</w:t>
      </w:r>
      <w:r>
        <w:rPr>
          <w:rFonts w:ascii="Times New Roman" w:hAnsi="Times New Roman" w:eastAsia="黑体" w:cs="Times New Roman"/>
          <w:sz w:val="18"/>
          <w:szCs w:val="18"/>
        </w:rPr>
        <w:t>4</w:t>
      </w:r>
      <w:r>
        <w:rPr>
          <w:rFonts w:ascii="Times New Roman" w:hAnsi="Times New Roman" w:cs="Times New Roman"/>
          <w:sz w:val="18"/>
          <w:szCs w:val="18"/>
        </w:rPr>
        <w:t>.</w:t>
      </w:r>
      <w:r>
        <w:rPr>
          <w:rFonts w:ascii="Times New Roman" w:hAnsi="Times New Roman" w:eastAsia="黑体" w:cs="Times New Roman"/>
          <w:sz w:val="18"/>
          <w:szCs w:val="18"/>
        </w:rPr>
        <w:t>2-2  排水沟（管）壁的粗糙系数（</w:t>
      </w:r>
      <w:r>
        <w:rPr>
          <w:rFonts w:ascii="Times New Roman" w:hAnsi="Times New Roman" w:eastAsia="黑体" w:cs="Times New Roman"/>
          <w:i/>
          <w:sz w:val="18"/>
          <w:szCs w:val="18"/>
        </w:rPr>
        <w:t>n</w:t>
      </w:r>
      <w:r>
        <w:rPr>
          <w:rFonts w:ascii="Times New Roman" w:hAnsi="Times New Roman" w:eastAsia="黑体" w:cs="Times New Roman"/>
          <w:sz w:val="18"/>
          <w:szCs w:val="18"/>
        </w:rPr>
        <w:t>值）</w:t>
      </w:r>
    </w:p>
    <w:tbl>
      <w:tblPr>
        <w:tblStyle w:val="10"/>
        <w:tblW w:w="5022"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2405"/>
        <w:gridCol w:w="1874"/>
        <w:gridCol w:w="2331"/>
        <w:gridCol w:w="1949"/>
      </w:tblGrid>
      <w:tr w14:paraId="40E9141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79" w:hRule="exact"/>
          <w:jc w:val="center"/>
        </w:trPr>
        <w:tc>
          <w:tcPr>
            <w:tcW w:w="1405" w:type="pct"/>
            <w:vAlign w:val="center"/>
          </w:tcPr>
          <w:p w14:paraId="3D1124BD">
            <w:pPr>
              <w:jc w:val="center"/>
              <w:rPr>
                <w:rFonts w:ascii="Times New Roman" w:hAnsi="Times New Roman" w:cs="Times New Roman"/>
                <w:sz w:val="15"/>
                <w:szCs w:val="15"/>
              </w:rPr>
            </w:pPr>
            <w:r>
              <w:rPr>
                <w:rFonts w:ascii="Times New Roman" w:hAnsi="Times New Roman" w:cs="Times New Roman"/>
                <w:sz w:val="15"/>
                <w:szCs w:val="15"/>
              </w:rPr>
              <w:t>排水沟（管）类别</w:t>
            </w:r>
          </w:p>
        </w:tc>
        <w:tc>
          <w:tcPr>
            <w:tcW w:w="1095" w:type="pct"/>
            <w:vAlign w:val="center"/>
          </w:tcPr>
          <w:p w14:paraId="21C3343E">
            <w:pPr>
              <w:jc w:val="center"/>
              <w:rPr>
                <w:rFonts w:ascii="Times New Roman" w:hAnsi="Times New Roman" w:cs="Times New Roman"/>
                <w:sz w:val="15"/>
                <w:szCs w:val="15"/>
              </w:rPr>
            </w:pPr>
            <w:r>
              <w:rPr>
                <w:rFonts w:ascii="Times New Roman" w:hAnsi="Times New Roman" w:cs="Times New Roman"/>
                <w:sz w:val="15"/>
                <w:szCs w:val="15"/>
              </w:rPr>
              <w:t>粗糙系数</w:t>
            </w:r>
          </w:p>
        </w:tc>
        <w:tc>
          <w:tcPr>
            <w:tcW w:w="1362" w:type="pct"/>
            <w:vAlign w:val="center"/>
          </w:tcPr>
          <w:p w14:paraId="41B2811A">
            <w:pPr>
              <w:jc w:val="center"/>
              <w:rPr>
                <w:rFonts w:ascii="Times New Roman" w:hAnsi="Times New Roman" w:cs="Times New Roman"/>
                <w:sz w:val="15"/>
                <w:szCs w:val="15"/>
              </w:rPr>
            </w:pPr>
            <w:r>
              <w:rPr>
                <w:rFonts w:ascii="Times New Roman" w:hAnsi="Times New Roman" w:cs="Times New Roman"/>
                <w:sz w:val="15"/>
                <w:szCs w:val="15"/>
              </w:rPr>
              <w:t>排水沟（管）类别</w:t>
            </w:r>
          </w:p>
        </w:tc>
        <w:tc>
          <w:tcPr>
            <w:tcW w:w="1139" w:type="pct"/>
            <w:vAlign w:val="center"/>
          </w:tcPr>
          <w:p w14:paraId="55A55AE4">
            <w:pPr>
              <w:jc w:val="center"/>
              <w:rPr>
                <w:rFonts w:ascii="Times New Roman" w:hAnsi="Times New Roman" w:cs="Times New Roman"/>
                <w:sz w:val="15"/>
                <w:szCs w:val="15"/>
              </w:rPr>
            </w:pPr>
            <w:r>
              <w:rPr>
                <w:rFonts w:ascii="Times New Roman" w:hAnsi="Times New Roman" w:cs="Times New Roman"/>
                <w:sz w:val="15"/>
                <w:szCs w:val="15"/>
              </w:rPr>
              <w:t>粗度系数</w:t>
            </w:r>
          </w:p>
        </w:tc>
      </w:tr>
      <w:tr w14:paraId="017F14B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79" w:hRule="exact"/>
          <w:jc w:val="center"/>
        </w:trPr>
        <w:tc>
          <w:tcPr>
            <w:tcW w:w="1405" w:type="pct"/>
            <w:vAlign w:val="center"/>
          </w:tcPr>
          <w:p w14:paraId="693CC6AB">
            <w:pPr>
              <w:jc w:val="center"/>
              <w:rPr>
                <w:rFonts w:ascii="Times New Roman" w:hAnsi="Times New Roman" w:cs="Times New Roman"/>
                <w:sz w:val="15"/>
                <w:szCs w:val="15"/>
              </w:rPr>
            </w:pPr>
            <w:r>
              <w:rPr>
                <w:rFonts w:ascii="Times New Roman" w:hAnsi="Times New Roman" w:cs="Times New Roman"/>
                <w:sz w:val="15"/>
                <w:szCs w:val="15"/>
              </w:rPr>
              <w:t>塑料管（聚氯乙烯）</w:t>
            </w:r>
          </w:p>
        </w:tc>
        <w:tc>
          <w:tcPr>
            <w:tcW w:w="1095" w:type="pct"/>
            <w:vAlign w:val="center"/>
          </w:tcPr>
          <w:p w14:paraId="7EA833E1">
            <w:pPr>
              <w:jc w:val="center"/>
              <w:rPr>
                <w:rFonts w:ascii="Times New Roman" w:hAnsi="Times New Roman" w:cs="Times New Roman"/>
                <w:sz w:val="15"/>
                <w:szCs w:val="15"/>
              </w:rPr>
            </w:pPr>
            <w:r>
              <w:rPr>
                <w:rFonts w:ascii="Times New Roman" w:hAnsi="Times New Roman" w:cs="Times New Roman"/>
                <w:sz w:val="15"/>
                <w:szCs w:val="15"/>
              </w:rPr>
              <w:t>0.010</w:t>
            </w:r>
          </w:p>
        </w:tc>
        <w:tc>
          <w:tcPr>
            <w:tcW w:w="1362" w:type="pct"/>
            <w:vAlign w:val="center"/>
          </w:tcPr>
          <w:p w14:paraId="32A00A82">
            <w:pPr>
              <w:jc w:val="center"/>
              <w:rPr>
                <w:rFonts w:ascii="Times New Roman" w:hAnsi="Times New Roman" w:cs="Times New Roman"/>
                <w:sz w:val="15"/>
                <w:szCs w:val="15"/>
              </w:rPr>
            </w:pPr>
            <w:r>
              <w:rPr>
                <w:rFonts w:ascii="Times New Roman" w:hAnsi="Times New Roman" w:cs="Times New Roman"/>
                <w:sz w:val="15"/>
                <w:szCs w:val="15"/>
              </w:rPr>
              <w:t>植草皮明沟（</w:t>
            </w:r>
            <w:r>
              <w:rPr>
                <w:rFonts w:hint="eastAsia" w:ascii="Times New Roman" w:hAnsi="Times New Roman" w:cs="Times New Roman"/>
                <w:i/>
                <w:iCs/>
                <w:sz w:val="15"/>
                <w:szCs w:val="15"/>
              </w:rPr>
              <w:t>v</w:t>
            </w:r>
            <w:r>
              <w:rPr>
                <w:rFonts w:ascii="Times New Roman" w:hAnsi="Times New Roman" w:cs="Times New Roman"/>
                <w:sz w:val="15"/>
                <w:szCs w:val="15"/>
              </w:rPr>
              <w:t>＝1.8m/s）</w:t>
            </w:r>
          </w:p>
        </w:tc>
        <w:tc>
          <w:tcPr>
            <w:tcW w:w="1139" w:type="pct"/>
            <w:vAlign w:val="center"/>
          </w:tcPr>
          <w:p w14:paraId="032BE2BD">
            <w:pPr>
              <w:jc w:val="center"/>
              <w:rPr>
                <w:rFonts w:ascii="Times New Roman" w:hAnsi="Times New Roman" w:cs="Times New Roman"/>
                <w:sz w:val="15"/>
                <w:szCs w:val="15"/>
              </w:rPr>
            </w:pPr>
            <w:r>
              <w:rPr>
                <w:rFonts w:ascii="Times New Roman" w:hAnsi="Times New Roman" w:cs="Times New Roman"/>
                <w:sz w:val="15"/>
                <w:szCs w:val="15"/>
              </w:rPr>
              <w:t>0.050～0.090</w:t>
            </w:r>
          </w:p>
        </w:tc>
      </w:tr>
      <w:tr w14:paraId="7139BA3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79" w:hRule="exact"/>
          <w:jc w:val="center"/>
        </w:trPr>
        <w:tc>
          <w:tcPr>
            <w:tcW w:w="1405" w:type="pct"/>
            <w:vAlign w:val="center"/>
          </w:tcPr>
          <w:p w14:paraId="39233F8E">
            <w:pPr>
              <w:jc w:val="center"/>
              <w:rPr>
                <w:rFonts w:ascii="Times New Roman" w:hAnsi="Times New Roman" w:cs="Times New Roman"/>
                <w:sz w:val="15"/>
                <w:szCs w:val="15"/>
              </w:rPr>
            </w:pPr>
            <w:r>
              <w:rPr>
                <w:rFonts w:ascii="Times New Roman" w:hAnsi="Times New Roman" w:cs="Times New Roman"/>
                <w:sz w:val="15"/>
                <w:szCs w:val="15"/>
              </w:rPr>
              <w:t>石棉水泥管</w:t>
            </w:r>
          </w:p>
        </w:tc>
        <w:tc>
          <w:tcPr>
            <w:tcW w:w="1095" w:type="pct"/>
            <w:vAlign w:val="center"/>
          </w:tcPr>
          <w:p w14:paraId="0A8BB12A">
            <w:pPr>
              <w:jc w:val="center"/>
              <w:rPr>
                <w:rFonts w:ascii="Times New Roman" w:hAnsi="Times New Roman" w:cs="Times New Roman"/>
                <w:sz w:val="15"/>
                <w:szCs w:val="15"/>
              </w:rPr>
            </w:pPr>
            <w:r>
              <w:rPr>
                <w:rFonts w:ascii="Times New Roman" w:hAnsi="Times New Roman" w:cs="Times New Roman"/>
                <w:sz w:val="15"/>
                <w:szCs w:val="15"/>
              </w:rPr>
              <w:t>0.012</w:t>
            </w:r>
          </w:p>
        </w:tc>
        <w:tc>
          <w:tcPr>
            <w:tcW w:w="1362" w:type="pct"/>
            <w:vAlign w:val="center"/>
          </w:tcPr>
          <w:p w14:paraId="040C02DF">
            <w:pPr>
              <w:jc w:val="center"/>
              <w:rPr>
                <w:rFonts w:ascii="Times New Roman" w:hAnsi="Times New Roman" w:cs="Times New Roman"/>
                <w:sz w:val="15"/>
                <w:szCs w:val="15"/>
              </w:rPr>
            </w:pPr>
            <w:r>
              <w:rPr>
                <w:rFonts w:ascii="Times New Roman" w:hAnsi="Times New Roman" w:cs="Times New Roman"/>
                <w:sz w:val="15"/>
                <w:szCs w:val="15"/>
              </w:rPr>
              <w:t>浆砌石明沟</w:t>
            </w:r>
          </w:p>
        </w:tc>
        <w:tc>
          <w:tcPr>
            <w:tcW w:w="1139" w:type="pct"/>
            <w:vAlign w:val="center"/>
          </w:tcPr>
          <w:p w14:paraId="382447A9">
            <w:pPr>
              <w:jc w:val="center"/>
              <w:rPr>
                <w:rFonts w:ascii="Times New Roman" w:hAnsi="Times New Roman" w:cs="Times New Roman"/>
                <w:sz w:val="15"/>
                <w:szCs w:val="15"/>
              </w:rPr>
            </w:pPr>
            <w:r>
              <w:rPr>
                <w:rFonts w:ascii="Times New Roman" w:hAnsi="Times New Roman" w:cs="Times New Roman"/>
                <w:sz w:val="15"/>
                <w:szCs w:val="15"/>
              </w:rPr>
              <w:t>0.025</w:t>
            </w:r>
          </w:p>
        </w:tc>
      </w:tr>
      <w:tr w14:paraId="454D8BA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79" w:hRule="exact"/>
          <w:jc w:val="center"/>
        </w:trPr>
        <w:tc>
          <w:tcPr>
            <w:tcW w:w="1405" w:type="pct"/>
            <w:vAlign w:val="center"/>
          </w:tcPr>
          <w:p w14:paraId="5141D107">
            <w:pPr>
              <w:jc w:val="center"/>
              <w:rPr>
                <w:rFonts w:ascii="Times New Roman" w:hAnsi="Times New Roman" w:cs="Times New Roman"/>
                <w:sz w:val="15"/>
                <w:szCs w:val="15"/>
              </w:rPr>
            </w:pPr>
            <w:r>
              <w:rPr>
                <w:rFonts w:ascii="Times New Roman" w:hAnsi="Times New Roman" w:cs="Times New Roman"/>
                <w:sz w:val="15"/>
                <w:szCs w:val="15"/>
              </w:rPr>
              <w:t>铸铁管</w:t>
            </w:r>
          </w:p>
        </w:tc>
        <w:tc>
          <w:tcPr>
            <w:tcW w:w="1095" w:type="pct"/>
            <w:vAlign w:val="center"/>
          </w:tcPr>
          <w:p w14:paraId="67FB4ACD">
            <w:pPr>
              <w:jc w:val="center"/>
              <w:rPr>
                <w:rFonts w:ascii="Times New Roman" w:hAnsi="Times New Roman" w:cs="Times New Roman"/>
                <w:sz w:val="15"/>
                <w:szCs w:val="15"/>
              </w:rPr>
            </w:pPr>
            <w:r>
              <w:rPr>
                <w:rFonts w:ascii="Times New Roman" w:hAnsi="Times New Roman" w:cs="Times New Roman"/>
                <w:sz w:val="15"/>
                <w:szCs w:val="15"/>
              </w:rPr>
              <w:t>0.015</w:t>
            </w:r>
          </w:p>
        </w:tc>
        <w:tc>
          <w:tcPr>
            <w:tcW w:w="1362" w:type="pct"/>
            <w:vAlign w:val="center"/>
          </w:tcPr>
          <w:p w14:paraId="4163ECB4">
            <w:pPr>
              <w:jc w:val="center"/>
              <w:rPr>
                <w:rFonts w:ascii="Times New Roman" w:hAnsi="Times New Roman" w:cs="Times New Roman"/>
                <w:sz w:val="15"/>
                <w:szCs w:val="15"/>
              </w:rPr>
            </w:pPr>
            <w:r>
              <w:rPr>
                <w:rFonts w:ascii="Times New Roman" w:hAnsi="Times New Roman" w:cs="Times New Roman"/>
                <w:sz w:val="15"/>
                <w:szCs w:val="15"/>
              </w:rPr>
              <w:t>浆砌片石明沟</w:t>
            </w:r>
          </w:p>
        </w:tc>
        <w:tc>
          <w:tcPr>
            <w:tcW w:w="1139" w:type="pct"/>
            <w:vAlign w:val="center"/>
          </w:tcPr>
          <w:p w14:paraId="6D0F177E">
            <w:pPr>
              <w:jc w:val="center"/>
              <w:rPr>
                <w:rFonts w:ascii="Times New Roman" w:hAnsi="Times New Roman" w:cs="Times New Roman"/>
                <w:sz w:val="15"/>
                <w:szCs w:val="15"/>
              </w:rPr>
            </w:pPr>
            <w:r>
              <w:rPr>
                <w:rFonts w:ascii="Times New Roman" w:hAnsi="Times New Roman" w:cs="Times New Roman"/>
                <w:sz w:val="15"/>
                <w:szCs w:val="15"/>
              </w:rPr>
              <w:t>0.032</w:t>
            </w:r>
          </w:p>
        </w:tc>
      </w:tr>
      <w:tr w14:paraId="1C18249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79" w:hRule="exact"/>
          <w:jc w:val="center"/>
        </w:trPr>
        <w:tc>
          <w:tcPr>
            <w:tcW w:w="1405" w:type="pct"/>
            <w:vAlign w:val="center"/>
          </w:tcPr>
          <w:p w14:paraId="0E753276">
            <w:pPr>
              <w:jc w:val="center"/>
              <w:rPr>
                <w:rFonts w:ascii="Times New Roman" w:hAnsi="Times New Roman" w:cs="Times New Roman"/>
                <w:sz w:val="15"/>
                <w:szCs w:val="15"/>
              </w:rPr>
            </w:pPr>
            <w:r>
              <w:rPr>
                <w:rFonts w:ascii="Times New Roman" w:hAnsi="Times New Roman" w:cs="Times New Roman"/>
                <w:sz w:val="15"/>
                <w:szCs w:val="15"/>
              </w:rPr>
              <w:t>波纹管</w:t>
            </w:r>
          </w:p>
        </w:tc>
        <w:tc>
          <w:tcPr>
            <w:tcW w:w="1095" w:type="pct"/>
            <w:vAlign w:val="center"/>
          </w:tcPr>
          <w:p w14:paraId="4CDD706C">
            <w:pPr>
              <w:jc w:val="center"/>
              <w:rPr>
                <w:rFonts w:ascii="Times New Roman" w:hAnsi="Times New Roman" w:cs="Times New Roman"/>
                <w:sz w:val="15"/>
                <w:szCs w:val="15"/>
              </w:rPr>
            </w:pPr>
            <w:r>
              <w:rPr>
                <w:rFonts w:ascii="Times New Roman" w:hAnsi="Times New Roman" w:cs="Times New Roman"/>
                <w:sz w:val="15"/>
                <w:szCs w:val="15"/>
              </w:rPr>
              <w:t>0.027</w:t>
            </w:r>
          </w:p>
        </w:tc>
        <w:tc>
          <w:tcPr>
            <w:tcW w:w="1362" w:type="pct"/>
            <w:vAlign w:val="center"/>
          </w:tcPr>
          <w:p w14:paraId="446C8617">
            <w:pPr>
              <w:jc w:val="center"/>
              <w:rPr>
                <w:rFonts w:ascii="Times New Roman" w:hAnsi="Times New Roman" w:cs="Times New Roman"/>
                <w:sz w:val="15"/>
                <w:szCs w:val="15"/>
              </w:rPr>
            </w:pPr>
            <w:r>
              <w:rPr>
                <w:rFonts w:ascii="Times New Roman" w:hAnsi="Times New Roman" w:cs="Times New Roman"/>
                <w:sz w:val="15"/>
                <w:szCs w:val="15"/>
              </w:rPr>
              <w:t>水泥混凝土明沟（抹面）</w:t>
            </w:r>
          </w:p>
        </w:tc>
        <w:tc>
          <w:tcPr>
            <w:tcW w:w="1139" w:type="pct"/>
            <w:vAlign w:val="center"/>
          </w:tcPr>
          <w:p w14:paraId="6CDDBF06">
            <w:pPr>
              <w:jc w:val="center"/>
              <w:rPr>
                <w:rFonts w:ascii="Times New Roman" w:hAnsi="Times New Roman" w:cs="Times New Roman"/>
                <w:sz w:val="15"/>
                <w:szCs w:val="15"/>
              </w:rPr>
            </w:pPr>
            <w:r>
              <w:rPr>
                <w:rFonts w:ascii="Times New Roman" w:hAnsi="Times New Roman" w:cs="Times New Roman"/>
                <w:sz w:val="15"/>
                <w:szCs w:val="15"/>
              </w:rPr>
              <w:t>0.015</w:t>
            </w:r>
          </w:p>
        </w:tc>
      </w:tr>
      <w:tr w14:paraId="7A4DCA5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79" w:hRule="exact"/>
          <w:jc w:val="center"/>
        </w:trPr>
        <w:tc>
          <w:tcPr>
            <w:tcW w:w="1405" w:type="pct"/>
            <w:vAlign w:val="center"/>
          </w:tcPr>
          <w:p w14:paraId="76613ED8">
            <w:pPr>
              <w:jc w:val="center"/>
              <w:rPr>
                <w:rFonts w:ascii="Times New Roman" w:hAnsi="Times New Roman" w:cs="Times New Roman"/>
                <w:sz w:val="15"/>
                <w:szCs w:val="15"/>
              </w:rPr>
            </w:pPr>
            <w:r>
              <w:rPr>
                <w:rFonts w:ascii="Times New Roman" w:hAnsi="Times New Roman" w:cs="Times New Roman"/>
                <w:sz w:val="15"/>
                <w:szCs w:val="15"/>
              </w:rPr>
              <w:t>岩石质明沟</w:t>
            </w:r>
          </w:p>
        </w:tc>
        <w:tc>
          <w:tcPr>
            <w:tcW w:w="1095" w:type="pct"/>
            <w:vAlign w:val="center"/>
          </w:tcPr>
          <w:p w14:paraId="11BBB0FA">
            <w:pPr>
              <w:jc w:val="center"/>
              <w:rPr>
                <w:rFonts w:ascii="Times New Roman" w:hAnsi="Times New Roman" w:cs="Times New Roman"/>
                <w:sz w:val="15"/>
                <w:szCs w:val="15"/>
              </w:rPr>
            </w:pPr>
            <w:r>
              <w:rPr>
                <w:rFonts w:ascii="Times New Roman" w:hAnsi="Times New Roman" w:cs="Times New Roman"/>
                <w:sz w:val="15"/>
                <w:szCs w:val="15"/>
              </w:rPr>
              <w:t>0.035</w:t>
            </w:r>
          </w:p>
        </w:tc>
        <w:tc>
          <w:tcPr>
            <w:tcW w:w="1362" w:type="pct"/>
            <w:vAlign w:val="center"/>
          </w:tcPr>
          <w:p w14:paraId="080A0AC0">
            <w:pPr>
              <w:jc w:val="center"/>
              <w:rPr>
                <w:rFonts w:ascii="Times New Roman" w:hAnsi="Times New Roman" w:cs="Times New Roman"/>
                <w:sz w:val="15"/>
                <w:szCs w:val="15"/>
              </w:rPr>
            </w:pPr>
            <w:r>
              <w:rPr>
                <w:rFonts w:ascii="Times New Roman" w:hAnsi="Times New Roman" w:cs="Times New Roman"/>
                <w:sz w:val="15"/>
                <w:szCs w:val="15"/>
              </w:rPr>
              <w:t>水泥混凝土明沟（预制）</w:t>
            </w:r>
          </w:p>
        </w:tc>
        <w:tc>
          <w:tcPr>
            <w:tcW w:w="1139" w:type="pct"/>
            <w:vAlign w:val="center"/>
          </w:tcPr>
          <w:p w14:paraId="39A9034B">
            <w:pPr>
              <w:jc w:val="center"/>
              <w:rPr>
                <w:rFonts w:ascii="Times New Roman" w:hAnsi="Times New Roman" w:cs="Times New Roman"/>
                <w:sz w:val="15"/>
                <w:szCs w:val="15"/>
              </w:rPr>
            </w:pPr>
            <w:r>
              <w:rPr>
                <w:rFonts w:ascii="Times New Roman" w:hAnsi="Times New Roman" w:cs="Times New Roman"/>
                <w:sz w:val="15"/>
                <w:szCs w:val="15"/>
              </w:rPr>
              <w:t>0.012</w:t>
            </w:r>
          </w:p>
        </w:tc>
      </w:tr>
      <w:tr w14:paraId="0109E09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79" w:hRule="exact"/>
          <w:jc w:val="center"/>
        </w:trPr>
        <w:tc>
          <w:tcPr>
            <w:tcW w:w="1405" w:type="pct"/>
            <w:vAlign w:val="center"/>
          </w:tcPr>
          <w:p w14:paraId="1355E9FB">
            <w:pPr>
              <w:jc w:val="center"/>
              <w:rPr>
                <w:rFonts w:ascii="Times New Roman" w:hAnsi="Times New Roman" w:cs="Times New Roman"/>
                <w:sz w:val="15"/>
                <w:szCs w:val="15"/>
              </w:rPr>
            </w:pPr>
            <w:r>
              <w:rPr>
                <w:rFonts w:ascii="Times New Roman" w:hAnsi="Times New Roman" w:cs="Times New Roman"/>
                <w:sz w:val="15"/>
                <w:szCs w:val="15"/>
              </w:rPr>
              <w:t>植草皮明沟（</w:t>
            </w:r>
            <w:r>
              <w:rPr>
                <w:rFonts w:hint="eastAsia" w:ascii="Times New Roman" w:hAnsi="Times New Roman" w:cs="Times New Roman"/>
                <w:i/>
                <w:iCs/>
                <w:sz w:val="15"/>
                <w:szCs w:val="15"/>
              </w:rPr>
              <w:t>v</w:t>
            </w:r>
            <w:r>
              <w:rPr>
                <w:rFonts w:ascii="Times New Roman" w:hAnsi="Times New Roman" w:cs="Times New Roman"/>
                <w:sz w:val="15"/>
                <w:szCs w:val="15"/>
              </w:rPr>
              <w:t>＝0.6m/s）</w:t>
            </w:r>
          </w:p>
        </w:tc>
        <w:tc>
          <w:tcPr>
            <w:tcW w:w="1095" w:type="pct"/>
            <w:vAlign w:val="center"/>
          </w:tcPr>
          <w:p w14:paraId="15167024">
            <w:pPr>
              <w:jc w:val="center"/>
              <w:rPr>
                <w:rFonts w:ascii="Times New Roman" w:hAnsi="Times New Roman" w:cs="Times New Roman"/>
                <w:sz w:val="15"/>
                <w:szCs w:val="15"/>
              </w:rPr>
            </w:pPr>
            <w:r>
              <w:rPr>
                <w:rFonts w:ascii="Times New Roman" w:hAnsi="Times New Roman" w:cs="Times New Roman"/>
                <w:sz w:val="15"/>
                <w:szCs w:val="15"/>
              </w:rPr>
              <w:t>0.035～0.050</w:t>
            </w:r>
          </w:p>
        </w:tc>
        <w:tc>
          <w:tcPr>
            <w:tcW w:w="1362" w:type="pct"/>
            <w:vAlign w:val="center"/>
          </w:tcPr>
          <w:p w14:paraId="00375C2A">
            <w:pPr>
              <w:jc w:val="center"/>
              <w:rPr>
                <w:rFonts w:ascii="Times New Roman" w:hAnsi="Times New Roman" w:cs="Times New Roman"/>
                <w:sz w:val="15"/>
                <w:szCs w:val="15"/>
              </w:rPr>
            </w:pPr>
          </w:p>
        </w:tc>
        <w:tc>
          <w:tcPr>
            <w:tcW w:w="1139" w:type="pct"/>
            <w:vAlign w:val="center"/>
          </w:tcPr>
          <w:p w14:paraId="18D74604">
            <w:pPr>
              <w:jc w:val="center"/>
              <w:rPr>
                <w:rFonts w:ascii="Times New Roman" w:hAnsi="Times New Roman" w:cs="Times New Roman"/>
                <w:sz w:val="15"/>
                <w:szCs w:val="15"/>
              </w:rPr>
            </w:pPr>
          </w:p>
        </w:tc>
      </w:tr>
    </w:tbl>
    <w:p w14:paraId="4D555D0C">
      <w:pPr>
        <w:spacing w:before="156" w:beforeLines="50" w:line="360" w:lineRule="auto"/>
        <w:ind w:firstLine="694" w:firstLineChars="329"/>
        <w:jc w:val="left"/>
        <w:rPr>
          <w:rFonts w:ascii="Times New Roman" w:hAnsi="Times New Roman" w:cs="Times New Roman"/>
          <w:sz w:val="21"/>
        </w:rPr>
      </w:pPr>
      <w:r>
        <w:rPr>
          <w:rFonts w:ascii="Times New Roman" w:hAnsi="Times New Roman" w:eastAsia="黑体" w:cs="Times New Roman"/>
          <w:b/>
          <w:bCs/>
          <w:sz w:val="21"/>
        </w:rPr>
        <w:t>2</w:t>
      </w:r>
      <w:r>
        <w:rPr>
          <w:rFonts w:hint="eastAsia" w:ascii="宋体" w:hAnsi="宋体"/>
          <w:sz w:val="21"/>
        </w:rPr>
        <w:t>）</w:t>
      </w:r>
      <w:r>
        <w:rPr>
          <w:rFonts w:ascii="Times New Roman" w:hAnsi="Times New Roman" w:cs="Times New Roman"/>
          <w:sz w:val="21"/>
          <w:szCs w:val="21"/>
        </w:rPr>
        <w:t>沟（管）平均流速</w:t>
      </w:r>
      <w:r>
        <w:rPr>
          <w:rFonts w:ascii="Times New Roman" w:hAnsi="Times New Roman" w:cs="Times New Roman"/>
          <w:i/>
          <w:sz w:val="21"/>
          <w:szCs w:val="21"/>
        </w:rPr>
        <w:t>v</w:t>
      </w:r>
      <w:r>
        <w:rPr>
          <w:rFonts w:ascii="Times New Roman" w:hAnsi="Times New Roman" w:cs="Times New Roman"/>
          <w:sz w:val="21"/>
        </w:rPr>
        <w:t>也可采用下式估算：</w:t>
      </w:r>
    </w:p>
    <w:p w14:paraId="1B883B32">
      <w:pPr>
        <w:spacing w:line="360" w:lineRule="auto"/>
        <w:ind w:firstLine="567"/>
        <w:jc w:val="right"/>
        <w:rPr>
          <w:rFonts w:ascii="Times New Roman" w:hAnsi="Times New Roman" w:cs="Times New Roman"/>
          <w:sz w:val="21"/>
        </w:rPr>
      </w:pPr>
      <w:r>
        <w:rPr>
          <w:rFonts w:ascii="Times New Roman" w:hAnsi="Times New Roman" w:cs="Times New Roman"/>
          <w:b/>
          <w:position w:val="-12"/>
          <w:sz w:val="21"/>
        </w:rPr>
        <w:drawing>
          <wp:inline distT="0" distB="0" distL="114300" distR="114300">
            <wp:extent cx="600075" cy="281305"/>
            <wp:effectExtent l="0" t="0" r="0" b="0"/>
            <wp:docPr id="156"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13"/>
                    <pic:cNvPicPr>
                      <a:picLocks noChangeAspect="1"/>
                    </pic:cNvPicPr>
                  </pic:nvPicPr>
                  <pic:blipFill>
                    <a:blip r:embed="rId196"/>
                    <a:stretch>
                      <a:fillRect/>
                    </a:stretch>
                  </pic:blipFill>
                  <pic:spPr>
                    <a:xfrm>
                      <a:off x="0" y="0"/>
                      <a:ext cx="600075" cy="281305"/>
                    </a:xfrm>
                    <a:prstGeom prst="rect">
                      <a:avLst/>
                    </a:prstGeom>
                    <a:noFill/>
                    <a:ln>
                      <a:noFill/>
                    </a:ln>
                  </pic:spPr>
                </pic:pic>
              </a:graphicData>
            </a:graphic>
          </wp:inline>
        </w:drawing>
      </w:r>
      <w:r>
        <w:rPr>
          <w:rFonts w:ascii="Times New Roman" w:hAnsi="Times New Roman" w:cs="Times New Roman"/>
          <w:sz w:val="21"/>
        </w:rPr>
        <w:t xml:space="preserve">                           （A.4.2-5）</w:t>
      </w:r>
    </w:p>
    <w:p w14:paraId="686C8453">
      <w:pPr>
        <w:spacing w:line="360" w:lineRule="auto"/>
        <w:jc w:val="left"/>
        <w:rPr>
          <w:rFonts w:ascii="Times New Roman" w:hAnsi="Times New Roman" w:cs="Times New Roman"/>
          <w:sz w:val="21"/>
          <w:szCs w:val="21"/>
        </w:rPr>
      </w:pPr>
      <w:r>
        <w:rPr>
          <w:rFonts w:ascii="Times New Roman" w:hAnsi="Times New Roman" w:cs="Times New Roman"/>
          <w:sz w:val="21"/>
        </w:rPr>
        <w:t>式中：</w:t>
      </w:r>
      <w:r>
        <w:rPr>
          <w:rFonts w:ascii="Times New Roman" w:hAnsi="Times New Roman" w:cs="Times New Roman"/>
          <w:i/>
          <w:sz w:val="21"/>
        </w:rPr>
        <w:t>i</w:t>
      </w:r>
      <w:r>
        <w:rPr>
          <w:rFonts w:ascii="Times New Roman" w:hAnsi="Times New Roman" w:cs="Times New Roman"/>
          <w:i/>
          <w:sz w:val="21"/>
          <w:vertAlign w:val="subscript"/>
        </w:rPr>
        <w:t>g</w:t>
      </w:r>
      <w:r>
        <w:rPr>
          <w:rFonts w:ascii="Times New Roman" w:hAnsi="Times New Roman" w:cs="Times New Roman"/>
          <w:sz w:val="21"/>
        </w:rPr>
        <w:t>——该段排水沟（管）的平均坡度。</w:t>
      </w:r>
    </w:p>
    <w:p w14:paraId="54B8E20E">
      <w:pPr>
        <w:spacing w:line="360" w:lineRule="auto"/>
        <w:jc w:val="left"/>
        <w:rPr>
          <w:rFonts w:ascii="Times New Roman" w:hAnsi="Times New Roman" w:cs="Times New Roman"/>
          <w:sz w:val="21"/>
          <w:szCs w:val="21"/>
        </w:rPr>
      </w:pPr>
      <w:r>
        <w:rPr>
          <w:rFonts w:ascii="Times New Roman" w:hAnsi="Times New Roman" w:eastAsia="黑体" w:cs="Times New Roman"/>
          <w:b/>
          <w:sz w:val="21"/>
        </w:rPr>
        <w:t>A</w:t>
      </w:r>
      <w:r>
        <w:rPr>
          <w:rFonts w:ascii="Times New Roman" w:hAnsi="Times New Roman" w:cs="Times New Roman"/>
          <w:b/>
          <w:sz w:val="21"/>
        </w:rPr>
        <w:t>.</w:t>
      </w:r>
      <w:r>
        <w:rPr>
          <w:rFonts w:ascii="Times New Roman" w:hAnsi="Times New Roman" w:eastAsia="黑体" w:cs="Times New Roman"/>
          <w:b/>
          <w:sz w:val="21"/>
        </w:rPr>
        <w:t>4</w:t>
      </w:r>
      <w:r>
        <w:rPr>
          <w:rFonts w:ascii="Times New Roman" w:hAnsi="Times New Roman" w:cs="Times New Roman"/>
          <w:b/>
          <w:sz w:val="21"/>
        </w:rPr>
        <w:t>.</w:t>
      </w:r>
      <w:r>
        <w:rPr>
          <w:rFonts w:ascii="Times New Roman" w:hAnsi="Times New Roman" w:eastAsia="黑体" w:cs="Times New Roman"/>
          <w:b/>
          <w:sz w:val="21"/>
        </w:rPr>
        <w:t>3</w:t>
      </w:r>
      <w:r>
        <w:rPr>
          <w:rFonts w:ascii="Times New Roman" w:hAnsi="Times New Roman" w:cs="Times New Roman"/>
          <w:b/>
          <w:sz w:val="21"/>
          <w:szCs w:val="21"/>
        </w:rPr>
        <w:t xml:space="preserve">  </w:t>
      </w:r>
      <w:r>
        <w:rPr>
          <w:rFonts w:ascii="Times New Roman" w:hAnsi="Times New Roman" w:cs="Times New Roman"/>
          <w:sz w:val="21"/>
          <w:szCs w:val="21"/>
        </w:rPr>
        <w:t>黄土高原或具备超渗产流条件的梯田工程，其坡面截排水沟设计流量计算可按下式计算：</w:t>
      </w:r>
    </w:p>
    <w:p w14:paraId="619F437A">
      <w:pPr>
        <w:spacing w:line="360" w:lineRule="auto"/>
        <w:jc w:val="right"/>
        <w:rPr>
          <w:rFonts w:ascii="Times New Roman" w:hAnsi="Times New Roman" w:cs="Times New Roman"/>
          <w:sz w:val="21"/>
          <w:szCs w:val="21"/>
        </w:rPr>
      </w:pPr>
      <w:r>
        <w:rPr>
          <w:rFonts w:ascii="Times New Roman" w:hAnsi="Times New Roman" w:cs="Times New Roman"/>
          <w:b/>
          <w:position w:val="-24"/>
          <w:sz w:val="21"/>
          <w:szCs w:val="21"/>
        </w:rPr>
        <w:object>
          <v:shape id="_x0000_i1097" o:spt="75" type="#_x0000_t75" style="height:23.4pt;width:59.4pt;" o:ole="t" filled="f" o:preferrelative="t" stroked="f" coordsize="21600,21600">
            <v:path/>
            <v:fill on="f" focussize="0,0"/>
            <v:stroke on="f" joinstyle="miter"/>
            <v:imagedata r:id="rId198" o:title=""/>
            <o:lock v:ext="edit" aspectratio="t"/>
            <w10:wrap type="none"/>
            <w10:anchorlock/>
          </v:shape>
          <o:OLEObject Type="Embed" ProgID="Equation.3" ShapeID="_x0000_i1097" DrawAspect="Content" ObjectID="_1468075794" r:id="rId197">
            <o:LockedField>false</o:LockedField>
          </o:OLEObject>
        </w:object>
      </w:r>
      <w:r>
        <w:rPr>
          <w:rFonts w:ascii="Times New Roman" w:hAnsi="Times New Roman" w:cs="Times New Roman"/>
          <w:sz w:val="21"/>
          <w:szCs w:val="21"/>
        </w:rPr>
        <w:t xml:space="preserve">                          （A.4.3）</w:t>
      </w:r>
    </w:p>
    <w:p w14:paraId="7E379065">
      <w:pPr>
        <w:spacing w:line="360" w:lineRule="auto"/>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Q</w:t>
      </w:r>
      <w:r>
        <w:rPr>
          <w:rFonts w:ascii="Times New Roman" w:hAnsi="Times New Roman" w:cs="Times New Roman"/>
          <w:sz w:val="21"/>
          <w:szCs w:val="21"/>
        </w:rPr>
        <w:t>——设计最大流量（m</w:t>
      </w:r>
      <w:r>
        <w:rPr>
          <w:rFonts w:ascii="Times New Roman" w:hAnsi="Times New Roman" w:cs="Times New Roman"/>
          <w:sz w:val="21"/>
          <w:szCs w:val="21"/>
          <w:vertAlign w:val="superscript"/>
        </w:rPr>
        <w:t>3</w:t>
      </w:r>
      <w:r>
        <w:rPr>
          <w:rFonts w:ascii="Times New Roman" w:hAnsi="Times New Roman" w:cs="Times New Roman"/>
          <w:sz w:val="21"/>
          <w:szCs w:val="21"/>
        </w:rPr>
        <w:t>/s）；</w:t>
      </w:r>
    </w:p>
    <w:p w14:paraId="232765F0">
      <w:pPr>
        <w:spacing w:line="360" w:lineRule="auto"/>
        <w:ind w:firstLine="632" w:firstLineChars="300"/>
        <w:jc w:val="left"/>
        <w:rPr>
          <w:rFonts w:ascii="Times New Roman" w:hAnsi="Times New Roman" w:cs="Times New Roman"/>
          <w:sz w:val="21"/>
          <w:szCs w:val="21"/>
        </w:rPr>
      </w:pPr>
      <w:r>
        <w:rPr>
          <w:rFonts w:ascii="Times New Roman" w:hAnsi="Times New Roman" w:cs="Times New Roman"/>
          <w:b/>
          <w:sz w:val="21"/>
          <w:szCs w:val="21"/>
        </w:rPr>
        <w:object>
          <v:shape id="_x0000_i1098" o:spt="75" type="#_x0000_t75" style="height:16.2pt;width:11.4pt;" o:ole="t" filled="f" o:preferrelative="t" stroked="f" coordsize="21600,21600">
            <v:path/>
            <v:fill on="f" focussize="0,0"/>
            <v:stroke on="f" joinstyle="miter"/>
            <v:imagedata r:id="rId200" o:title=""/>
            <o:lock v:ext="edit" aspectratio="t"/>
            <w10:wrap type="none"/>
            <w10:anchorlock/>
          </v:shape>
          <o:OLEObject Type="Embed" ProgID="Equation.3" ShapeID="_x0000_i1098" DrawAspect="Content" ObjectID="_1468075795" r:id="rId199">
            <o:LockedField>false</o:LockedField>
          </o:OLEObject>
        </w:object>
      </w:r>
      <w:r>
        <w:rPr>
          <w:rFonts w:ascii="Times New Roman" w:hAnsi="Times New Roman" w:cs="Times New Roman"/>
          <w:sz w:val="21"/>
          <w:szCs w:val="21"/>
        </w:rPr>
        <w:t>——设计频率短历时暴雨（mm/min）；</w:t>
      </w:r>
    </w:p>
    <w:p w14:paraId="2D175F95">
      <w:pPr>
        <w:spacing w:line="360" w:lineRule="auto"/>
        <w:ind w:firstLine="630" w:firstLineChars="300"/>
        <w:jc w:val="left"/>
        <w:rPr>
          <w:rFonts w:ascii="Times New Roman" w:hAnsi="Times New Roman" w:cs="Times New Roman"/>
          <w:bCs/>
          <w:sz w:val="21"/>
          <w:szCs w:val="21"/>
        </w:rPr>
      </w:pPr>
      <w:r>
        <w:rPr>
          <w:rFonts w:ascii="Times New Roman" w:hAnsi="Times New Roman" w:cs="Times New Roman"/>
          <w:bCs/>
          <w:sz w:val="21"/>
          <w:szCs w:val="21"/>
        </w:rPr>
        <w:object>
          <v:shape id="_x0000_i1099" o:spt="75" type="#_x0000_t75" style="height:19.8pt;width:14.4pt;" o:ole="t" filled="f" o:preferrelative="t" stroked="f" coordsize="21600,21600">
            <v:path/>
            <v:fill on="f" focussize="0,0"/>
            <v:stroke on="f" joinstyle="miter"/>
            <v:imagedata r:id="rId202" o:title=""/>
            <o:lock v:ext="edit" aspectratio="t"/>
            <w10:wrap type="none"/>
            <w10:anchorlock/>
          </v:shape>
          <o:OLEObject Type="Embed" ProgID="Equation.3" ShapeID="_x0000_i1099" DrawAspect="Content" ObjectID="_1468075796" r:id="rId201">
            <o:LockedField>false</o:LockedField>
          </o:OLEObject>
        </w:object>
      </w:r>
      <w:r>
        <w:rPr>
          <w:rFonts w:ascii="Times New Roman" w:hAnsi="Times New Roman" w:cs="Times New Roman"/>
          <w:bCs/>
          <w:sz w:val="21"/>
          <w:szCs w:val="21"/>
        </w:rPr>
        <w:t>——相应时段土壤平均入渗强度（mm/min）；</w:t>
      </w:r>
    </w:p>
    <w:p w14:paraId="436F66B0">
      <w:pPr>
        <w:spacing w:line="360" w:lineRule="auto"/>
        <w:ind w:firstLine="659" w:firstLineChars="314"/>
        <w:jc w:val="left"/>
        <w:rPr>
          <w:rFonts w:ascii="Times New Roman" w:hAnsi="Times New Roman" w:cs="Times New Roman"/>
          <w:bCs/>
          <w:sz w:val="21"/>
          <w:szCs w:val="21"/>
        </w:rPr>
        <w:sectPr>
          <w:footerReference r:id="rId14" w:type="default"/>
          <w:pgSz w:w="11906" w:h="16838"/>
          <w:pgMar w:top="1440" w:right="1800" w:bottom="1440" w:left="1800" w:header="851" w:footer="992" w:gutter="0"/>
          <w:cols w:space="425" w:num="1"/>
          <w:docGrid w:type="lines" w:linePitch="312" w:charSpace="0"/>
        </w:sectPr>
      </w:pPr>
      <w:r>
        <w:rPr>
          <w:rFonts w:ascii="Times New Roman" w:hAnsi="Times New Roman" w:cs="Times New Roman"/>
          <w:bCs/>
          <w:i/>
          <w:iCs/>
          <w:sz w:val="21"/>
          <w:szCs w:val="21"/>
        </w:rPr>
        <w:t>F</w:t>
      </w:r>
      <w:r>
        <w:rPr>
          <w:rFonts w:ascii="Times New Roman" w:hAnsi="Times New Roman" w:cs="Times New Roman"/>
          <w:bCs/>
          <w:sz w:val="21"/>
          <w:szCs w:val="21"/>
        </w:rPr>
        <w:t>——坡面汇水面积（hm</w:t>
      </w:r>
      <w:r>
        <w:rPr>
          <w:rFonts w:ascii="Times New Roman" w:hAnsi="Times New Roman" w:cs="Times New Roman"/>
          <w:bCs/>
          <w:sz w:val="21"/>
          <w:szCs w:val="21"/>
          <w:vertAlign w:val="superscript"/>
        </w:rPr>
        <w:t>2</w:t>
      </w:r>
      <w:r>
        <w:rPr>
          <w:rFonts w:ascii="Times New Roman" w:hAnsi="Times New Roman" w:cs="Times New Roman"/>
          <w:bCs/>
          <w:sz w:val="21"/>
          <w:szCs w:val="21"/>
        </w:rPr>
        <w:t>）。</w:t>
      </w:r>
      <w:bookmarkStart w:id="613" w:name="_Toc310842179"/>
      <w:bookmarkEnd w:id="613"/>
      <w:bookmarkStart w:id="614" w:name="_Toc324287632"/>
      <w:bookmarkEnd w:id="614"/>
      <w:bookmarkStart w:id="615" w:name="_Toc319591635"/>
      <w:bookmarkEnd w:id="615"/>
      <w:bookmarkStart w:id="616" w:name="_Toc360528914"/>
      <w:bookmarkEnd w:id="616"/>
      <w:bookmarkStart w:id="617" w:name="_Toc323828714"/>
      <w:bookmarkEnd w:id="617"/>
      <w:bookmarkStart w:id="618" w:name="_Toc304387141"/>
      <w:bookmarkEnd w:id="618"/>
      <w:bookmarkStart w:id="619" w:name="_Toc310525389"/>
      <w:bookmarkEnd w:id="619"/>
      <w:bookmarkStart w:id="620" w:name="_Toc323805678"/>
      <w:bookmarkEnd w:id="620"/>
      <w:bookmarkStart w:id="621" w:name="_Toc319512894"/>
      <w:bookmarkEnd w:id="621"/>
      <w:bookmarkStart w:id="622" w:name="_Toc360526320"/>
      <w:bookmarkEnd w:id="622"/>
      <w:bookmarkStart w:id="623" w:name="_Toc304365750"/>
      <w:bookmarkEnd w:id="623"/>
      <w:bookmarkStart w:id="624" w:name="_Toc324282340"/>
      <w:bookmarkEnd w:id="624"/>
      <w:bookmarkStart w:id="625" w:name="_Toc324280305"/>
      <w:bookmarkEnd w:id="625"/>
    </w:p>
    <w:p w14:paraId="384B027F">
      <w:pPr>
        <w:keepNext/>
        <w:keepLines/>
        <w:spacing w:before="340" w:after="330" w:line="578" w:lineRule="auto"/>
        <w:jc w:val="center"/>
        <w:outlineLvl w:val="0"/>
        <w:rPr>
          <w:rFonts w:ascii="Times New Roman" w:hAnsi="Times New Roman" w:eastAsia="黑体" w:cs="Times New Roman"/>
          <w:bCs/>
          <w:kern w:val="44"/>
          <w:sz w:val="30"/>
          <w:szCs w:val="30"/>
        </w:rPr>
      </w:pPr>
      <w:bookmarkStart w:id="626" w:name="_Toc26238"/>
      <w:bookmarkStart w:id="627" w:name="_Toc554"/>
      <w:r>
        <w:rPr>
          <w:rFonts w:ascii="Times New Roman" w:hAnsi="Times New Roman" w:eastAsia="黑体" w:cs="Times New Roman"/>
          <w:bCs/>
          <w:kern w:val="44"/>
          <w:sz w:val="30"/>
          <w:szCs w:val="30"/>
        </w:rPr>
        <w:t>附录B 稳定计算</w:t>
      </w:r>
      <w:bookmarkEnd w:id="570"/>
      <w:bookmarkEnd w:id="626"/>
      <w:bookmarkEnd w:id="627"/>
    </w:p>
    <w:p w14:paraId="0749CEEA">
      <w:pPr>
        <w:spacing w:line="360" w:lineRule="auto"/>
        <w:rPr>
          <w:rFonts w:ascii="Times New Roman" w:hAnsi="Times New Roman" w:cs="Times New Roman"/>
          <w:sz w:val="21"/>
          <w:szCs w:val="21"/>
        </w:rPr>
      </w:pPr>
      <w:r>
        <w:rPr>
          <w:rFonts w:ascii="Times New Roman" w:hAnsi="Times New Roman" w:eastAsia="黑体" w:cs="Times New Roman"/>
          <w:b/>
          <w:sz w:val="21"/>
          <w:szCs w:val="21"/>
        </w:rPr>
        <w:t>B</w:t>
      </w:r>
      <w:r>
        <w:rPr>
          <w:rFonts w:ascii="Times New Roman" w:hAnsi="Times New Roman" w:cs="Times New Roman"/>
          <w:b/>
          <w:sz w:val="21"/>
          <w:szCs w:val="21"/>
        </w:rPr>
        <w:t>.</w:t>
      </w:r>
      <w:r>
        <w:rPr>
          <w:rFonts w:ascii="Times New Roman" w:hAnsi="Times New Roman" w:eastAsia="黑体" w:cs="Times New Roman"/>
          <w:b/>
          <w:sz w:val="21"/>
          <w:szCs w:val="21"/>
        </w:rPr>
        <w:t>0</w:t>
      </w:r>
      <w:r>
        <w:rPr>
          <w:rFonts w:ascii="Times New Roman" w:hAnsi="Times New Roman" w:cs="Times New Roman"/>
          <w:b/>
          <w:sz w:val="21"/>
          <w:szCs w:val="21"/>
        </w:rPr>
        <w:t>.</w:t>
      </w:r>
      <w:r>
        <w:rPr>
          <w:rFonts w:ascii="Times New Roman" w:hAnsi="Times New Roman" w:eastAsia="黑体" w:cs="Times New Roman"/>
          <w:b/>
          <w:sz w:val="21"/>
          <w:szCs w:val="21"/>
        </w:rPr>
        <w:t>1</w:t>
      </w:r>
      <w:r>
        <w:rPr>
          <w:rFonts w:ascii="Times New Roman" w:hAnsi="Times New Roman" w:cs="Times New Roman"/>
          <w:sz w:val="21"/>
          <w:szCs w:val="21"/>
        </w:rPr>
        <w:t xml:space="preserve">  对于水土流失综合治理工程中的淤地坝、拦沙坝、塘坝、滚水坝等，以及生产建设项目水土保持工程中的拦渣工程、拦洪工程及弃渣场应进行稳定计算。</w:t>
      </w:r>
    </w:p>
    <w:p w14:paraId="26BC4BCD">
      <w:pPr>
        <w:spacing w:line="360" w:lineRule="auto"/>
        <w:rPr>
          <w:rFonts w:ascii="Times New Roman" w:hAnsi="Times New Roman" w:cs="Times New Roman"/>
          <w:sz w:val="21"/>
          <w:szCs w:val="21"/>
        </w:rPr>
      </w:pPr>
      <w:r>
        <w:rPr>
          <w:rFonts w:ascii="Times New Roman" w:hAnsi="Times New Roman" w:eastAsia="黑体" w:cs="Times New Roman"/>
          <w:b/>
          <w:sz w:val="21"/>
          <w:szCs w:val="21"/>
        </w:rPr>
        <w:t>B</w:t>
      </w:r>
      <w:r>
        <w:rPr>
          <w:rFonts w:ascii="Times New Roman" w:hAnsi="Times New Roman" w:cs="Times New Roman"/>
          <w:b/>
          <w:sz w:val="21"/>
          <w:szCs w:val="21"/>
        </w:rPr>
        <w:t>.</w:t>
      </w:r>
      <w:r>
        <w:rPr>
          <w:rFonts w:ascii="Times New Roman" w:hAnsi="Times New Roman" w:eastAsia="黑体" w:cs="Times New Roman"/>
          <w:b/>
          <w:sz w:val="21"/>
          <w:szCs w:val="21"/>
        </w:rPr>
        <w:t>0</w:t>
      </w:r>
      <w:r>
        <w:rPr>
          <w:rFonts w:ascii="Times New Roman" w:hAnsi="Times New Roman" w:cs="Times New Roman"/>
          <w:b/>
          <w:sz w:val="21"/>
          <w:szCs w:val="21"/>
        </w:rPr>
        <w:t>.</w:t>
      </w:r>
      <w:r>
        <w:rPr>
          <w:rFonts w:ascii="Times New Roman" w:hAnsi="Times New Roman" w:eastAsia="黑体" w:cs="Times New Roman"/>
          <w:b/>
          <w:sz w:val="21"/>
          <w:szCs w:val="21"/>
        </w:rPr>
        <w:t>2</w:t>
      </w:r>
      <w:r>
        <w:rPr>
          <w:rFonts w:ascii="Times New Roman" w:hAnsi="Times New Roman" w:cs="Times New Roman"/>
          <w:sz w:val="21"/>
          <w:szCs w:val="21"/>
        </w:rPr>
        <w:t xml:space="preserve">  稳定计算应符合下列规定：</w:t>
      </w:r>
    </w:p>
    <w:p w14:paraId="3ADCF5F1">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1</w:t>
      </w:r>
      <w:r>
        <w:rPr>
          <w:rFonts w:ascii="Times New Roman" w:hAnsi="Times New Roman" w:cs="Times New Roman"/>
          <w:sz w:val="21"/>
          <w:szCs w:val="21"/>
        </w:rPr>
        <w:t xml:space="preserve">  采用土（土石）等填筑材料的拦挡建筑物，应采用水力学方法、流网法或有限元法进行坝体渗流计算，确定坝体浸润线位置，计算渗流流量、平均流速和渗流逸出坡降，作为坝体稳定计算的依据，检验土体的渗流稳定，防止发生管涌和流土。</w:t>
      </w:r>
    </w:p>
    <w:p w14:paraId="5BB2C24D">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2</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坝坡整体稳定计算应进行运用期下游坝坡稳定计算。对于水坠坝应进行施工中、后期坝坡整体稳定及边埂自身稳定性计算。</w:t>
      </w:r>
    </w:p>
    <w:p w14:paraId="1640E7C6">
      <w:pPr>
        <w:spacing w:line="360" w:lineRule="auto"/>
        <w:ind w:firstLine="405" w:firstLineChars="192"/>
        <w:rPr>
          <w:rFonts w:ascii="Times New Roman" w:hAnsi="Times New Roman" w:cs="Times New Roman"/>
          <w:sz w:val="21"/>
          <w:szCs w:val="21"/>
        </w:rPr>
      </w:pPr>
      <w:r>
        <w:rPr>
          <w:rFonts w:ascii="Times New Roman" w:hAnsi="Times New Roman" w:eastAsia="黑体" w:cs="Times New Roman"/>
          <w:b/>
          <w:sz w:val="21"/>
          <w:szCs w:val="21"/>
        </w:rPr>
        <w:t>3</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坝坡抗滑稳定计算应采用刚体极限平衡法。对于非均质坝体，宜采用不计条块间作用力的圆弧滑动法；对于均质坝体，宜采用计及条块间作用力的简化毕肖普法；当坝基存在软弱夹层时，土坝的稳定分析通常采用改良圆弧法。当滑动面呈非圆弧形时，采用摩根斯顿—普赖斯法（滑动面呈非圆弧形）计算。</w:t>
      </w:r>
    </w:p>
    <w:p w14:paraId="3D76D9F8">
      <w:pPr>
        <w:spacing w:line="360" w:lineRule="auto"/>
        <w:ind w:firstLine="420" w:firstLineChars="200"/>
        <w:rPr>
          <w:rFonts w:ascii="Times New Roman" w:hAnsi="Times New Roman" w:cs="Times New Roman"/>
          <w:sz w:val="21"/>
          <w:szCs w:val="21"/>
        </w:rPr>
      </w:pPr>
      <w:r>
        <w:rPr>
          <w:rFonts w:ascii="Times New Roman" w:hAnsi="Times New Roman" w:cs="Times New Roman"/>
          <w:sz w:val="21"/>
          <w:szCs w:val="21"/>
        </w:rPr>
        <w:t>圆弧滑动（图B.0.2-1）稳定可按下列公式计算。</w:t>
      </w:r>
    </w:p>
    <w:p w14:paraId="4598E18D">
      <w:pPr>
        <w:jc w:val="center"/>
        <w:rPr>
          <w:rFonts w:ascii="Times New Roman" w:hAnsi="Times New Roman" w:cs="Times New Roman"/>
          <w:szCs w:val="28"/>
        </w:rPr>
      </w:pPr>
      <w:r>
        <w:rPr>
          <w:rFonts w:ascii="Times New Roman" w:hAnsi="Times New Roman" w:cs="Times New Roman"/>
          <w:b/>
          <w:szCs w:val="28"/>
        </w:rPr>
        <w:drawing>
          <wp:inline distT="0" distB="0" distL="114300" distR="114300">
            <wp:extent cx="2902585" cy="1811020"/>
            <wp:effectExtent l="0" t="0" r="8255" b="2540"/>
            <wp:docPr id="157" name="图片 88"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88" descr="111-1"/>
                    <pic:cNvPicPr>
                      <a:picLocks noChangeAspect="1"/>
                    </pic:cNvPicPr>
                  </pic:nvPicPr>
                  <pic:blipFill>
                    <a:blip r:embed="rId203"/>
                    <a:stretch>
                      <a:fillRect/>
                    </a:stretch>
                  </pic:blipFill>
                  <pic:spPr>
                    <a:xfrm>
                      <a:off x="0" y="0"/>
                      <a:ext cx="2902585" cy="1811020"/>
                    </a:xfrm>
                    <a:prstGeom prst="rect">
                      <a:avLst/>
                    </a:prstGeom>
                    <a:noFill/>
                    <a:ln>
                      <a:noFill/>
                    </a:ln>
                  </pic:spPr>
                </pic:pic>
              </a:graphicData>
            </a:graphic>
          </wp:inline>
        </w:drawing>
      </w:r>
    </w:p>
    <w:p w14:paraId="3FC24D00">
      <w:pPr>
        <w:ind w:firstLine="357"/>
        <w:jc w:val="center"/>
        <w:rPr>
          <w:rFonts w:ascii="Times New Roman" w:hAnsi="Times New Roman" w:eastAsia="黑体" w:cs="Times New Roman"/>
          <w:sz w:val="18"/>
          <w:szCs w:val="18"/>
        </w:rPr>
      </w:pPr>
      <w:r>
        <w:rPr>
          <w:rFonts w:ascii="Times New Roman" w:hAnsi="Times New Roman" w:eastAsia="黑体" w:cs="Times New Roman"/>
          <w:sz w:val="18"/>
          <w:szCs w:val="18"/>
        </w:rPr>
        <w:t>图B</w:t>
      </w:r>
      <w:r>
        <w:rPr>
          <w:rFonts w:ascii="Times New Roman" w:hAnsi="Times New Roman" w:cs="Times New Roman"/>
          <w:sz w:val="18"/>
          <w:szCs w:val="18"/>
        </w:rPr>
        <w:t>.</w:t>
      </w:r>
      <w:r>
        <w:rPr>
          <w:rFonts w:ascii="Times New Roman" w:hAnsi="Times New Roman" w:eastAsia="黑体" w:cs="Times New Roman"/>
          <w:sz w:val="18"/>
          <w:szCs w:val="18"/>
        </w:rPr>
        <w:t>0</w:t>
      </w:r>
      <w:r>
        <w:rPr>
          <w:rFonts w:ascii="Times New Roman" w:hAnsi="Times New Roman" w:cs="Times New Roman"/>
          <w:sz w:val="18"/>
          <w:szCs w:val="18"/>
        </w:rPr>
        <w:t>.</w:t>
      </w:r>
      <w:r>
        <w:rPr>
          <w:rFonts w:ascii="Times New Roman" w:hAnsi="Times New Roman" w:eastAsia="黑体" w:cs="Times New Roman"/>
          <w:sz w:val="18"/>
          <w:szCs w:val="18"/>
        </w:rPr>
        <w:t>2-1  圆弧滑动法计算简图</w:t>
      </w:r>
    </w:p>
    <w:p w14:paraId="595739CD">
      <w:pPr>
        <w:snapToGrid w:val="0"/>
        <w:spacing w:line="360" w:lineRule="auto"/>
        <w:ind w:firstLine="843" w:firstLineChars="400"/>
        <w:rPr>
          <w:rFonts w:ascii="Times New Roman" w:hAnsi="Times New Roman" w:cs="Times New Roman"/>
          <w:sz w:val="21"/>
          <w:szCs w:val="21"/>
        </w:rPr>
      </w:pPr>
      <w:r>
        <w:rPr>
          <w:rFonts w:ascii="Times New Roman" w:hAnsi="Times New Roman" w:eastAsia="黑体" w:cs="Times New Roman"/>
          <w:b/>
          <w:sz w:val="21"/>
          <w:szCs w:val="21"/>
        </w:rPr>
        <w:pict>
          <v:shape id="Object 1426" o:spid="_x0000_s1144" o:spt="75" type="#_x0000_t75" style="position:absolute;left:0pt;margin-left:99.25pt;margin-top:15.4pt;height:27.2pt;width:241pt;z-index:251675648;mso-width-relative:page;mso-height-relative:page;" o:ole="t" filled="f" o:preferrelative="t" stroked="f" coordsize="21600,21600">
            <v:path/>
            <v:fill on="f" focussize="0,0"/>
            <v:stroke on="f" joinstyle="miter"/>
            <v:imagedata r:id="rId205" o:title=""/>
            <o:lock v:ext="edit" aspectratio="t"/>
          </v:shape>
          <o:OLEObject Type="Embed" ProgID="Equation.3" ShapeID="Object 1426" DrawAspect="Content" ObjectID="_1468075797" r:id="rId204">
            <o:LockedField>false</o:LockedField>
          </o:OLEObject>
        </w:pict>
      </w:r>
      <w:r>
        <w:rPr>
          <w:rFonts w:ascii="Times New Roman" w:hAnsi="Times New Roman" w:eastAsia="黑体" w:cs="Times New Roman"/>
          <w:b/>
          <w:sz w:val="21"/>
          <w:szCs w:val="21"/>
        </w:rPr>
        <w:t>1</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简化毕肖普法</w:t>
      </w:r>
    </w:p>
    <w:p w14:paraId="6B1E61EC">
      <w:pPr>
        <w:snapToGrid w:val="0"/>
        <w:spacing w:line="360" w:lineRule="auto"/>
        <w:jc w:val="right"/>
        <w:rPr>
          <w:rFonts w:ascii="Times New Roman" w:hAnsi="Times New Roman" w:cs="Times New Roman"/>
          <w:sz w:val="21"/>
          <w:szCs w:val="21"/>
        </w:rPr>
      </w:pPr>
      <w:r>
        <w:rPr>
          <w:rFonts w:ascii="Times New Roman" w:hAnsi="Times New Roman" w:cs="Times New Roman"/>
          <w:sz w:val="21"/>
          <w:szCs w:val="21"/>
        </w:rPr>
        <w:t xml:space="preserve"> （B.0.2-1）</w:t>
      </w:r>
    </w:p>
    <w:p w14:paraId="5D9C2D8B">
      <w:pPr>
        <w:snapToGrid w:val="0"/>
        <w:spacing w:line="360" w:lineRule="auto"/>
        <w:ind w:firstLine="843" w:firstLineChars="400"/>
        <w:rPr>
          <w:rFonts w:ascii="Times New Roman" w:hAnsi="Times New Roman" w:cs="Times New Roman"/>
          <w:sz w:val="21"/>
          <w:szCs w:val="21"/>
        </w:rPr>
      </w:pPr>
      <w:r>
        <w:rPr>
          <w:rFonts w:ascii="Times New Roman" w:hAnsi="Times New Roman" w:eastAsia="黑体" w:cs="Times New Roman"/>
          <w:b/>
          <w:sz w:val="21"/>
          <w:szCs w:val="21"/>
        </w:rPr>
        <w:pict>
          <v:shape id="Object 1427" o:spid="_x0000_s1145" o:spt="75" type="#_x0000_t75" style="position:absolute;left:0pt;margin-left:99.25pt;margin-top:14.45pt;height:26pt;width:191.55pt;z-index:251676672;mso-width-relative:page;mso-height-relative:page;" o:ole="t" filled="f" o:preferrelative="t" stroked="f" coordsize="21600,21600">
            <v:path/>
            <v:fill on="f" focussize="0,0"/>
            <v:stroke on="f" joinstyle="miter"/>
            <v:imagedata r:id="rId207" o:title=""/>
            <o:lock v:ext="edit" aspectratio="t"/>
          </v:shape>
          <o:OLEObject Type="Embed" ProgID="Equation.3" ShapeID="Object 1427" DrawAspect="Content" ObjectID="_1468075798" r:id="rId206">
            <o:LockedField>false</o:LockedField>
          </o:OLEObject>
        </w:pict>
      </w:r>
      <w:r>
        <w:rPr>
          <w:rFonts w:ascii="Times New Roman" w:hAnsi="Times New Roman" w:eastAsia="黑体" w:cs="Times New Roman"/>
          <w:b/>
          <w:sz w:val="21"/>
          <w:szCs w:val="21"/>
        </w:rPr>
        <w:t>2</w:t>
      </w:r>
      <w:r>
        <w:rPr>
          <w:rFonts w:ascii="Times New Roman" w:hAnsi="Times New Roman" w:eastAsia="黑体" w:cs="Times New Roman"/>
          <w:sz w:val="21"/>
          <w:szCs w:val="21"/>
        </w:rPr>
        <w:t xml:space="preserve">） </w:t>
      </w:r>
      <w:r>
        <w:rPr>
          <w:rFonts w:ascii="Times New Roman" w:hAnsi="Times New Roman" w:cs="Times New Roman"/>
          <w:sz w:val="21"/>
          <w:szCs w:val="21"/>
        </w:rPr>
        <w:t xml:space="preserve"> 瑞典圆弧法</w:t>
      </w:r>
    </w:p>
    <w:p w14:paraId="14B02E6C">
      <w:pPr>
        <w:wordWrap w:val="0"/>
        <w:snapToGrid w:val="0"/>
        <w:spacing w:line="360" w:lineRule="auto"/>
        <w:jc w:val="right"/>
        <w:rPr>
          <w:rFonts w:ascii="Times New Roman" w:hAnsi="Times New Roman" w:cs="Times New Roman"/>
          <w:sz w:val="21"/>
          <w:szCs w:val="21"/>
        </w:rPr>
      </w:pPr>
      <w:r>
        <w:rPr>
          <w:rFonts w:ascii="Times New Roman" w:hAnsi="Times New Roman" w:cs="Times New Roman"/>
          <w:sz w:val="21"/>
          <w:szCs w:val="21"/>
        </w:rPr>
        <w:t xml:space="preserve">       （B.0.2-2）</w:t>
      </w:r>
    </w:p>
    <w:p w14:paraId="226F96A0">
      <w:pPr>
        <w:snapToGrid w:val="0"/>
        <w:spacing w:line="360" w:lineRule="auto"/>
        <w:rPr>
          <w:rFonts w:ascii="Times New Roman" w:hAnsi="Times New Roman" w:cs="Times New Roman"/>
          <w:sz w:val="21"/>
          <w:szCs w:val="21"/>
        </w:rPr>
      </w:pPr>
    </w:p>
    <w:p w14:paraId="0A70B0D6">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b</w:t>
      </w:r>
      <w:r>
        <w:rPr>
          <w:rFonts w:ascii="Times New Roman" w:hAnsi="Times New Roman" w:cs="Times New Roman"/>
          <w:sz w:val="21"/>
          <w:szCs w:val="21"/>
        </w:rPr>
        <w:t>——条块宽度（m）；</w:t>
      </w:r>
    </w:p>
    <w:p w14:paraId="4AEED54E">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W</w:t>
      </w:r>
      <w:r>
        <w:rPr>
          <w:rFonts w:ascii="Times New Roman" w:hAnsi="Times New Roman" w:cs="Times New Roman"/>
          <w:sz w:val="21"/>
          <w:szCs w:val="21"/>
        </w:rPr>
        <w:t>——条块重力（kN）；</w:t>
      </w:r>
    </w:p>
    <w:p w14:paraId="082BE0A2">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W</w:t>
      </w:r>
      <w:r>
        <w:rPr>
          <w:rFonts w:ascii="Times New Roman" w:hAnsi="Times New Roman" w:cs="Times New Roman"/>
          <w:i/>
          <w:sz w:val="21"/>
          <w:szCs w:val="21"/>
          <w:vertAlign w:val="subscript"/>
        </w:rPr>
        <w:t>1</w:t>
      </w:r>
      <w:r>
        <w:rPr>
          <w:rFonts w:ascii="Times New Roman" w:hAnsi="Times New Roman" w:cs="Times New Roman"/>
          <w:sz w:val="21"/>
          <w:szCs w:val="21"/>
        </w:rPr>
        <w:t>——在边坡外水位以上的条块重力（kN）；</w:t>
      </w:r>
    </w:p>
    <w:p w14:paraId="70D4A6EF">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W</w:t>
      </w:r>
      <w:r>
        <w:rPr>
          <w:rFonts w:ascii="Times New Roman" w:hAnsi="Times New Roman" w:cs="Times New Roman"/>
          <w:i/>
          <w:sz w:val="21"/>
          <w:szCs w:val="21"/>
          <w:vertAlign w:val="subscript"/>
        </w:rPr>
        <w:t>2</w:t>
      </w:r>
      <w:r>
        <w:rPr>
          <w:rFonts w:ascii="Times New Roman" w:hAnsi="Times New Roman" w:cs="Times New Roman"/>
          <w:sz w:val="21"/>
          <w:szCs w:val="21"/>
        </w:rPr>
        <w:t>——在边坡外水位以下的条块重力（kN）；</w:t>
      </w:r>
    </w:p>
    <w:p w14:paraId="7C79409D">
      <w:pPr>
        <w:snapToGrid w:val="0"/>
        <w:spacing w:line="360" w:lineRule="auto"/>
        <w:ind w:firstLine="619" w:firstLineChars="295"/>
        <w:rPr>
          <w:rFonts w:ascii="Times New Roman" w:hAnsi="Times New Roman" w:cs="Times New Roman"/>
          <w:sz w:val="21"/>
          <w:szCs w:val="21"/>
        </w:rPr>
      </w:pPr>
      <w:r>
        <w:rPr>
          <w:rFonts w:ascii="Times New Roman" w:hAnsi="Times New Roman" w:cs="Times New Roman"/>
          <w:i/>
          <w:sz w:val="21"/>
          <w:szCs w:val="21"/>
        </w:rPr>
        <w:t>Q</w:t>
      </w:r>
      <w:r>
        <w:rPr>
          <w:rFonts w:ascii="Times New Roman" w:hAnsi="Times New Roman" w:cs="Times New Roman"/>
          <w:sz w:val="21"/>
          <w:szCs w:val="21"/>
        </w:rPr>
        <w:t>、</w:t>
      </w:r>
      <w:r>
        <w:rPr>
          <w:rFonts w:ascii="Times New Roman" w:hAnsi="Times New Roman" w:cs="Times New Roman"/>
          <w:i/>
          <w:sz w:val="21"/>
          <w:szCs w:val="21"/>
        </w:rPr>
        <w:t>V</w:t>
      </w:r>
      <w:r>
        <w:rPr>
          <w:rFonts w:ascii="Times New Roman" w:hAnsi="Times New Roman" w:cs="Times New Roman"/>
          <w:sz w:val="21"/>
          <w:szCs w:val="21"/>
        </w:rPr>
        <w:t>——分别为水平和垂直地震惯性力（向上为负，向下为正）（kN）；</w:t>
      </w:r>
    </w:p>
    <w:p w14:paraId="050B41DD">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u</w:t>
      </w:r>
      <w:r>
        <w:rPr>
          <w:rFonts w:ascii="Times New Roman" w:hAnsi="Times New Roman" w:cs="Times New Roman"/>
          <w:sz w:val="21"/>
          <w:szCs w:val="21"/>
        </w:rPr>
        <w:t>——作用于土条底面的孔隙压力（kPa）；</w:t>
      </w:r>
    </w:p>
    <w:p w14:paraId="7E55111B">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sz w:val="21"/>
          <w:szCs w:val="21"/>
        </w:rPr>
        <w:t>α——条块的重力线与通过此条块底面中点的半径之间的夹角（º）；</w:t>
      </w:r>
    </w:p>
    <w:p w14:paraId="138ACCE2">
      <w:pPr>
        <w:snapToGrid w:val="0"/>
        <w:spacing w:line="360" w:lineRule="auto"/>
        <w:ind w:firstLine="579" w:firstLineChars="276"/>
        <w:rPr>
          <w:rFonts w:ascii="Times New Roman" w:hAnsi="Times New Roman" w:cs="Times New Roman"/>
          <w:sz w:val="21"/>
          <w:szCs w:val="21"/>
        </w:rPr>
      </w:pPr>
      <w:r>
        <w:rPr>
          <w:rFonts w:ascii="Times New Roman" w:hAnsi="Times New Roman" w:cs="Times New Roman"/>
          <w:i/>
          <w:sz w:val="21"/>
          <w:szCs w:val="21"/>
        </w:rPr>
        <w:t>c＇</w:t>
      </w:r>
      <w:r>
        <w:rPr>
          <w:rFonts w:ascii="Times New Roman" w:hAnsi="Times New Roman" w:cs="Times New Roman"/>
          <w:sz w:val="21"/>
          <w:szCs w:val="21"/>
        </w:rPr>
        <w:t>、</w:t>
      </w:r>
      <w:r>
        <w:rPr>
          <w:rFonts w:ascii="Times New Roman" w:hAnsi="Times New Roman" w:cs="Times New Roman"/>
          <w:i/>
          <w:sz w:val="21"/>
          <w:szCs w:val="21"/>
        </w:rPr>
        <w:t>φ＇</w:t>
      </w:r>
      <w:r>
        <w:rPr>
          <w:rFonts w:ascii="Times New Roman" w:hAnsi="Times New Roman" w:cs="Times New Roman"/>
          <w:sz w:val="21"/>
          <w:szCs w:val="21"/>
        </w:rPr>
        <w:t>——土条底面的有效应力抗剪强度指标；</w:t>
      </w:r>
    </w:p>
    <w:p w14:paraId="2E162483">
      <w:pPr>
        <w:snapToGrid w:val="0"/>
        <w:spacing w:line="360" w:lineRule="auto"/>
        <w:ind w:firstLine="558" w:firstLineChars="266"/>
        <w:rPr>
          <w:rFonts w:ascii="Times New Roman" w:hAnsi="Times New Roman" w:cs="Times New Roman"/>
          <w:sz w:val="21"/>
          <w:szCs w:val="21"/>
        </w:rPr>
      </w:pPr>
      <w:r>
        <w:rPr>
          <w:rFonts w:ascii="Times New Roman" w:hAnsi="Times New Roman" w:cs="Times New Roman"/>
          <w:i/>
          <w:sz w:val="21"/>
          <w:szCs w:val="21"/>
        </w:rPr>
        <w:t>M</w:t>
      </w:r>
      <w:r>
        <w:rPr>
          <w:rFonts w:ascii="Times New Roman" w:hAnsi="Times New Roman" w:cs="Times New Roman"/>
          <w:i/>
          <w:sz w:val="21"/>
          <w:szCs w:val="21"/>
          <w:vertAlign w:val="subscript"/>
        </w:rPr>
        <w:t>C</w:t>
      </w:r>
      <w:r>
        <w:rPr>
          <w:rFonts w:ascii="Times New Roman" w:hAnsi="Times New Roman" w:cs="Times New Roman"/>
          <w:sz w:val="21"/>
          <w:szCs w:val="21"/>
        </w:rPr>
        <w:t>——水平地震惯性力对圆心的力矩（kN·m）；</w:t>
      </w:r>
    </w:p>
    <w:p w14:paraId="5D025BA9">
      <w:pPr>
        <w:snapToGrid w:val="0"/>
        <w:spacing w:line="360" w:lineRule="auto"/>
        <w:ind w:firstLine="598" w:firstLineChars="285"/>
        <w:rPr>
          <w:rFonts w:ascii="Times New Roman" w:hAnsi="Times New Roman" w:cs="Times New Roman"/>
          <w:sz w:val="21"/>
          <w:szCs w:val="21"/>
        </w:rPr>
      </w:pPr>
      <w:r>
        <w:rPr>
          <w:rFonts w:ascii="Times New Roman" w:hAnsi="Times New Roman" w:cs="Times New Roman"/>
          <w:i/>
          <w:sz w:val="21"/>
          <w:szCs w:val="21"/>
        </w:rPr>
        <w:t>R</w:t>
      </w:r>
      <w:r>
        <w:rPr>
          <w:rFonts w:ascii="Times New Roman" w:hAnsi="Times New Roman" w:cs="Times New Roman"/>
          <w:sz w:val="21"/>
          <w:szCs w:val="21"/>
        </w:rPr>
        <w:t>——圆弧半径（m）。</w:t>
      </w:r>
    </w:p>
    <w:p w14:paraId="57A2FEEB">
      <w:pPr>
        <w:snapToGrid w:val="0"/>
        <w:spacing w:line="360" w:lineRule="auto"/>
        <w:ind w:firstLine="525" w:firstLineChars="250"/>
        <w:rPr>
          <w:rFonts w:ascii="Times New Roman" w:hAnsi="Times New Roman" w:cs="Times New Roman"/>
          <w:sz w:val="21"/>
          <w:szCs w:val="21"/>
        </w:rPr>
      </w:pPr>
      <w:r>
        <w:rPr>
          <w:rFonts w:ascii="Times New Roman" w:hAnsi="Times New Roman" w:cs="Times New Roman"/>
          <w:sz w:val="21"/>
          <w:szCs w:val="21"/>
        </w:rPr>
        <w:t>改良圆弧法（图B.0.2-2）计算弃渣边坡稳定可按下列公式计算：</w:t>
      </w:r>
    </w:p>
    <w:p w14:paraId="60BC7BAC">
      <w:pPr>
        <w:jc w:val="center"/>
        <w:rPr>
          <w:rFonts w:ascii="Times New Roman" w:hAnsi="Times New Roman" w:cs="Times New Roman"/>
          <w:szCs w:val="28"/>
        </w:rPr>
      </w:pPr>
      <w:r>
        <w:rPr>
          <w:rFonts w:ascii="Times New Roman" w:hAnsi="Times New Roman" w:cs="Times New Roman"/>
          <w:b/>
          <w:szCs w:val="28"/>
        </w:rPr>
        <w:drawing>
          <wp:inline distT="0" distB="0" distL="114300" distR="114300">
            <wp:extent cx="2679065" cy="1761490"/>
            <wp:effectExtent l="0" t="0" r="3175" b="6350"/>
            <wp:docPr id="158" name="图片 89" descr="未标题-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89" descr="未标题-11"/>
                    <pic:cNvPicPr>
                      <a:picLocks noChangeAspect="1"/>
                    </pic:cNvPicPr>
                  </pic:nvPicPr>
                  <pic:blipFill>
                    <a:blip r:embed="rId208"/>
                    <a:stretch>
                      <a:fillRect/>
                    </a:stretch>
                  </pic:blipFill>
                  <pic:spPr>
                    <a:xfrm>
                      <a:off x="0" y="0"/>
                      <a:ext cx="2679065" cy="1761490"/>
                    </a:xfrm>
                    <a:prstGeom prst="rect">
                      <a:avLst/>
                    </a:prstGeom>
                    <a:noFill/>
                    <a:ln>
                      <a:noFill/>
                    </a:ln>
                  </pic:spPr>
                </pic:pic>
              </a:graphicData>
            </a:graphic>
          </wp:inline>
        </w:drawing>
      </w:r>
    </w:p>
    <w:p w14:paraId="47B7CB7F">
      <w:pPr>
        <w:spacing w:line="360" w:lineRule="auto"/>
        <w:ind w:firstLine="357"/>
        <w:jc w:val="center"/>
        <w:rPr>
          <w:rFonts w:ascii="Times New Roman" w:hAnsi="Times New Roman" w:eastAsia="黑体" w:cs="Times New Roman"/>
          <w:sz w:val="18"/>
          <w:szCs w:val="18"/>
        </w:rPr>
      </w:pPr>
      <w:r>
        <w:rPr>
          <w:rFonts w:ascii="Times New Roman" w:hAnsi="Times New Roman" w:eastAsia="黑体" w:cs="Times New Roman"/>
          <w:sz w:val="18"/>
          <w:szCs w:val="18"/>
        </w:rPr>
        <w:t>图B</w:t>
      </w:r>
      <w:r>
        <w:rPr>
          <w:rFonts w:ascii="Times New Roman" w:hAnsi="Times New Roman" w:cs="Times New Roman"/>
          <w:sz w:val="18"/>
          <w:szCs w:val="18"/>
        </w:rPr>
        <w:t>.</w:t>
      </w:r>
      <w:r>
        <w:rPr>
          <w:rFonts w:ascii="Times New Roman" w:hAnsi="Times New Roman" w:eastAsia="黑体" w:cs="Times New Roman"/>
          <w:sz w:val="18"/>
          <w:szCs w:val="18"/>
        </w:rPr>
        <w:t>0</w:t>
      </w:r>
      <w:r>
        <w:rPr>
          <w:rFonts w:ascii="Times New Roman" w:hAnsi="Times New Roman" w:cs="Times New Roman"/>
          <w:sz w:val="18"/>
          <w:szCs w:val="18"/>
        </w:rPr>
        <w:t>.</w:t>
      </w:r>
      <w:r>
        <w:rPr>
          <w:rFonts w:ascii="Times New Roman" w:hAnsi="Times New Roman" w:eastAsia="黑体" w:cs="Times New Roman"/>
          <w:sz w:val="18"/>
          <w:szCs w:val="18"/>
        </w:rPr>
        <w:t>2-2  改良圆弧滑动法计算简图</w:t>
      </w:r>
    </w:p>
    <w:p w14:paraId="0D1AA5CD">
      <w:pPr>
        <w:wordWrap w:val="0"/>
        <w:spacing w:line="360" w:lineRule="auto"/>
        <w:jc w:val="right"/>
        <w:rPr>
          <w:rFonts w:ascii="Times New Roman" w:hAnsi="Times New Roman" w:cs="Times New Roman"/>
          <w:b/>
          <w:sz w:val="24"/>
          <w:szCs w:val="21"/>
        </w:rPr>
      </w:pPr>
      <w:r>
        <w:rPr>
          <w:rFonts w:ascii="Times New Roman" w:hAnsi="Times New Roman" w:cs="Times New Roman"/>
          <w:b/>
          <w:sz w:val="24"/>
          <w:szCs w:val="24"/>
        </w:rPr>
        <w:drawing>
          <wp:anchor distT="0" distB="0" distL="114300" distR="114300" simplePos="0" relativeHeight="251679744" behindDoc="0" locked="0" layoutInCell="1" allowOverlap="1">
            <wp:simplePos x="0" y="0"/>
            <wp:positionH relativeFrom="column">
              <wp:posOffset>2307590</wp:posOffset>
            </wp:positionH>
            <wp:positionV relativeFrom="paragraph">
              <wp:posOffset>216535</wp:posOffset>
            </wp:positionV>
            <wp:extent cx="572770" cy="254635"/>
            <wp:effectExtent l="0" t="0" r="6350" b="4445"/>
            <wp:wrapNone/>
            <wp:docPr id="159" name="图片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560"/>
                    <pic:cNvPicPr>
                      <a:picLocks noChangeAspect="1"/>
                    </pic:cNvPicPr>
                  </pic:nvPicPr>
                  <pic:blipFill>
                    <a:blip r:embed="rId209"/>
                    <a:stretch>
                      <a:fillRect/>
                    </a:stretch>
                  </pic:blipFill>
                  <pic:spPr>
                    <a:xfrm>
                      <a:off x="0" y="0"/>
                      <a:ext cx="572770" cy="254635"/>
                    </a:xfrm>
                    <a:prstGeom prst="rect">
                      <a:avLst/>
                    </a:prstGeom>
                    <a:noFill/>
                    <a:ln>
                      <a:noFill/>
                    </a:ln>
                  </pic:spPr>
                </pic:pic>
              </a:graphicData>
            </a:graphic>
          </wp:anchor>
        </w:drawing>
      </w:r>
    </w:p>
    <w:p w14:paraId="2306F7DA">
      <w:pPr>
        <w:snapToGrid w:val="0"/>
        <w:spacing w:line="360" w:lineRule="auto"/>
        <w:ind w:firstLine="630" w:firstLineChars="300"/>
        <w:jc w:val="right"/>
        <w:rPr>
          <w:rFonts w:ascii="Times New Roman" w:hAnsi="Times New Roman" w:cs="Times New Roman"/>
          <w:sz w:val="21"/>
          <w:szCs w:val="21"/>
        </w:rPr>
      </w:pPr>
      <w:r>
        <w:rPr>
          <w:rFonts w:ascii="Times New Roman" w:hAnsi="Times New Roman" w:cs="Times New Roman"/>
          <w:sz w:val="21"/>
          <w:szCs w:val="21"/>
        </w:rPr>
        <w:t xml:space="preserve">                      （B.0.2-3）</w:t>
      </w:r>
    </w:p>
    <w:p w14:paraId="26A26CDB">
      <w:pPr>
        <w:snapToGrid w:val="0"/>
        <w:spacing w:line="360" w:lineRule="auto"/>
        <w:ind w:firstLine="630" w:firstLineChars="300"/>
        <w:jc w:val="right"/>
        <w:rPr>
          <w:rFonts w:ascii="Times New Roman" w:hAnsi="Times New Roman" w:cs="Times New Roman"/>
          <w:sz w:val="21"/>
          <w:szCs w:val="21"/>
        </w:rPr>
      </w:pPr>
      <w:r>
        <w:rPr>
          <w:rFonts w:ascii="Times New Roman" w:hAnsi="Times New Roman" w:cs="Times New Roman"/>
          <w:i/>
          <w:sz w:val="21"/>
          <w:szCs w:val="21"/>
        </w:rPr>
        <w:t>S</w:t>
      </w:r>
      <w:r>
        <w:rPr>
          <w:rFonts w:ascii="Times New Roman" w:hAnsi="Times New Roman" w:cs="Times New Roman"/>
          <w:sz w:val="21"/>
          <w:szCs w:val="21"/>
        </w:rPr>
        <w:t>＝</w:t>
      </w:r>
      <w:r>
        <w:rPr>
          <w:rFonts w:ascii="Times New Roman" w:hAnsi="Times New Roman" w:cs="Times New Roman"/>
          <w:i/>
          <w:sz w:val="21"/>
          <w:szCs w:val="21"/>
        </w:rPr>
        <w:t>W</w:t>
      </w:r>
      <w:r>
        <w:rPr>
          <w:rFonts w:ascii="Times New Roman" w:hAnsi="Times New Roman" w:cs="Times New Roman"/>
          <w:sz w:val="21"/>
          <w:szCs w:val="21"/>
        </w:rPr>
        <w:t>tan</w:t>
      </w:r>
      <w:r>
        <w:rPr>
          <w:rFonts w:ascii="Times New Roman" w:hAnsi="Times New Roman" w:cs="Times New Roman"/>
          <w:i/>
          <w:sz w:val="21"/>
          <w:szCs w:val="21"/>
        </w:rPr>
        <w:t>φ</w:t>
      </w:r>
      <w:r>
        <w:rPr>
          <w:rFonts w:ascii="Times New Roman" w:hAnsi="Times New Roman" w:cs="Times New Roman"/>
          <w:sz w:val="21"/>
          <w:szCs w:val="21"/>
        </w:rPr>
        <w:t>＋</w:t>
      </w:r>
      <w:r>
        <w:rPr>
          <w:rFonts w:ascii="Times New Roman" w:hAnsi="Times New Roman" w:cs="Times New Roman"/>
          <w:i/>
          <w:sz w:val="21"/>
          <w:szCs w:val="21"/>
        </w:rPr>
        <w:t>CL</w:t>
      </w:r>
      <w:r>
        <w:rPr>
          <w:rFonts w:ascii="Times New Roman" w:hAnsi="Times New Roman" w:cs="Times New Roman"/>
          <w:sz w:val="21"/>
          <w:szCs w:val="21"/>
        </w:rPr>
        <w:t xml:space="preserve">                        （B.0.2-4）</w:t>
      </w:r>
    </w:p>
    <w:p w14:paraId="16295625">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W</w:t>
      </w:r>
      <w:r>
        <w:rPr>
          <w:rFonts w:ascii="Times New Roman" w:hAnsi="Times New Roman" w:cs="Times New Roman"/>
          <w:sz w:val="21"/>
          <w:szCs w:val="21"/>
        </w:rPr>
        <w:t>——土体B′BCC′的有效重量（kN）；</w:t>
      </w:r>
    </w:p>
    <w:p w14:paraId="120FD895">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C</w:t>
      </w:r>
      <w:r>
        <w:rPr>
          <w:rFonts w:ascii="Times New Roman" w:hAnsi="Times New Roman" w:cs="Times New Roman"/>
          <w:sz w:val="21"/>
          <w:szCs w:val="21"/>
        </w:rPr>
        <w:t>，</w:t>
      </w:r>
      <w:r>
        <w:rPr>
          <w:rFonts w:ascii="Times New Roman" w:hAnsi="Times New Roman" w:cs="Times New Roman"/>
          <w:i/>
          <w:sz w:val="21"/>
          <w:szCs w:val="21"/>
        </w:rPr>
        <w:t>φ</w:t>
      </w:r>
      <w:r>
        <w:rPr>
          <w:rFonts w:ascii="Times New Roman" w:hAnsi="Times New Roman" w:cs="Times New Roman"/>
          <w:sz w:val="21"/>
          <w:szCs w:val="21"/>
        </w:rPr>
        <w:t>——软弱土层的凝聚力及内摩擦角（º）；</w:t>
      </w:r>
    </w:p>
    <w:p w14:paraId="44C5C2AF">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Pa</w:t>
      </w:r>
      <w:r>
        <w:rPr>
          <w:rFonts w:ascii="Times New Roman" w:hAnsi="Times New Roman" w:cs="Times New Roman"/>
          <w:sz w:val="21"/>
          <w:szCs w:val="21"/>
        </w:rPr>
        <w:t>——滑动力（kN）；</w:t>
      </w:r>
    </w:p>
    <w:p w14:paraId="47262FE2">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Pn</w:t>
      </w:r>
      <w:r>
        <w:rPr>
          <w:rFonts w:ascii="Times New Roman" w:hAnsi="Times New Roman" w:cs="Times New Roman"/>
          <w:sz w:val="21"/>
          <w:szCs w:val="21"/>
        </w:rPr>
        <w:t>——抗滑力（kN）。</w:t>
      </w:r>
    </w:p>
    <w:p w14:paraId="1C418B41">
      <w:pPr>
        <w:snapToGrid w:val="0"/>
        <w:spacing w:line="360" w:lineRule="auto"/>
        <w:ind w:firstLine="420" w:firstLineChars="200"/>
        <w:rPr>
          <w:rFonts w:ascii="Times New Roman" w:hAnsi="Times New Roman" w:eastAsia="华文楷体" w:cs="Times New Roman"/>
          <w:b/>
          <w:kern w:val="0"/>
          <w:sz w:val="24"/>
          <w:szCs w:val="24"/>
        </w:rPr>
      </w:pPr>
      <w:r>
        <w:rPr>
          <w:rFonts w:ascii="Times New Roman" w:hAnsi="Times New Roman" w:cs="Times New Roman"/>
          <w:sz w:val="21"/>
          <w:szCs w:val="21"/>
        </w:rPr>
        <w:t>当采用摩根斯顿—普赖斯法（图B.0.2-3）计算抗滑稳定安全系数时，应按下列改进方法计算：</w:t>
      </w:r>
    </w:p>
    <w:p w14:paraId="1AC65C75">
      <w:pPr>
        <w:snapToGrid w:val="0"/>
        <w:spacing w:line="360" w:lineRule="auto"/>
        <w:jc w:val="center"/>
        <w:rPr>
          <w:rFonts w:ascii="Times New Roman" w:hAnsi="Times New Roman" w:eastAsia="华文楷体" w:cs="Times New Roman"/>
          <w:b/>
          <w:kern w:val="0"/>
          <w:sz w:val="24"/>
          <w:szCs w:val="24"/>
        </w:rPr>
      </w:pPr>
      <w:r>
        <w:rPr>
          <w:rFonts w:ascii="Times New Roman" w:hAnsi="Times New Roman" w:eastAsia="华文楷体" w:cs="Times New Roman"/>
          <w:b/>
          <w:kern w:val="0"/>
          <w:sz w:val="24"/>
          <w:szCs w:val="24"/>
        </w:rPr>
        <w:drawing>
          <wp:inline distT="0" distB="0" distL="114300" distR="114300">
            <wp:extent cx="4579620" cy="2138045"/>
            <wp:effectExtent l="0" t="0" r="7620" b="10795"/>
            <wp:docPr id="160" name="图片 90" descr="未命名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90" descr="未命名5"/>
                    <pic:cNvPicPr>
                      <a:picLocks noChangeAspect="1"/>
                    </pic:cNvPicPr>
                  </pic:nvPicPr>
                  <pic:blipFill>
                    <a:blip r:embed="rId210"/>
                    <a:stretch>
                      <a:fillRect/>
                    </a:stretch>
                  </pic:blipFill>
                  <pic:spPr>
                    <a:xfrm>
                      <a:off x="0" y="0"/>
                      <a:ext cx="4579620" cy="2138045"/>
                    </a:xfrm>
                    <a:prstGeom prst="rect">
                      <a:avLst/>
                    </a:prstGeom>
                    <a:noFill/>
                    <a:ln>
                      <a:noFill/>
                    </a:ln>
                  </pic:spPr>
                </pic:pic>
              </a:graphicData>
            </a:graphic>
          </wp:inline>
        </w:drawing>
      </w:r>
    </w:p>
    <w:p w14:paraId="7470EC8C">
      <w:pPr>
        <w:autoSpaceDE w:val="0"/>
        <w:autoSpaceDN w:val="0"/>
        <w:adjustRightInd w:val="0"/>
        <w:jc w:val="center"/>
        <w:rPr>
          <w:rFonts w:ascii="Times New Roman" w:hAnsi="Times New Roman" w:eastAsia="黑体" w:cs="Times New Roman"/>
          <w:sz w:val="18"/>
          <w:szCs w:val="18"/>
        </w:rPr>
      </w:pPr>
      <w:r>
        <w:rPr>
          <w:rFonts w:ascii="Times New Roman" w:hAnsi="Times New Roman" w:eastAsia="黑体" w:cs="Times New Roman"/>
          <w:sz w:val="18"/>
          <w:szCs w:val="18"/>
        </w:rPr>
        <w:t>图B</w:t>
      </w:r>
      <w:r>
        <w:rPr>
          <w:rFonts w:ascii="Times New Roman" w:hAnsi="Times New Roman" w:cs="Times New Roman"/>
          <w:sz w:val="18"/>
          <w:szCs w:val="18"/>
        </w:rPr>
        <w:t>.</w:t>
      </w:r>
      <w:r>
        <w:rPr>
          <w:rFonts w:ascii="Times New Roman" w:hAnsi="Times New Roman" w:eastAsia="黑体" w:cs="Times New Roman"/>
          <w:sz w:val="18"/>
          <w:szCs w:val="18"/>
        </w:rPr>
        <w:t>0</w:t>
      </w:r>
      <w:r>
        <w:rPr>
          <w:rFonts w:ascii="Times New Roman" w:hAnsi="Times New Roman" w:cs="Times New Roman"/>
          <w:sz w:val="18"/>
          <w:szCs w:val="18"/>
        </w:rPr>
        <w:t>.</w:t>
      </w:r>
      <w:r>
        <w:rPr>
          <w:rFonts w:ascii="Times New Roman" w:hAnsi="Times New Roman" w:eastAsia="黑体" w:cs="Times New Roman"/>
          <w:sz w:val="18"/>
          <w:szCs w:val="18"/>
        </w:rPr>
        <w:t>2-3  摩根斯顿—普赖斯法（改进方法）计算简图</w:t>
      </w:r>
    </w:p>
    <w:p w14:paraId="7D4D8016">
      <w:pPr>
        <w:snapToGrid w:val="0"/>
        <w:spacing w:line="360" w:lineRule="auto"/>
        <w:jc w:val="right"/>
        <w:rPr>
          <w:rFonts w:ascii="Times New Roman" w:hAnsi="Times New Roman" w:cs="Times New Roman"/>
          <w:sz w:val="21"/>
          <w:szCs w:val="21"/>
        </w:rPr>
      </w:pPr>
      <w:r>
        <w:rPr>
          <w:rFonts w:ascii="Times New Roman" w:hAnsi="Times New Roman" w:cs="Times New Roman"/>
          <w:b/>
          <w:sz w:val="21"/>
          <w:szCs w:val="21"/>
        </w:rPr>
        <w:object>
          <v:shape id="_x0000_i1100" o:spt="75" type="#_x0000_t75" style="height:20.4pt;width:64.2pt;" o:ole="t" filled="f" o:preferrelative="t" stroked="f" coordsize="21600,21600">
            <v:path/>
            <v:fill on="f" focussize="0,0"/>
            <v:stroke on="f" joinstyle="miter"/>
            <v:imagedata r:id="rId212" o:title=""/>
            <o:lock v:ext="edit" aspectratio="t"/>
            <w10:wrap type="none"/>
            <w10:anchorlock/>
          </v:shape>
          <o:OLEObject Type="Embed" ProgID="Equation.3" ShapeID="_x0000_i1100" DrawAspect="Content" ObjectID="_1468075799" r:id="rId211">
            <o:LockedField>false</o:LockedField>
          </o:OLEObject>
        </w:object>
      </w:r>
      <w:r>
        <w:rPr>
          <w:rFonts w:ascii="Times New Roman" w:hAnsi="Times New Roman" w:cs="Times New Roman"/>
          <w:sz w:val="21"/>
          <w:szCs w:val="21"/>
        </w:rPr>
        <w:t xml:space="preserve">                           （B.0.2-5）</w:t>
      </w:r>
    </w:p>
    <w:p w14:paraId="2F2988BB">
      <w:pPr>
        <w:snapToGrid w:val="0"/>
        <w:spacing w:line="360" w:lineRule="auto"/>
        <w:jc w:val="right"/>
        <w:rPr>
          <w:rFonts w:ascii="Times New Roman" w:hAnsi="Times New Roman" w:cs="Times New Roman"/>
          <w:sz w:val="21"/>
          <w:szCs w:val="21"/>
        </w:rPr>
      </w:pPr>
      <w:r>
        <w:rPr>
          <w:rFonts w:ascii="Times New Roman" w:hAnsi="Times New Roman" w:cs="Times New Roman"/>
          <w:b/>
          <w:sz w:val="21"/>
          <w:szCs w:val="21"/>
        </w:rPr>
        <w:object>
          <v:shape id="_x0000_i1101" o:spt="75" type="#_x0000_t75" style="height:21.6pt;width:103.75pt;" o:ole="t" filled="f" o:preferrelative="t" stroked="f" coordsize="21600,21600">
            <v:path/>
            <v:fill on="f" focussize="0,0"/>
            <v:stroke on="f" joinstyle="miter"/>
            <v:imagedata r:id="rId214" o:title=""/>
            <o:lock v:ext="edit" aspectratio="t"/>
            <w10:wrap type="none"/>
            <w10:anchorlock/>
          </v:shape>
          <o:OLEObject Type="Embed" ProgID="Equation.3" ShapeID="_x0000_i1101" DrawAspect="Content" ObjectID="_1468075800" r:id="rId213">
            <o:LockedField>false</o:LockedField>
          </o:OLEObject>
        </w:object>
      </w:r>
      <w:r>
        <w:rPr>
          <w:rFonts w:ascii="Times New Roman" w:hAnsi="Times New Roman" w:cs="Times New Roman"/>
          <w:sz w:val="21"/>
          <w:szCs w:val="21"/>
        </w:rPr>
        <w:t xml:space="preserve">                      （B.0.2-6）</w:t>
      </w:r>
    </w:p>
    <w:p w14:paraId="7F8DEA8F">
      <w:pPr>
        <w:snapToGrid w:val="0"/>
        <w:spacing w:line="360" w:lineRule="auto"/>
        <w:jc w:val="right"/>
        <w:rPr>
          <w:rFonts w:ascii="Times New Roman" w:hAnsi="Times New Roman" w:cs="Times New Roman"/>
          <w:sz w:val="21"/>
          <w:szCs w:val="21"/>
        </w:rPr>
      </w:pPr>
      <w:r>
        <w:rPr>
          <w:rFonts w:ascii="Times New Roman" w:hAnsi="Times New Roman" w:cs="Times New Roman"/>
          <w:b/>
          <w:sz w:val="21"/>
          <w:szCs w:val="21"/>
        </w:rPr>
        <w:object>
          <v:shape id="_x0000_i1102" o:spt="75" type="#_x0000_t75" style="height:25.8pt;width:293.55pt;" o:ole="t" filled="f" o:preferrelative="t" stroked="f" coordsize="21600,21600">
            <v:path/>
            <v:fill on="f" focussize="0,0"/>
            <v:stroke on="f" joinstyle="miter"/>
            <v:imagedata r:id="rId216" o:title=""/>
            <o:lock v:ext="edit" aspectratio="t"/>
            <w10:wrap type="none"/>
            <w10:anchorlock/>
          </v:shape>
          <o:OLEObject Type="Embed" ProgID="Equation.3" ShapeID="_x0000_i1102" DrawAspect="Content" ObjectID="_1468075801" r:id="rId215">
            <o:LockedField>false</o:LockedField>
          </o:OLEObject>
        </w:object>
      </w:r>
      <w:r>
        <w:rPr>
          <w:rFonts w:ascii="Times New Roman" w:hAnsi="Times New Roman" w:cs="Times New Roman"/>
          <w:sz w:val="21"/>
          <w:szCs w:val="21"/>
        </w:rPr>
        <w:t xml:space="preserve">  （B.0.2-7）</w:t>
      </w:r>
    </w:p>
    <w:p w14:paraId="185DEE93">
      <w:pPr>
        <w:snapToGrid w:val="0"/>
        <w:spacing w:line="360" w:lineRule="auto"/>
        <w:jc w:val="right"/>
        <w:rPr>
          <w:rFonts w:ascii="Times New Roman" w:hAnsi="Times New Roman" w:cs="Times New Roman"/>
          <w:sz w:val="21"/>
          <w:szCs w:val="21"/>
        </w:rPr>
      </w:pPr>
      <w:r>
        <w:rPr>
          <w:rFonts w:ascii="Times New Roman" w:hAnsi="Times New Roman" w:cs="Times New Roman"/>
          <w:b/>
          <w:sz w:val="21"/>
          <w:szCs w:val="21"/>
        </w:rPr>
        <w:object>
          <v:shape id="_x0000_i1103" o:spt="75" type="#_x0000_t75" style="height:27.6pt;width:200.45pt;" o:ole="t" filled="f" o:preferrelative="t" stroked="f" coordsize="21600,21600">
            <v:path/>
            <v:fill on="f" focussize="0,0"/>
            <v:stroke on="f" joinstyle="miter"/>
            <v:imagedata r:id="rId218" o:title=""/>
            <o:lock v:ext="edit" aspectratio="t"/>
            <w10:wrap type="none"/>
            <w10:anchorlock/>
          </v:shape>
          <o:OLEObject Type="Embed" ProgID="Equation.3" ShapeID="_x0000_i1103" DrawAspect="Content" ObjectID="_1468075802" r:id="rId217">
            <o:LockedField>false</o:LockedField>
          </o:OLEObject>
        </w:object>
      </w:r>
      <w:r>
        <w:rPr>
          <w:rFonts w:ascii="Times New Roman" w:hAnsi="Times New Roman" w:cs="Times New Roman"/>
          <w:sz w:val="21"/>
          <w:szCs w:val="21"/>
        </w:rPr>
        <w:t xml:space="preserve">            （B.0.2-8）</w:t>
      </w:r>
      <w:r>
        <w:rPr>
          <w:rFonts w:ascii="Times New Roman" w:hAnsi="Times New Roman" w:cs="Times New Roman"/>
          <w:b/>
          <w:sz w:val="21"/>
          <w:szCs w:val="21"/>
        </w:rPr>
        <w:object>
          <v:shape id="_x0000_i1104" o:spt="75" type="#_x0000_t75" style="height:28.2pt;width:221.4pt;" o:ole="t" filled="f" o:preferrelative="t" stroked="f" coordsize="21600,21600">
            <v:path/>
            <v:fill on="f" focussize="0,0"/>
            <v:stroke on="f" joinstyle="miter"/>
            <v:imagedata r:id="rId220" o:title=""/>
            <o:lock v:ext="edit" aspectratio="t"/>
            <w10:wrap type="none"/>
            <w10:anchorlock/>
          </v:shape>
          <o:OLEObject Type="Embed" ProgID="Equation.3" ShapeID="_x0000_i1104" DrawAspect="Content" ObjectID="_1468075803" r:id="rId219">
            <o:LockedField>false</o:LockedField>
          </o:OLEObject>
        </w:object>
      </w:r>
      <w:r>
        <w:rPr>
          <w:rFonts w:ascii="Times New Roman" w:hAnsi="Times New Roman" w:cs="Times New Roman"/>
          <w:sz w:val="21"/>
          <w:szCs w:val="21"/>
        </w:rPr>
        <w:t xml:space="preserve">          （B.0.2-9）</w:t>
      </w:r>
    </w:p>
    <w:p w14:paraId="2D3133D3">
      <w:pPr>
        <w:snapToGrid w:val="0"/>
        <w:spacing w:line="360" w:lineRule="auto"/>
        <w:jc w:val="right"/>
        <w:rPr>
          <w:rFonts w:ascii="Times New Roman" w:hAnsi="Times New Roman" w:cs="Times New Roman"/>
          <w:sz w:val="21"/>
          <w:szCs w:val="21"/>
        </w:rPr>
      </w:pPr>
      <w:r>
        <w:rPr>
          <w:rFonts w:ascii="Times New Roman" w:hAnsi="Times New Roman" w:cs="Times New Roman"/>
          <w:b/>
          <w:sz w:val="24"/>
          <w:szCs w:val="21"/>
        </w:rPr>
        <w:pict>
          <v:shape id="Object 1428" o:spid="_x0000_s1146" o:spt="75" type="#_x0000_t75" style="position:absolute;left:0pt;margin-left:171.2pt;margin-top:27.7pt;height:30.7pt;width:40.05pt;z-index:251677696;mso-width-relative:page;mso-height-relative:page;" o:ole="t" filled="f" o:preferrelative="t" stroked="f" coordsize="21600,21600">
            <v:path/>
            <v:fill on="f" focussize="0,0"/>
            <v:stroke on="f" joinstyle="miter"/>
            <v:imagedata r:id="rId222" o:title=""/>
            <o:lock v:ext="edit" aspectratio="t"/>
          </v:shape>
          <o:OLEObject Type="Embed" ProgID="Equation.3" ShapeID="Object 1428" DrawAspect="Content" ObjectID="_1468075804" r:id="rId221">
            <o:LockedField>false</o:LockedField>
          </o:OLEObject>
        </w:pict>
      </w:r>
      <w:r>
        <w:rPr>
          <w:rFonts w:ascii="Times New Roman" w:hAnsi="Times New Roman" w:cs="Times New Roman"/>
          <w:b/>
          <w:sz w:val="21"/>
          <w:szCs w:val="21"/>
        </w:rPr>
        <w:object>
          <v:shape id="_x0000_i1105" o:spt="75" type="#_x0000_t75" style="height:23.4pt;width:63.6pt;" o:ole="t" filled="f" o:preferrelative="t" stroked="f" coordsize="21600,21600">
            <v:path/>
            <v:fill on="f" focussize="0,0"/>
            <v:stroke on="f" joinstyle="miter"/>
            <v:imagedata r:id="rId224" o:title=""/>
            <o:lock v:ext="edit" aspectratio="t"/>
            <w10:wrap type="none"/>
            <w10:anchorlock/>
          </v:shape>
          <o:OLEObject Type="Embed" ProgID="Equation.3" ShapeID="_x0000_i1105" DrawAspect="Content" ObjectID="_1468075805" r:id="rId223">
            <o:LockedField>false</o:LockedField>
          </o:OLEObject>
        </w:object>
      </w:r>
      <w:r>
        <w:rPr>
          <w:rFonts w:ascii="Times New Roman" w:hAnsi="Times New Roman" w:cs="Times New Roman"/>
          <w:sz w:val="21"/>
          <w:szCs w:val="21"/>
        </w:rPr>
        <w:t xml:space="preserve">                         （B.0.2-10）</w:t>
      </w:r>
    </w:p>
    <w:p w14:paraId="355E87BF">
      <w:pPr>
        <w:snapToGrid w:val="0"/>
        <w:spacing w:line="360" w:lineRule="auto"/>
        <w:jc w:val="right"/>
        <w:rPr>
          <w:rFonts w:ascii="Times New Roman" w:hAnsi="Times New Roman" w:cs="Times New Roman"/>
          <w:sz w:val="21"/>
          <w:szCs w:val="21"/>
        </w:rPr>
      </w:pPr>
      <w:r>
        <w:rPr>
          <w:rFonts w:ascii="Times New Roman" w:hAnsi="Times New Roman" w:cs="Times New Roman"/>
          <w:sz w:val="21"/>
          <w:szCs w:val="21"/>
        </w:rPr>
        <w:t xml:space="preserve">                         （B.0.2-11）</w:t>
      </w:r>
    </w:p>
    <w:p w14:paraId="38028C2B">
      <w:pPr>
        <w:snapToGrid w:val="0"/>
        <w:spacing w:line="360" w:lineRule="auto"/>
        <w:jc w:val="right"/>
        <w:rPr>
          <w:rFonts w:ascii="Times New Roman" w:hAnsi="Times New Roman" w:cs="Times New Roman"/>
          <w:sz w:val="21"/>
          <w:szCs w:val="21"/>
        </w:rPr>
      </w:pPr>
      <w:r>
        <w:rPr>
          <w:rFonts w:ascii="Times New Roman" w:hAnsi="Times New Roman" w:cs="Times New Roman"/>
          <w:b/>
          <w:sz w:val="24"/>
          <w:szCs w:val="21"/>
        </w:rPr>
        <w:pict>
          <v:shape id="Object 1429" o:spid="_x0000_s1147" o:spt="75" type="#_x0000_t75" style="position:absolute;left:0pt;margin-left:163.1pt;margin-top:4.35pt;height:30.7pt;width:72.65pt;z-index:251678720;mso-width-relative:page;mso-height-relative:page;" o:ole="t" filled="f" o:preferrelative="t" stroked="f" coordsize="21600,21600">
            <v:path/>
            <v:fill on="f" focussize="0,0"/>
            <v:stroke on="f" joinstyle="miter"/>
            <v:imagedata r:id="rId226" o:title=""/>
            <o:lock v:ext="edit" aspectratio="t"/>
          </v:shape>
          <o:OLEObject Type="Embed" ProgID="Equation.3" ShapeID="Object 1429" DrawAspect="Content" ObjectID="_1468075806" r:id="rId225">
            <o:LockedField>false</o:LockedField>
          </o:OLEObject>
        </w:pict>
      </w:r>
    </w:p>
    <w:p w14:paraId="79CB98F8">
      <w:pPr>
        <w:snapToGrid w:val="0"/>
        <w:spacing w:line="360" w:lineRule="auto"/>
        <w:jc w:val="right"/>
        <w:rPr>
          <w:rFonts w:ascii="Times New Roman" w:hAnsi="Times New Roman" w:cs="Times New Roman"/>
          <w:b/>
          <w:sz w:val="24"/>
          <w:szCs w:val="21"/>
        </w:rPr>
      </w:pPr>
      <w:r>
        <w:rPr>
          <w:rFonts w:ascii="Times New Roman" w:hAnsi="Times New Roman" w:cs="Times New Roman"/>
          <w:sz w:val="21"/>
          <w:szCs w:val="21"/>
        </w:rPr>
        <w:t xml:space="preserve">                      （B.0.2-12）</w:t>
      </w:r>
    </w:p>
    <w:p w14:paraId="4C21F043">
      <w:pPr>
        <w:snapToGrid w:val="0"/>
        <w:spacing w:line="360" w:lineRule="auto"/>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dx</w:t>
      </w:r>
      <w:r>
        <w:rPr>
          <w:rFonts w:ascii="Times New Roman" w:hAnsi="Times New Roman" w:cs="Times New Roman"/>
          <w:sz w:val="21"/>
          <w:szCs w:val="21"/>
        </w:rPr>
        <w:t>——土条宽度；</w:t>
      </w:r>
    </w:p>
    <w:p w14:paraId="6BA88658">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dW</w:t>
      </w:r>
      <w:r>
        <w:rPr>
          <w:rFonts w:ascii="Times New Roman" w:hAnsi="Times New Roman" w:cs="Times New Roman"/>
          <w:sz w:val="21"/>
          <w:szCs w:val="21"/>
        </w:rPr>
        <w:t>——土条重量；</w:t>
      </w:r>
    </w:p>
    <w:p w14:paraId="60871209">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q</w:t>
      </w:r>
      <w:r>
        <w:rPr>
          <w:rFonts w:ascii="Times New Roman" w:hAnsi="Times New Roman" w:cs="Times New Roman"/>
          <w:sz w:val="21"/>
          <w:szCs w:val="21"/>
        </w:rPr>
        <w:t>——坡顶外部的垂直荷载；</w:t>
      </w:r>
    </w:p>
    <w:p w14:paraId="0D730E7A">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M</w:t>
      </w:r>
      <w:r>
        <w:rPr>
          <w:rFonts w:ascii="Times New Roman" w:hAnsi="Times New Roman" w:cs="Times New Roman"/>
          <w:i/>
          <w:sz w:val="21"/>
          <w:szCs w:val="21"/>
          <w:vertAlign w:val="subscript"/>
        </w:rPr>
        <w:t>e</w:t>
      </w:r>
      <w:r>
        <w:rPr>
          <w:rFonts w:ascii="Times New Roman" w:hAnsi="Times New Roman" w:cs="Times New Roman"/>
          <w:sz w:val="21"/>
          <w:szCs w:val="21"/>
        </w:rPr>
        <w:t>——水平地震惯性力对土条底部中点的力矩；</w:t>
      </w:r>
    </w:p>
    <w:p w14:paraId="7D7D8AC3">
      <w:pPr>
        <w:snapToGrid w:val="0"/>
        <w:spacing w:line="360" w:lineRule="auto"/>
        <w:ind w:firstLine="619" w:firstLineChars="295"/>
        <w:rPr>
          <w:rFonts w:ascii="Times New Roman" w:hAnsi="Times New Roman" w:cs="Times New Roman"/>
          <w:sz w:val="21"/>
          <w:szCs w:val="21"/>
        </w:rPr>
      </w:pPr>
      <w:r>
        <w:rPr>
          <w:rFonts w:ascii="Times New Roman" w:hAnsi="Times New Roman" w:cs="Times New Roman"/>
          <w:i/>
          <w:sz w:val="21"/>
          <w:szCs w:val="21"/>
        </w:rPr>
        <w:t>dQ</w:t>
      </w:r>
      <w:r>
        <w:rPr>
          <w:rFonts w:ascii="Times New Roman" w:hAnsi="Times New Roman" w:cs="Times New Roman"/>
          <w:sz w:val="21"/>
          <w:szCs w:val="21"/>
        </w:rPr>
        <w:t>、</w:t>
      </w:r>
      <w:r>
        <w:rPr>
          <w:rFonts w:ascii="Times New Roman" w:hAnsi="Times New Roman" w:cs="Times New Roman"/>
          <w:i/>
          <w:sz w:val="21"/>
          <w:szCs w:val="21"/>
        </w:rPr>
        <w:t>dV</w:t>
      </w:r>
      <w:r>
        <w:rPr>
          <w:rFonts w:ascii="Times New Roman" w:hAnsi="Times New Roman" w:cs="Times New Roman"/>
          <w:sz w:val="21"/>
          <w:szCs w:val="21"/>
        </w:rPr>
        <w:t>——分别为土条的水平和垂直地震惯性力（向上为负，向下为正）；</w:t>
      </w:r>
    </w:p>
    <w:p w14:paraId="6467CA56">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α</w:t>
      </w:r>
      <w:r>
        <w:rPr>
          <w:rFonts w:ascii="Times New Roman" w:hAnsi="Times New Roman" w:cs="Times New Roman"/>
          <w:sz w:val="21"/>
          <w:szCs w:val="21"/>
        </w:rPr>
        <w:t>——条块底面与水平面的夹角；</w:t>
      </w:r>
    </w:p>
    <w:p w14:paraId="5847625E">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β</w:t>
      </w:r>
      <w:r>
        <w:rPr>
          <w:rFonts w:ascii="Times New Roman" w:hAnsi="Times New Roman" w:cs="Times New Roman"/>
          <w:sz w:val="21"/>
          <w:szCs w:val="21"/>
        </w:rPr>
        <w:t>——土条侧面的合力与水平方向的夹角；</w:t>
      </w:r>
    </w:p>
    <w:p w14:paraId="27508E63">
      <w:pPr>
        <w:snapToGrid w:val="0"/>
        <w:spacing w:line="360" w:lineRule="auto"/>
        <w:ind w:firstLine="630" w:firstLineChars="300"/>
        <w:rPr>
          <w:rFonts w:ascii="Times New Roman" w:hAnsi="Times New Roman" w:cs="Times New Roman"/>
          <w:sz w:val="21"/>
          <w:szCs w:val="21"/>
        </w:rPr>
      </w:pPr>
      <w:r>
        <w:rPr>
          <w:rFonts w:ascii="Times New Roman" w:hAnsi="Times New Roman" w:cs="Times New Roman"/>
          <w:i/>
          <w:sz w:val="21"/>
          <w:szCs w:val="21"/>
        </w:rPr>
        <w:t>h</w:t>
      </w:r>
      <w:r>
        <w:rPr>
          <w:rFonts w:ascii="Times New Roman" w:hAnsi="Times New Roman" w:cs="Times New Roman"/>
          <w:i/>
          <w:sz w:val="21"/>
          <w:szCs w:val="21"/>
          <w:vertAlign w:val="subscript"/>
        </w:rPr>
        <w:t>e</w:t>
      </w:r>
      <w:r>
        <w:rPr>
          <w:rFonts w:ascii="Times New Roman" w:hAnsi="Times New Roman" w:cs="Times New Roman"/>
          <w:sz w:val="21"/>
          <w:szCs w:val="21"/>
        </w:rPr>
        <w:t>——水平地震惯性力到土条底面中点的垂直距离。</w:t>
      </w:r>
    </w:p>
    <w:p w14:paraId="6262FE9B">
      <w:pPr>
        <w:snapToGrid w:val="0"/>
        <w:spacing w:line="360" w:lineRule="auto"/>
        <w:ind w:firstLine="420" w:firstLineChars="200"/>
        <w:rPr>
          <w:rFonts w:ascii="Times New Roman" w:hAnsi="Times New Roman" w:cs="Times New Roman"/>
          <w:sz w:val="21"/>
          <w:szCs w:val="21"/>
        </w:rPr>
      </w:pPr>
      <w:r>
        <w:rPr>
          <w:rFonts w:ascii="Times New Roman" w:hAnsi="Times New Roman" w:cs="Times New Roman"/>
          <w:sz w:val="21"/>
          <w:szCs w:val="21"/>
        </w:rPr>
        <w:t>土的抗剪强度指标可用三轴剪力仪测定，亦可用直剪仪测定。采用的试验方法和强度指标按表B.0.2进行，抗滑稳定计算时，可根据各种运用情况选用。</w:t>
      </w:r>
    </w:p>
    <w:p w14:paraId="40FE80BB">
      <w:pPr>
        <w:snapToGrid w:val="0"/>
        <w:spacing w:line="360" w:lineRule="auto"/>
        <w:ind w:firstLine="420" w:firstLineChars="200"/>
        <w:rPr>
          <w:rFonts w:ascii="Times New Roman" w:hAnsi="Times New Roman" w:cs="Times New Roman"/>
          <w:sz w:val="21"/>
          <w:szCs w:val="21"/>
        </w:rPr>
      </w:pPr>
    </w:p>
    <w:p w14:paraId="5E94EEEF">
      <w:pPr>
        <w:snapToGrid w:val="0"/>
        <w:spacing w:line="360" w:lineRule="auto"/>
        <w:ind w:firstLine="420" w:firstLineChars="200"/>
        <w:rPr>
          <w:rFonts w:ascii="Times New Roman" w:hAnsi="Times New Roman" w:cs="Times New Roman"/>
          <w:sz w:val="21"/>
          <w:szCs w:val="21"/>
        </w:rPr>
      </w:pPr>
    </w:p>
    <w:p w14:paraId="78002BEA">
      <w:pPr>
        <w:jc w:val="center"/>
        <w:rPr>
          <w:rFonts w:ascii="Times New Roman" w:hAnsi="Times New Roman" w:eastAsia="黑体" w:cs="Times New Roman"/>
          <w:sz w:val="18"/>
          <w:szCs w:val="21"/>
        </w:rPr>
      </w:pPr>
      <w:r>
        <w:rPr>
          <w:rFonts w:ascii="Times New Roman" w:hAnsi="Times New Roman" w:eastAsia="黑体" w:cs="Times New Roman"/>
          <w:sz w:val="18"/>
          <w:szCs w:val="21"/>
        </w:rPr>
        <w:t>表B</w:t>
      </w:r>
      <w:r>
        <w:rPr>
          <w:rFonts w:ascii="Times New Roman" w:hAnsi="Times New Roman" w:cs="Times New Roman"/>
          <w:sz w:val="18"/>
          <w:szCs w:val="21"/>
        </w:rPr>
        <w:t>.</w:t>
      </w:r>
      <w:r>
        <w:rPr>
          <w:rFonts w:ascii="Times New Roman" w:hAnsi="Times New Roman" w:eastAsia="黑体" w:cs="Times New Roman"/>
          <w:sz w:val="18"/>
          <w:szCs w:val="21"/>
        </w:rPr>
        <w:t>0</w:t>
      </w:r>
      <w:r>
        <w:rPr>
          <w:rFonts w:ascii="Times New Roman" w:hAnsi="Times New Roman" w:cs="Times New Roman"/>
          <w:sz w:val="18"/>
          <w:szCs w:val="21"/>
        </w:rPr>
        <w:t>.</w:t>
      </w:r>
      <w:r>
        <w:rPr>
          <w:rFonts w:ascii="Times New Roman" w:hAnsi="Times New Roman" w:eastAsia="黑体" w:cs="Times New Roman"/>
          <w:sz w:val="18"/>
          <w:szCs w:val="21"/>
        </w:rPr>
        <w:t>2  土的强度指标</w:t>
      </w:r>
    </w:p>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526"/>
        <w:gridCol w:w="2286"/>
        <w:gridCol w:w="2710"/>
      </w:tblGrid>
      <w:tr w14:paraId="2CFD16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068" w:type="pct"/>
            <w:vAlign w:val="center"/>
          </w:tcPr>
          <w:p w14:paraId="0722E56B">
            <w:pPr>
              <w:snapToGrid w:val="0"/>
              <w:jc w:val="center"/>
              <w:rPr>
                <w:rFonts w:ascii="Times New Roman" w:hAnsi="Times New Roman" w:cs="Times New Roman"/>
                <w:sz w:val="15"/>
                <w:szCs w:val="15"/>
              </w:rPr>
            </w:pPr>
            <w:r>
              <w:rPr>
                <w:rFonts w:ascii="Times New Roman" w:hAnsi="Times New Roman" w:cs="Times New Roman"/>
                <w:sz w:val="15"/>
                <w:szCs w:val="15"/>
              </w:rPr>
              <w:t>弃渣场工作状态</w:t>
            </w:r>
          </w:p>
        </w:tc>
        <w:tc>
          <w:tcPr>
            <w:tcW w:w="1341" w:type="pct"/>
            <w:vAlign w:val="center"/>
          </w:tcPr>
          <w:p w14:paraId="4B66ED29">
            <w:pPr>
              <w:snapToGrid w:val="0"/>
              <w:jc w:val="center"/>
              <w:rPr>
                <w:rFonts w:ascii="Times New Roman" w:hAnsi="Times New Roman" w:cs="Times New Roman"/>
                <w:sz w:val="15"/>
                <w:szCs w:val="15"/>
              </w:rPr>
            </w:pPr>
            <w:r>
              <w:rPr>
                <w:rFonts w:ascii="Times New Roman" w:hAnsi="Times New Roman" w:cs="Times New Roman"/>
                <w:sz w:val="15"/>
                <w:szCs w:val="15"/>
              </w:rPr>
              <w:t>计算方法</w:t>
            </w:r>
          </w:p>
        </w:tc>
        <w:tc>
          <w:tcPr>
            <w:tcW w:w="1589" w:type="pct"/>
            <w:vAlign w:val="center"/>
          </w:tcPr>
          <w:p w14:paraId="0C4FB4C0">
            <w:pPr>
              <w:snapToGrid w:val="0"/>
              <w:jc w:val="center"/>
              <w:rPr>
                <w:rFonts w:ascii="Times New Roman" w:hAnsi="Times New Roman" w:cs="Times New Roman"/>
                <w:sz w:val="15"/>
                <w:szCs w:val="15"/>
              </w:rPr>
            </w:pPr>
            <w:r>
              <w:rPr>
                <w:rFonts w:ascii="Times New Roman" w:hAnsi="Times New Roman" w:cs="Times New Roman"/>
                <w:sz w:val="15"/>
                <w:szCs w:val="15"/>
              </w:rPr>
              <w:t>强度指标</w:t>
            </w:r>
          </w:p>
        </w:tc>
      </w:tr>
      <w:tr w14:paraId="5F6A8E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068" w:type="pct"/>
            <w:vAlign w:val="center"/>
          </w:tcPr>
          <w:p w14:paraId="397C4405">
            <w:pPr>
              <w:snapToGrid w:val="0"/>
              <w:jc w:val="center"/>
              <w:rPr>
                <w:rFonts w:ascii="Times New Roman" w:hAnsi="Times New Roman" w:cs="Times New Roman"/>
                <w:sz w:val="15"/>
                <w:szCs w:val="15"/>
              </w:rPr>
            </w:pPr>
            <w:r>
              <w:rPr>
                <w:rFonts w:ascii="Times New Roman" w:hAnsi="Times New Roman" w:cs="Times New Roman"/>
                <w:sz w:val="15"/>
                <w:szCs w:val="15"/>
              </w:rPr>
              <w:t>无渗流、稳定渗流期和不稳定渗流期</w:t>
            </w:r>
          </w:p>
        </w:tc>
        <w:tc>
          <w:tcPr>
            <w:tcW w:w="1341" w:type="pct"/>
            <w:vAlign w:val="center"/>
          </w:tcPr>
          <w:p w14:paraId="4C39200A">
            <w:pPr>
              <w:snapToGrid w:val="0"/>
              <w:jc w:val="center"/>
              <w:rPr>
                <w:rFonts w:ascii="Times New Roman" w:hAnsi="Times New Roman" w:cs="Times New Roman"/>
                <w:sz w:val="15"/>
                <w:szCs w:val="15"/>
              </w:rPr>
            </w:pPr>
            <w:r>
              <w:rPr>
                <w:rFonts w:ascii="Times New Roman" w:hAnsi="Times New Roman" w:cs="Times New Roman"/>
                <w:sz w:val="15"/>
                <w:szCs w:val="15"/>
              </w:rPr>
              <w:t>有效应力法</w:t>
            </w:r>
          </w:p>
        </w:tc>
        <w:tc>
          <w:tcPr>
            <w:tcW w:w="1589" w:type="pct"/>
            <w:vAlign w:val="center"/>
          </w:tcPr>
          <w:p w14:paraId="683F2231">
            <w:pPr>
              <w:snapToGrid w:val="0"/>
              <w:jc w:val="center"/>
              <w:rPr>
                <w:rFonts w:ascii="Times New Roman" w:hAnsi="Times New Roman" w:cs="Times New Roman"/>
                <w:i/>
                <w:sz w:val="15"/>
                <w:szCs w:val="15"/>
              </w:rPr>
            </w:pPr>
            <w:r>
              <w:rPr>
                <w:rFonts w:ascii="Times New Roman" w:hAnsi="Times New Roman" w:cs="Times New Roman"/>
                <w:i/>
                <w:sz w:val="15"/>
                <w:szCs w:val="15"/>
              </w:rPr>
              <w:t>C′</w:t>
            </w:r>
            <w:r>
              <w:rPr>
                <w:rFonts w:ascii="Times New Roman" w:hAnsi="Times New Roman" w:cs="Times New Roman"/>
                <w:sz w:val="15"/>
                <w:szCs w:val="15"/>
              </w:rPr>
              <w:t>，</w:t>
            </w:r>
            <w:r>
              <w:rPr>
                <w:rFonts w:ascii="Times New Roman" w:hAnsi="Times New Roman" w:cs="Times New Roman"/>
                <w:i/>
                <w:sz w:val="15"/>
                <w:szCs w:val="15"/>
              </w:rPr>
              <w:t>φ′</w:t>
            </w:r>
          </w:p>
        </w:tc>
      </w:tr>
      <w:tr w14:paraId="1340D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068" w:type="pct"/>
            <w:vAlign w:val="center"/>
          </w:tcPr>
          <w:p w14:paraId="13C9CA8F">
            <w:pPr>
              <w:snapToGrid w:val="0"/>
              <w:jc w:val="center"/>
              <w:rPr>
                <w:rFonts w:ascii="Times New Roman" w:hAnsi="Times New Roman" w:cs="Times New Roman"/>
                <w:sz w:val="15"/>
                <w:szCs w:val="15"/>
              </w:rPr>
            </w:pPr>
            <w:r>
              <w:rPr>
                <w:rFonts w:ascii="Times New Roman" w:hAnsi="Times New Roman" w:cs="Times New Roman"/>
                <w:sz w:val="15"/>
                <w:szCs w:val="15"/>
              </w:rPr>
              <w:t>不稳定渗流期</w:t>
            </w:r>
          </w:p>
        </w:tc>
        <w:tc>
          <w:tcPr>
            <w:tcW w:w="1341" w:type="pct"/>
            <w:vAlign w:val="center"/>
          </w:tcPr>
          <w:p w14:paraId="5B5EB5D4">
            <w:pPr>
              <w:snapToGrid w:val="0"/>
              <w:jc w:val="center"/>
              <w:rPr>
                <w:rFonts w:ascii="Times New Roman" w:hAnsi="Times New Roman" w:cs="Times New Roman"/>
                <w:sz w:val="15"/>
                <w:szCs w:val="15"/>
              </w:rPr>
            </w:pPr>
            <w:r>
              <w:rPr>
                <w:rFonts w:ascii="Times New Roman" w:hAnsi="Times New Roman" w:cs="Times New Roman"/>
                <w:sz w:val="15"/>
                <w:szCs w:val="15"/>
              </w:rPr>
              <w:t>总应力法</w:t>
            </w:r>
          </w:p>
        </w:tc>
        <w:tc>
          <w:tcPr>
            <w:tcW w:w="1589" w:type="pct"/>
            <w:vAlign w:val="center"/>
          </w:tcPr>
          <w:p w14:paraId="258AC308">
            <w:pPr>
              <w:snapToGrid w:val="0"/>
              <w:jc w:val="center"/>
              <w:rPr>
                <w:rFonts w:ascii="Times New Roman" w:hAnsi="Times New Roman" w:cs="Times New Roman"/>
                <w:sz w:val="15"/>
                <w:szCs w:val="15"/>
              </w:rPr>
            </w:pPr>
            <w:r>
              <w:rPr>
                <w:rFonts w:ascii="Times New Roman" w:hAnsi="Times New Roman" w:cs="Times New Roman"/>
                <w:i/>
                <w:sz w:val="15"/>
                <w:szCs w:val="15"/>
              </w:rPr>
              <w:t>C</w:t>
            </w:r>
            <w:r>
              <w:rPr>
                <w:rFonts w:ascii="Times New Roman" w:hAnsi="Times New Roman" w:cs="Times New Roman"/>
                <w:i/>
                <w:sz w:val="15"/>
                <w:szCs w:val="15"/>
                <w:vertAlign w:val="subscript"/>
              </w:rPr>
              <w:t>cu</w:t>
            </w:r>
            <w:r>
              <w:rPr>
                <w:rFonts w:ascii="Times New Roman" w:hAnsi="Times New Roman" w:cs="Times New Roman"/>
                <w:sz w:val="15"/>
                <w:szCs w:val="15"/>
              </w:rPr>
              <w:t>，</w:t>
            </w:r>
            <w:r>
              <w:rPr>
                <w:rFonts w:ascii="Times New Roman" w:hAnsi="Times New Roman" w:cs="Times New Roman"/>
                <w:i/>
                <w:sz w:val="15"/>
                <w:szCs w:val="15"/>
              </w:rPr>
              <w:t>φ</w:t>
            </w:r>
            <w:r>
              <w:rPr>
                <w:rFonts w:ascii="Times New Roman" w:hAnsi="Times New Roman" w:cs="Times New Roman"/>
                <w:i/>
                <w:sz w:val="15"/>
                <w:szCs w:val="15"/>
                <w:vertAlign w:val="subscript"/>
              </w:rPr>
              <w:t>cu</w:t>
            </w:r>
          </w:p>
        </w:tc>
      </w:tr>
    </w:tbl>
    <w:p w14:paraId="694DEA99">
      <w:pPr>
        <w:snapToGrid w:val="0"/>
        <w:spacing w:before="156" w:beforeLines="50" w:line="360" w:lineRule="auto"/>
        <w:ind w:firstLine="420" w:firstLineChars="200"/>
        <w:rPr>
          <w:rFonts w:ascii="Times New Roman" w:hAnsi="Times New Roman" w:cs="Times New Roman"/>
          <w:sz w:val="21"/>
          <w:szCs w:val="21"/>
        </w:rPr>
      </w:pPr>
      <w:r>
        <w:rPr>
          <w:rFonts w:ascii="Times New Roman" w:hAnsi="Times New Roman" w:cs="Times New Roman"/>
          <w:sz w:val="21"/>
          <w:szCs w:val="21"/>
        </w:rPr>
        <w:t>运用本标准公式（B.0.2-1）、（B.0.2-2）时，应遵守下列原则：</w:t>
      </w:r>
    </w:p>
    <w:p w14:paraId="0E339290">
      <w:pPr>
        <w:snapToGrid w:val="0"/>
        <w:spacing w:line="360" w:lineRule="auto"/>
        <w:ind w:left="630" w:leftChars="225" w:firstLine="327" w:firstLineChars="155"/>
        <w:rPr>
          <w:rFonts w:ascii="Times New Roman" w:hAnsi="Times New Roman" w:cs="Times New Roman"/>
          <w:sz w:val="21"/>
          <w:szCs w:val="21"/>
        </w:rPr>
      </w:pPr>
      <w:r>
        <w:rPr>
          <w:rFonts w:ascii="Times New Roman" w:hAnsi="Times New Roman" w:eastAsia="黑体" w:cs="Times New Roman"/>
          <w:b/>
          <w:sz w:val="21"/>
          <w:szCs w:val="21"/>
        </w:rPr>
        <w:t>1</w:t>
      </w:r>
      <w:r>
        <w:rPr>
          <w:rFonts w:hint="eastAsia" w:ascii="宋体" w:hAnsi="宋体"/>
          <w:sz w:val="21"/>
          <w:szCs w:val="21"/>
        </w:rPr>
        <w:t>）</w:t>
      </w:r>
      <w:r>
        <w:rPr>
          <w:rFonts w:ascii="Times New Roman" w:hAnsi="Times New Roman" w:cs="Times New Roman"/>
          <w:sz w:val="21"/>
          <w:szCs w:val="21"/>
        </w:rPr>
        <w:t>静力计算时，地震惯性力应等于零；</w:t>
      </w:r>
    </w:p>
    <w:p w14:paraId="359A00BC">
      <w:pPr>
        <w:snapToGrid w:val="0"/>
        <w:spacing w:line="360" w:lineRule="auto"/>
        <w:ind w:left="630" w:leftChars="225" w:firstLine="327" w:firstLineChars="155"/>
        <w:rPr>
          <w:rFonts w:ascii="Times New Roman" w:hAnsi="Times New Roman" w:cs="Times New Roman"/>
          <w:sz w:val="21"/>
          <w:szCs w:val="21"/>
        </w:rPr>
      </w:pPr>
      <w:r>
        <w:rPr>
          <w:rFonts w:ascii="Times New Roman" w:hAnsi="Times New Roman" w:eastAsia="黑体" w:cs="Times New Roman"/>
          <w:b/>
          <w:sz w:val="21"/>
          <w:szCs w:val="21"/>
        </w:rPr>
        <w:t>2</w:t>
      </w:r>
      <w:r>
        <w:rPr>
          <w:rFonts w:hint="eastAsia" w:ascii="宋体" w:hAnsi="宋体"/>
          <w:sz w:val="21"/>
          <w:szCs w:val="21"/>
        </w:rPr>
        <w:t>）</w:t>
      </w:r>
      <w:r>
        <w:rPr>
          <w:rFonts w:ascii="Times New Roman" w:hAnsi="Times New Roman" w:cs="Times New Roman"/>
          <w:sz w:val="21"/>
          <w:szCs w:val="21"/>
        </w:rPr>
        <w:t>坝体（或弃渣）无渗流期运用时，条块应为湿容重；</w:t>
      </w:r>
    </w:p>
    <w:p w14:paraId="34A30102">
      <w:pPr>
        <w:tabs>
          <w:tab w:val="left" w:pos="964"/>
        </w:tabs>
        <w:spacing w:line="360" w:lineRule="auto"/>
        <w:ind w:left="1290" w:leftChars="341" w:hanging="335" w:hangingChars="159"/>
        <w:rPr>
          <w:rFonts w:ascii="Times New Roman" w:hAnsi="Times New Roman" w:cs="Times New Roman"/>
          <w:sz w:val="21"/>
          <w:szCs w:val="21"/>
        </w:rPr>
      </w:pPr>
      <w:r>
        <w:rPr>
          <w:rFonts w:ascii="Times New Roman" w:hAnsi="Times New Roman" w:eastAsia="黑体" w:cs="Times New Roman"/>
          <w:b/>
          <w:sz w:val="21"/>
          <w:szCs w:val="21"/>
        </w:rPr>
        <w:t>3</w:t>
      </w:r>
      <w:r>
        <w:rPr>
          <w:rFonts w:hint="eastAsia" w:ascii="宋体" w:hAnsi="宋体"/>
          <w:sz w:val="21"/>
          <w:szCs w:val="21"/>
        </w:rPr>
        <w:t>）</w:t>
      </w:r>
      <w:r>
        <w:rPr>
          <w:rFonts w:ascii="Times New Roman" w:hAnsi="Times New Roman" w:cs="Times New Roman"/>
          <w:sz w:val="21"/>
          <w:szCs w:val="21"/>
        </w:rPr>
        <w:t>稳定渗流期用有效应力法计算，孔隙压力</w:t>
      </w:r>
      <w:r>
        <w:rPr>
          <w:rFonts w:ascii="Times New Roman" w:hAnsi="Times New Roman" w:cs="Times New Roman"/>
          <w:i/>
          <w:sz w:val="21"/>
          <w:szCs w:val="21"/>
        </w:rPr>
        <w:t>u</w:t>
      </w:r>
      <w:r>
        <w:rPr>
          <w:rFonts w:ascii="Times New Roman" w:hAnsi="Times New Roman" w:cs="Times New Roman"/>
          <w:sz w:val="21"/>
          <w:szCs w:val="21"/>
        </w:rPr>
        <w:t>应由“</w:t>
      </w:r>
      <w:r>
        <w:rPr>
          <w:rFonts w:ascii="Times New Roman" w:hAnsi="Times New Roman" w:cs="Times New Roman"/>
          <w:i/>
          <w:sz w:val="21"/>
          <w:szCs w:val="21"/>
        </w:rPr>
        <w:t>u</w:t>
      </w:r>
      <w:r>
        <w:rPr>
          <w:rFonts w:ascii="Times New Roman" w:hAnsi="Times New Roman" w:cs="Times New Roman"/>
          <w:sz w:val="21"/>
          <w:szCs w:val="21"/>
        </w:rPr>
        <w:t>-</w:t>
      </w:r>
      <w:r>
        <w:rPr>
          <w:rFonts w:ascii="Times New Roman" w:hAnsi="Times New Roman" w:cs="Times New Roman"/>
          <w:i/>
          <w:sz w:val="21"/>
          <w:szCs w:val="21"/>
        </w:rPr>
        <w:t>γ</w:t>
      </w:r>
      <w:r>
        <w:rPr>
          <w:rFonts w:ascii="Times New Roman" w:hAnsi="Times New Roman" w:cs="Times New Roman"/>
          <w:i/>
          <w:sz w:val="21"/>
          <w:szCs w:val="21"/>
          <w:vertAlign w:val="subscript"/>
        </w:rPr>
        <w:t>ｗ</w:t>
      </w:r>
      <w:r>
        <w:rPr>
          <w:rFonts w:ascii="Times New Roman" w:hAnsi="Times New Roman" w:cs="Times New Roman"/>
          <w:i/>
          <w:sz w:val="21"/>
          <w:szCs w:val="21"/>
        </w:rPr>
        <w:t>Z</w:t>
      </w:r>
      <w:r>
        <w:rPr>
          <w:rFonts w:ascii="Times New Roman" w:hAnsi="Times New Roman" w:cs="Times New Roman"/>
          <w:sz w:val="21"/>
          <w:szCs w:val="21"/>
        </w:rPr>
        <w:t>”代替，条块重</w:t>
      </w:r>
      <w:r>
        <w:rPr>
          <w:rFonts w:ascii="Times New Roman" w:hAnsi="Times New Roman" w:cs="Times New Roman"/>
          <w:i/>
          <w:sz w:val="21"/>
          <w:szCs w:val="21"/>
        </w:rPr>
        <w:t>W＝W</w:t>
      </w:r>
      <w:r>
        <w:rPr>
          <w:rFonts w:ascii="Times New Roman" w:hAnsi="Times New Roman" w:cs="Times New Roman"/>
          <w:i/>
          <w:sz w:val="21"/>
          <w:szCs w:val="21"/>
          <w:vertAlign w:val="subscript"/>
        </w:rPr>
        <w:t>1</w:t>
      </w:r>
      <w:r>
        <w:rPr>
          <w:rFonts w:ascii="Times New Roman" w:hAnsi="Times New Roman" w:cs="Times New Roman"/>
          <w:i/>
          <w:sz w:val="21"/>
          <w:szCs w:val="21"/>
        </w:rPr>
        <w:t>＋W</w:t>
      </w:r>
      <w:r>
        <w:rPr>
          <w:rFonts w:ascii="Times New Roman" w:hAnsi="Times New Roman" w:cs="Times New Roman"/>
          <w:i/>
          <w:sz w:val="21"/>
          <w:szCs w:val="21"/>
          <w:vertAlign w:val="subscript"/>
        </w:rPr>
        <w:t>2</w:t>
      </w:r>
      <w:r>
        <w:rPr>
          <w:rFonts w:ascii="Times New Roman" w:hAnsi="Times New Roman" w:cs="Times New Roman"/>
          <w:sz w:val="21"/>
          <w:szCs w:val="21"/>
        </w:rPr>
        <w:t>，</w:t>
      </w:r>
      <w:r>
        <w:rPr>
          <w:rFonts w:ascii="Times New Roman" w:hAnsi="Times New Roman" w:cs="Times New Roman"/>
          <w:i/>
          <w:sz w:val="21"/>
          <w:szCs w:val="21"/>
        </w:rPr>
        <w:t>W</w:t>
      </w:r>
      <w:r>
        <w:rPr>
          <w:rFonts w:ascii="Times New Roman" w:hAnsi="Times New Roman" w:cs="Times New Roman"/>
          <w:i/>
          <w:sz w:val="21"/>
          <w:szCs w:val="21"/>
          <w:vertAlign w:val="subscript"/>
        </w:rPr>
        <w:t>1</w:t>
      </w:r>
      <w:r>
        <w:rPr>
          <w:rFonts w:ascii="Times New Roman" w:hAnsi="Times New Roman" w:cs="Times New Roman"/>
          <w:sz w:val="21"/>
          <w:szCs w:val="21"/>
        </w:rPr>
        <w:t>为外水位以上条块实重，浸润线以上为湿重，浸润线和外水位之间为饱和重，</w:t>
      </w:r>
      <w:r>
        <w:rPr>
          <w:rFonts w:ascii="Times New Roman" w:hAnsi="Times New Roman" w:cs="Times New Roman"/>
          <w:i/>
          <w:sz w:val="21"/>
          <w:szCs w:val="21"/>
        </w:rPr>
        <w:t>W</w:t>
      </w:r>
      <w:r>
        <w:rPr>
          <w:rFonts w:ascii="Times New Roman" w:hAnsi="Times New Roman" w:cs="Times New Roman"/>
          <w:i/>
          <w:sz w:val="21"/>
          <w:szCs w:val="21"/>
          <w:vertAlign w:val="subscript"/>
        </w:rPr>
        <w:t>2</w:t>
      </w:r>
      <w:r>
        <w:rPr>
          <w:rFonts w:ascii="Times New Roman" w:hAnsi="Times New Roman" w:cs="Times New Roman"/>
          <w:sz w:val="21"/>
          <w:szCs w:val="21"/>
        </w:rPr>
        <w:t>为外水位以下条块浮重；</w:t>
      </w:r>
    </w:p>
    <w:p w14:paraId="0A451EE7">
      <w:pPr>
        <w:spacing w:line="360" w:lineRule="auto"/>
        <w:ind w:left="1268" w:leftChars="342" w:hanging="310" w:hangingChars="147"/>
        <w:rPr>
          <w:rFonts w:ascii="Times New Roman" w:hAnsi="Times New Roman" w:cs="Times New Roman"/>
          <w:sz w:val="21"/>
          <w:szCs w:val="21"/>
        </w:rPr>
      </w:pPr>
      <w:r>
        <w:rPr>
          <w:rFonts w:ascii="Times New Roman" w:hAnsi="Times New Roman" w:eastAsia="黑体" w:cs="Times New Roman"/>
          <w:b/>
          <w:sz w:val="21"/>
          <w:szCs w:val="21"/>
        </w:rPr>
        <w:t>4</w:t>
      </w:r>
      <w:r>
        <w:rPr>
          <w:rFonts w:hint="eastAsia" w:ascii="宋体" w:hAnsi="宋体"/>
          <w:sz w:val="21"/>
          <w:szCs w:val="21"/>
        </w:rPr>
        <w:t>）</w:t>
      </w:r>
      <w:r>
        <w:rPr>
          <w:rFonts w:ascii="Times New Roman" w:hAnsi="Times New Roman" w:cs="Times New Roman"/>
          <w:sz w:val="21"/>
          <w:szCs w:val="21"/>
        </w:rPr>
        <w:t>水位降落期用有效应力法计算时，应按降落后的水位计算，方法同本条第3款。用应力法时，</w:t>
      </w:r>
      <w:r>
        <w:rPr>
          <w:rFonts w:ascii="Times New Roman" w:hAnsi="Times New Roman" w:cs="Times New Roman"/>
          <w:i/>
          <w:sz w:val="21"/>
          <w:szCs w:val="21"/>
        </w:rPr>
        <w:t>c′、φ′</w:t>
      </w:r>
      <w:r>
        <w:rPr>
          <w:rFonts w:ascii="Times New Roman" w:hAnsi="Times New Roman" w:cs="Times New Roman"/>
          <w:sz w:val="21"/>
          <w:szCs w:val="21"/>
        </w:rPr>
        <w:t>应采用</w:t>
      </w:r>
      <w:r>
        <w:rPr>
          <w:rFonts w:ascii="Times New Roman" w:hAnsi="Times New Roman" w:cs="Times New Roman"/>
          <w:i/>
          <w:sz w:val="21"/>
          <w:szCs w:val="21"/>
        </w:rPr>
        <w:t>c</w:t>
      </w:r>
      <w:r>
        <w:rPr>
          <w:rFonts w:ascii="Times New Roman" w:hAnsi="Times New Roman" w:cs="Times New Roman"/>
          <w:i/>
          <w:sz w:val="21"/>
          <w:szCs w:val="21"/>
          <w:vertAlign w:val="subscript"/>
        </w:rPr>
        <w:t>cu</w:t>
      </w:r>
      <w:r>
        <w:rPr>
          <w:rFonts w:ascii="Times New Roman" w:hAnsi="Times New Roman" w:cs="Times New Roman"/>
          <w:i/>
          <w:sz w:val="21"/>
          <w:szCs w:val="21"/>
        </w:rPr>
        <w:t>、φ</w:t>
      </w:r>
      <w:r>
        <w:rPr>
          <w:rFonts w:ascii="Times New Roman" w:hAnsi="Times New Roman" w:cs="Times New Roman"/>
          <w:i/>
          <w:sz w:val="21"/>
          <w:szCs w:val="21"/>
          <w:vertAlign w:val="subscript"/>
        </w:rPr>
        <w:t>cu</w:t>
      </w:r>
      <w:r>
        <w:rPr>
          <w:rFonts w:ascii="Times New Roman" w:hAnsi="Times New Roman" w:cs="Times New Roman"/>
          <w:sz w:val="21"/>
          <w:szCs w:val="21"/>
        </w:rPr>
        <w:t>代替；分子应采用水位降落前条块重</w:t>
      </w:r>
      <w:r>
        <w:rPr>
          <w:rFonts w:ascii="Times New Roman" w:hAnsi="Times New Roman" w:cs="Times New Roman"/>
          <w:i/>
          <w:sz w:val="21"/>
          <w:szCs w:val="21"/>
        </w:rPr>
        <w:t>W＝W</w:t>
      </w:r>
      <w:r>
        <w:rPr>
          <w:rFonts w:ascii="Times New Roman" w:hAnsi="Times New Roman" w:cs="Times New Roman"/>
          <w:i/>
          <w:sz w:val="21"/>
          <w:szCs w:val="21"/>
          <w:vertAlign w:val="subscript"/>
        </w:rPr>
        <w:t>1</w:t>
      </w:r>
      <w:r>
        <w:rPr>
          <w:rFonts w:ascii="Times New Roman" w:hAnsi="Times New Roman" w:cs="Times New Roman"/>
          <w:sz w:val="21"/>
          <w:szCs w:val="21"/>
        </w:rPr>
        <w:t>＋</w:t>
      </w:r>
      <w:r>
        <w:rPr>
          <w:rFonts w:ascii="Times New Roman" w:hAnsi="Times New Roman" w:cs="Times New Roman"/>
          <w:i/>
          <w:sz w:val="21"/>
          <w:szCs w:val="21"/>
        </w:rPr>
        <w:t>W</w:t>
      </w:r>
      <w:r>
        <w:rPr>
          <w:rFonts w:ascii="Times New Roman" w:hAnsi="Times New Roman" w:cs="Times New Roman"/>
          <w:i/>
          <w:sz w:val="21"/>
          <w:szCs w:val="21"/>
          <w:vertAlign w:val="subscript"/>
        </w:rPr>
        <w:t>2</w:t>
      </w:r>
      <w:r>
        <w:rPr>
          <w:rFonts w:ascii="Times New Roman" w:hAnsi="Times New Roman" w:cs="Times New Roman"/>
          <w:sz w:val="21"/>
          <w:szCs w:val="21"/>
        </w:rPr>
        <w:t>，</w:t>
      </w:r>
      <w:r>
        <w:rPr>
          <w:rFonts w:ascii="Times New Roman" w:hAnsi="Times New Roman" w:cs="Times New Roman"/>
          <w:i/>
          <w:sz w:val="21"/>
          <w:szCs w:val="21"/>
        </w:rPr>
        <w:t>W</w:t>
      </w:r>
      <w:r>
        <w:rPr>
          <w:rFonts w:ascii="Times New Roman" w:hAnsi="Times New Roman" w:cs="Times New Roman"/>
          <w:i/>
          <w:sz w:val="21"/>
          <w:szCs w:val="21"/>
          <w:vertAlign w:val="subscript"/>
        </w:rPr>
        <w:t>1</w:t>
      </w:r>
      <w:r>
        <w:rPr>
          <w:rFonts w:ascii="Times New Roman" w:hAnsi="Times New Roman" w:cs="Times New Roman"/>
          <w:sz w:val="21"/>
          <w:szCs w:val="21"/>
        </w:rPr>
        <w:t>为外水位以上条块湿重，</w:t>
      </w:r>
      <w:r>
        <w:rPr>
          <w:rFonts w:ascii="Times New Roman" w:hAnsi="Times New Roman" w:cs="Times New Roman"/>
          <w:i/>
          <w:sz w:val="21"/>
          <w:szCs w:val="21"/>
        </w:rPr>
        <w:t>W</w:t>
      </w:r>
      <w:r>
        <w:rPr>
          <w:rFonts w:ascii="Times New Roman" w:hAnsi="Times New Roman" w:cs="Times New Roman"/>
          <w:i/>
          <w:sz w:val="21"/>
          <w:szCs w:val="21"/>
          <w:vertAlign w:val="subscript"/>
        </w:rPr>
        <w:t>2</w:t>
      </w:r>
      <w:r>
        <w:rPr>
          <w:rFonts w:ascii="Times New Roman" w:hAnsi="Times New Roman" w:cs="Times New Roman"/>
          <w:sz w:val="21"/>
          <w:szCs w:val="21"/>
        </w:rPr>
        <w:t>为外水位以下条块浮容重；分母应采用水位降落后条块重</w:t>
      </w:r>
      <w:r>
        <w:rPr>
          <w:rFonts w:ascii="Times New Roman" w:hAnsi="Times New Roman" w:cs="Times New Roman"/>
          <w:i/>
          <w:sz w:val="21"/>
          <w:szCs w:val="21"/>
        </w:rPr>
        <w:t>W＝W</w:t>
      </w:r>
      <w:r>
        <w:rPr>
          <w:rFonts w:ascii="Times New Roman" w:hAnsi="Times New Roman" w:cs="Times New Roman"/>
          <w:i/>
          <w:sz w:val="21"/>
          <w:szCs w:val="21"/>
          <w:vertAlign w:val="subscript"/>
        </w:rPr>
        <w:t>1</w:t>
      </w:r>
      <w:r>
        <w:rPr>
          <w:rFonts w:ascii="Times New Roman" w:hAnsi="Times New Roman" w:cs="Times New Roman"/>
          <w:sz w:val="21"/>
          <w:szCs w:val="21"/>
        </w:rPr>
        <w:t>＋</w:t>
      </w:r>
      <w:r>
        <w:rPr>
          <w:rFonts w:ascii="Times New Roman" w:hAnsi="Times New Roman" w:cs="Times New Roman"/>
          <w:i/>
          <w:sz w:val="21"/>
          <w:szCs w:val="21"/>
        </w:rPr>
        <w:t>W</w:t>
      </w:r>
      <w:r>
        <w:rPr>
          <w:rFonts w:ascii="Times New Roman" w:hAnsi="Times New Roman" w:cs="Times New Roman"/>
          <w:i/>
          <w:sz w:val="21"/>
          <w:szCs w:val="21"/>
          <w:vertAlign w:val="subscript"/>
        </w:rPr>
        <w:t>2</w:t>
      </w:r>
      <w:r>
        <w:rPr>
          <w:rFonts w:ascii="Times New Roman" w:hAnsi="Times New Roman" w:cs="Times New Roman"/>
          <w:sz w:val="21"/>
          <w:szCs w:val="21"/>
        </w:rPr>
        <w:t>，</w:t>
      </w:r>
      <w:r>
        <w:rPr>
          <w:rFonts w:ascii="Times New Roman" w:hAnsi="Times New Roman" w:cs="Times New Roman"/>
          <w:i/>
          <w:sz w:val="21"/>
          <w:szCs w:val="21"/>
        </w:rPr>
        <w:t>W</w:t>
      </w:r>
      <w:r>
        <w:rPr>
          <w:rFonts w:ascii="Times New Roman" w:hAnsi="Times New Roman" w:cs="Times New Roman"/>
          <w:i/>
          <w:sz w:val="21"/>
          <w:szCs w:val="21"/>
          <w:vertAlign w:val="subscript"/>
        </w:rPr>
        <w:t>1</w:t>
      </w:r>
      <w:r>
        <w:rPr>
          <w:rFonts w:ascii="Times New Roman" w:hAnsi="Times New Roman" w:cs="Times New Roman"/>
          <w:sz w:val="21"/>
          <w:szCs w:val="21"/>
        </w:rPr>
        <w:t>浸润线以上为湿重，浸润线和外水位之间为饱和重，</w:t>
      </w:r>
      <w:r>
        <w:rPr>
          <w:rFonts w:ascii="Times New Roman" w:hAnsi="Times New Roman" w:cs="Times New Roman"/>
          <w:i/>
          <w:sz w:val="21"/>
          <w:szCs w:val="21"/>
        </w:rPr>
        <w:t>W</w:t>
      </w:r>
      <w:r>
        <w:rPr>
          <w:rFonts w:ascii="Times New Roman" w:hAnsi="Times New Roman" w:cs="Times New Roman"/>
          <w:i/>
          <w:sz w:val="21"/>
          <w:szCs w:val="21"/>
          <w:vertAlign w:val="subscript"/>
        </w:rPr>
        <w:t>2</w:t>
      </w:r>
      <w:r>
        <w:rPr>
          <w:rFonts w:ascii="Times New Roman" w:hAnsi="Times New Roman" w:cs="Times New Roman"/>
          <w:sz w:val="21"/>
          <w:szCs w:val="21"/>
        </w:rPr>
        <w:t>为外水位以下条块浮容重；</w:t>
      </w:r>
      <w:r>
        <w:rPr>
          <w:rFonts w:ascii="Times New Roman" w:hAnsi="Times New Roman" w:cs="Times New Roman"/>
          <w:i/>
          <w:sz w:val="21"/>
          <w:szCs w:val="21"/>
        </w:rPr>
        <w:t>u</w:t>
      </w:r>
      <w:r>
        <w:rPr>
          <w:rFonts w:ascii="Times New Roman" w:hAnsi="Times New Roman" w:cs="Times New Roman"/>
          <w:sz w:val="21"/>
          <w:szCs w:val="21"/>
        </w:rPr>
        <w:t>采用</w:t>
      </w:r>
      <w:r>
        <w:rPr>
          <w:rFonts w:ascii="Times New Roman" w:hAnsi="Times New Roman" w:cs="Times New Roman"/>
          <w:i/>
          <w:sz w:val="21"/>
          <w:szCs w:val="21"/>
        </w:rPr>
        <w:t>u</w:t>
      </w:r>
      <w:r>
        <w:rPr>
          <w:rFonts w:ascii="Times New Roman" w:hAnsi="Times New Roman" w:cs="Times New Roman"/>
          <w:i/>
          <w:sz w:val="21"/>
          <w:szCs w:val="21"/>
          <w:vertAlign w:val="subscript"/>
        </w:rPr>
        <w:t>i</w:t>
      </w:r>
      <w:r>
        <w:rPr>
          <w:rFonts w:ascii="Times New Roman" w:hAnsi="Times New Roman" w:cs="Times New Roman"/>
          <w:sz w:val="21"/>
          <w:szCs w:val="21"/>
        </w:rPr>
        <w:t>－</w:t>
      </w:r>
      <w:r>
        <w:rPr>
          <w:rFonts w:ascii="Times New Roman" w:hAnsi="Times New Roman" w:cs="Times New Roman"/>
          <w:i/>
          <w:sz w:val="21"/>
          <w:szCs w:val="21"/>
        </w:rPr>
        <w:t>γ</w:t>
      </w:r>
      <w:r>
        <w:rPr>
          <w:rFonts w:ascii="Times New Roman" w:hAnsi="Times New Roman" w:cs="Times New Roman"/>
          <w:i/>
          <w:sz w:val="21"/>
          <w:szCs w:val="21"/>
          <w:vertAlign w:val="subscript"/>
        </w:rPr>
        <w:t>ｗ</w:t>
      </w:r>
      <w:r>
        <w:rPr>
          <w:rFonts w:ascii="Times New Roman" w:hAnsi="Times New Roman" w:cs="Times New Roman"/>
          <w:i/>
          <w:sz w:val="21"/>
          <w:szCs w:val="21"/>
        </w:rPr>
        <w:t>Z</w:t>
      </w:r>
      <w:r>
        <w:rPr>
          <w:rFonts w:ascii="Times New Roman" w:hAnsi="Times New Roman" w:cs="Times New Roman"/>
          <w:sz w:val="21"/>
          <w:szCs w:val="21"/>
        </w:rPr>
        <w:t>代替，</w:t>
      </w:r>
      <w:r>
        <w:rPr>
          <w:rFonts w:ascii="Times New Roman" w:hAnsi="Times New Roman" w:cs="Times New Roman"/>
          <w:i/>
          <w:sz w:val="21"/>
          <w:szCs w:val="21"/>
        </w:rPr>
        <w:t>u</w:t>
      </w:r>
      <w:r>
        <w:rPr>
          <w:rFonts w:ascii="Times New Roman" w:hAnsi="Times New Roman" w:cs="Times New Roman"/>
          <w:i/>
          <w:sz w:val="21"/>
          <w:szCs w:val="21"/>
          <w:vertAlign w:val="subscript"/>
        </w:rPr>
        <w:t>i</w:t>
      </w:r>
      <w:r>
        <w:rPr>
          <w:rFonts w:ascii="Times New Roman" w:hAnsi="Times New Roman" w:cs="Times New Roman"/>
          <w:sz w:val="21"/>
          <w:szCs w:val="21"/>
        </w:rPr>
        <w:t>为水位降落前孔隙压力。</w:t>
      </w:r>
    </w:p>
    <w:p w14:paraId="6885C34C">
      <w:pPr>
        <w:spacing w:line="360" w:lineRule="auto"/>
        <w:rPr>
          <w:rFonts w:ascii="Times New Roman" w:hAnsi="Times New Roman" w:cs="Times New Roman"/>
          <w:sz w:val="21"/>
          <w:szCs w:val="21"/>
        </w:rPr>
      </w:pPr>
      <w:r>
        <w:rPr>
          <w:rFonts w:ascii="Times New Roman" w:hAnsi="Times New Roman" w:eastAsia="黑体" w:cs="Times New Roman"/>
          <w:b/>
          <w:sz w:val="21"/>
          <w:szCs w:val="21"/>
        </w:rPr>
        <w:t>B.0.3</w:t>
      </w:r>
      <w:r>
        <w:rPr>
          <w:rFonts w:ascii="Times New Roman" w:hAnsi="Times New Roman" w:cs="Times New Roman"/>
          <w:sz w:val="21"/>
          <w:szCs w:val="21"/>
        </w:rPr>
        <w:t xml:space="preserve">  坝体稳定计算，水坠坝应进行施工中、后期坝坡整体稳定及边埂自身稳定性计算，竣工后应进行稳定渗流期下游坝坡稳定计算。碾压式土坝应进行运用期下游坝坡稳定计算。地震区还应进行抗震稳定性验算。砌石坝应进行正常蓄水位和校核洪水位情况下稳定计算。</w:t>
      </w:r>
    </w:p>
    <w:p w14:paraId="7449CB59">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1</w:t>
      </w:r>
      <w:r>
        <w:rPr>
          <w:rFonts w:ascii="Times New Roman" w:hAnsi="Times New Roman" w:cs="Times New Roman"/>
          <w:b/>
          <w:sz w:val="21"/>
          <w:szCs w:val="21"/>
        </w:rPr>
        <w:t xml:space="preserve"> </w:t>
      </w:r>
      <w:r>
        <w:rPr>
          <w:rFonts w:ascii="Times New Roman" w:hAnsi="Times New Roman" w:cs="Times New Roman"/>
          <w:sz w:val="21"/>
          <w:szCs w:val="21"/>
        </w:rPr>
        <w:t xml:space="preserve"> 土坝的强度指标应按坝体设计干容重和含水率制样，采用三轴仪测定其总应力或有效应力强度指标，抗剪强度指标的测定和应用方法可按现行行业规范《碾压式土石坝设计规范》SL 274的有关规定选用。试验值可按表B.0.3-1的规定取值进行修正。</w:t>
      </w:r>
    </w:p>
    <w:p w14:paraId="4FFF0C21">
      <w:pPr>
        <w:snapToGrid w:val="0"/>
        <w:jc w:val="center"/>
        <w:rPr>
          <w:rFonts w:ascii="Times New Roman" w:hAnsi="Times New Roman" w:eastAsia="黑体" w:cs="Times New Roman"/>
          <w:sz w:val="18"/>
          <w:szCs w:val="18"/>
        </w:rPr>
      </w:pPr>
      <w:r>
        <w:rPr>
          <w:rFonts w:ascii="Times New Roman" w:hAnsi="Times New Roman" w:eastAsia="黑体" w:cs="Times New Roman"/>
          <w:sz w:val="18"/>
          <w:szCs w:val="18"/>
        </w:rPr>
        <w:t>表B.0.3-1</w:t>
      </w:r>
      <w:r>
        <w:rPr>
          <w:rFonts w:hint="eastAsia" w:ascii="Times New Roman" w:hAnsi="Times New Roman" w:eastAsia="黑体" w:cs="Times New Roman"/>
          <w:sz w:val="18"/>
          <w:szCs w:val="18"/>
        </w:rPr>
        <w:t xml:space="preserve"> </w:t>
      </w:r>
      <w:r>
        <w:rPr>
          <w:rFonts w:ascii="Times New Roman" w:hAnsi="Times New Roman" w:eastAsia="黑体" w:cs="Times New Roman"/>
          <w:sz w:val="18"/>
          <w:szCs w:val="18"/>
        </w:rPr>
        <w:t xml:space="preserve"> 强度指标修正系数</w:t>
      </w:r>
    </w:p>
    <w:tbl>
      <w:tblPr>
        <w:tblStyle w:val="10"/>
        <w:tblW w:w="499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58"/>
        <w:gridCol w:w="4936"/>
        <w:gridCol w:w="1814"/>
      </w:tblGrid>
      <w:tr w14:paraId="63402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033" w:type="pct"/>
            <w:tcBorders>
              <w:tl2br w:val="nil"/>
              <w:tr2bl w:val="nil"/>
            </w:tcBorders>
            <w:vAlign w:val="center"/>
          </w:tcPr>
          <w:p w14:paraId="19B62116">
            <w:pPr>
              <w:snapToGrid w:val="0"/>
              <w:jc w:val="center"/>
              <w:rPr>
                <w:rFonts w:ascii="Times New Roman" w:hAnsi="Times New Roman" w:cs="Times New Roman"/>
                <w:sz w:val="15"/>
                <w:szCs w:val="15"/>
              </w:rPr>
            </w:pPr>
            <w:r>
              <w:rPr>
                <w:rFonts w:ascii="Times New Roman" w:hAnsi="Times New Roman" w:cs="Times New Roman"/>
                <w:sz w:val="15"/>
                <w:szCs w:val="15"/>
              </w:rPr>
              <w:t>计算方法</w:t>
            </w:r>
          </w:p>
        </w:tc>
        <w:tc>
          <w:tcPr>
            <w:tcW w:w="2901" w:type="pct"/>
            <w:tcBorders>
              <w:tl2br w:val="nil"/>
              <w:tr2bl w:val="nil"/>
            </w:tcBorders>
            <w:vAlign w:val="center"/>
          </w:tcPr>
          <w:p w14:paraId="16195CD4">
            <w:pPr>
              <w:snapToGrid w:val="0"/>
              <w:jc w:val="center"/>
              <w:rPr>
                <w:rFonts w:ascii="Times New Roman" w:hAnsi="Times New Roman" w:cs="Times New Roman"/>
                <w:sz w:val="15"/>
                <w:szCs w:val="15"/>
              </w:rPr>
            </w:pPr>
            <w:r>
              <w:rPr>
                <w:rFonts w:ascii="Times New Roman" w:hAnsi="Times New Roman" w:cs="Times New Roman"/>
                <w:sz w:val="15"/>
                <w:szCs w:val="15"/>
              </w:rPr>
              <w:t>试验方法</w:t>
            </w:r>
          </w:p>
        </w:tc>
        <w:tc>
          <w:tcPr>
            <w:tcW w:w="1066" w:type="pct"/>
            <w:tcBorders>
              <w:tl2br w:val="nil"/>
              <w:tr2bl w:val="nil"/>
            </w:tcBorders>
            <w:vAlign w:val="center"/>
          </w:tcPr>
          <w:p w14:paraId="3B1247BB">
            <w:pPr>
              <w:snapToGrid w:val="0"/>
              <w:jc w:val="center"/>
              <w:rPr>
                <w:rFonts w:ascii="Times New Roman" w:hAnsi="Times New Roman" w:cs="Times New Roman"/>
                <w:sz w:val="15"/>
                <w:szCs w:val="15"/>
              </w:rPr>
            </w:pPr>
            <w:r>
              <w:rPr>
                <w:rFonts w:ascii="Times New Roman" w:hAnsi="Times New Roman" w:cs="Times New Roman"/>
                <w:sz w:val="15"/>
                <w:szCs w:val="15"/>
              </w:rPr>
              <w:t>修正系数</w:t>
            </w:r>
          </w:p>
        </w:tc>
      </w:tr>
      <w:tr w14:paraId="0D5407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1033" w:type="pct"/>
            <w:tcBorders>
              <w:tl2br w:val="nil"/>
              <w:tr2bl w:val="nil"/>
            </w:tcBorders>
            <w:vAlign w:val="center"/>
          </w:tcPr>
          <w:p w14:paraId="6E17FF0B">
            <w:pPr>
              <w:snapToGrid w:val="0"/>
              <w:jc w:val="center"/>
              <w:rPr>
                <w:rFonts w:ascii="Times New Roman" w:hAnsi="Times New Roman" w:cs="Times New Roman"/>
                <w:sz w:val="15"/>
                <w:szCs w:val="15"/>
              </w:rPr>
            </w:pPr>
            <w:r>
              <w:rPr>
                <w:rFonts w:ascii="Times New Roman" w:hAnsi="Times New Roman" w:cs="Times New Roman"/>
                <w:sz w:val="15"/>
                <w:szCs w:val="15"/>
              </w:rPr>
              <w:t>总应力法</w:t>
            </w:r>
          </w:p>
        </w:tc>
        <w:tc>
          <w:tcPr>
            <w:tcW w:w="2901" w:type="pct"/>
            <w:tcBorders>
              <w:tl2br w:val="nil"/>
              <w:tr2bl w:val="nil"/>
            </w:tcBorders>
            <w:vAlign w:val="center"/>
          </w:tcPr>
          <w:p w14:paraId="07B066F6">
            <w:pPr>
              <w:snapToGrid w:val="0"/>
              <w:jc w:val="center"/>
              <w:rPr>
                <w:rFonts w:ascii="Times New Roman" w:hAnsi="Times New Roman" w:cs="Times New Roman"/>
                <w:sz w:val="15"/>
                <w:szCs w:val="15"/>
              </w:rPr>
            </w:pPr>
            <w:r>
              <w:rPr>
                <w:rFonts w:ascii="Times New Roman" w:hAnsi="Times New Roman" w:cs="Times New Roman"/>
                <w:sz w:val="15"/>
                <w:szCs w:val="15"/>
              </w:rPr>
              <w:t>三轴不固结不排水剪</w:t>
            </w:r>
          </w:p>
          <w:p w14:paraId="528FF5EC">
            <w:pPr>
              <w:snapToGrid w:val="0"/>
              <w:jc w:val="center"/>
              <w:rPr>
                <w:rFonts w:ascii="Times New Roman" w:hAnsi="Times New Roman" w:cs="Times New Roman"/>
                <w:sz w:val="15"/>
                <w:szCs w:val="15"/>
              </w:rPr>
            </w:pPr>
            <w:r>
              <w:rPr>
                <w:rFonts w:ascii="Times New Roman" w:hAnsi="Times New Roman" w:cs="Times New Roman"/>
                <w:sz w:val="15"/>
                <w:szCs w:val="15"/>
              </w:rPr>
              <w:t>直  剪  仪  快  剪</w:t>
            </w:r>
          </w:p>
        </w:tc>
        <w:tc>
          <w:tcPr>
            <w:tcW w:w="1066" w:type="pct"/>
            <w:tcBorders>
              <w:tl2br w:val="nil"/>
              <w:tr2bl w:val="nil"/>
            </w:tcBorders>
            <w:vAlign w:val="center"/>
          </w:tcPr>
          <w:p w14:paraId="11075594">
            <w:pPr>
              <w:snapToGrid w:val="0"/>
              <w:jc w:val="center"/>
              <w:rPr>
                <w:rFonts w:ascii="Times New Roman" w:hAnsi="Times New Roman" w:cs="Times New Roman"/>
                <w:sz w:val="15"/>
                <w:szCs w:val="15"/>
              </w:rPr>
            </w:pPr>
            <w:r>
              <w:rPr>
                <w:rFonts w:ascii="Times New Roman" w:hAnsi="Times New Roman" w:cs="Times New Roman"/>
                <w:sz w:val="15"/>
                <w:szCs w:val="15"/>
              </w:rPr>
              <w:t>1.0</w:t>
            </w:r>
          </w:p>
          <w:p w14:paraId="4EE948B1">
            <w:pPr>
              <w:snapToGrid w:val="0"/>
              <w:jc w:val="center"/>
              <w:rPr>
                <w:rFonts w:ascii="Times New Roman" w:hAnsi="Times New Roman" w:cs="Times New Roman"/>
                <w:sz w:val="15"/>
                <w:szCs w:val="15"/>
              </w:rPr>
            </w:pPr>
            <w:r>
              <w:rPr>
                <w:rFonts w:ascii="Times New Roman" w:hAnsi="Times New Roman" w:cs="Times New Roman"/>
                <w:sz w:val="15"/>
                <w:szCs w:val="15"/>
              </w:rPr>
              <w:t>0.5～0.8</w:t>
            </w:r>
          </w:p>
        </w:tc>
      </w:tr>
      <w:tr w14:paraId="4DF8FD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033" w:type="pct"/>
            <w:tcBorders>
              <w:tl2br w:val="nil"/>
              <w:tr2bl w:val="nil"/>
            </w:tcBorders>
            <w:vAlign w:val="center"/>
          </w:tcPr>
          <w:p w14:paraId="7D445D39">
            <w:pPr>
              <w:snapToGrid w:val="0"/>
              <w:jc w:val="center"/>
              <w:rPr>
                <w:rFonts w:ascii="Times New Roman" w:hAnsi="Times New Roman" w:cs="Times New Roman"/>
                <w:sz w:val="15"/>
                <w:szCs w:val="15"/>
              </w:rPr>
            </w:pPr>
            <w:r>
              <w:rPr>
                <w:rFonts w:ascii="Times New Roman" w:hAnsi="Times New Roman" w:cs="Times New Roman"/>
                <w:sz w:val="15"/>
                <w:szCs w:val="15"/>
              </w:rPr>
              <w:t>有效应力法</w:t>
            </w:r>
          </w:p>
        </w:tc>
        <w:tc>
          <w:tcPr>
            <w:tcW w:w="2901" w:type="pct"/>
            <w:tcBorders>
              <w:tl2br w:val="nil"/>
              <w:tr2bl w:val="nil"/>
            </w:tcBorders>
            <w:vAlign w:val="center"/>
          </w:tcPr>
          <w:p w14:paraId="7A422B75">
            <w:pPr>
              <w:snapToGrid w:val="0"/>
              <w:jc w:val="center"/>
              <w:rPr>
                <w:rFonts w:ascii="Times New Roman" w:hAnsi="Times New Roman" w:cs="Times New Roman"/>
                <w:sz w:val="15"/>
                <w:szCs w:val="15"/>
              </w:rPr>
            </w:pPr>
            <w:r>
              <w:rPr>
                <w:rFonts w:ascii="Times New Roman" w:hAnsi="Times New Roman" w:cs="Times New Roman"/>
                <w:sz w:val="15"/>
                <w:szCs w:val="15"/>
              </w:rPr>
              <w:t>三轴固结不排水剪（测孔压）</w:t>
            </w:r>
          </w:p>
          <w:p w14:paraId="3CCAD36D">
            <w:pPr>
              <w:snapToGrid w:val="0"/>
              <w:jc w:val="center"/>
              <w:rPr>
                <w:rFonts w:ascii="Times New Roman" w:hAnsi="Times New Roman" w:cs="Times New Roman"/>
                <w:sz w:val="15"/>
                <w:szCs w:val="15"/>
              </w:rPr>
            </w:pPr>
            <w:r>
              <w:rPr>
                <w:rFonts w:ascii="Times New Roman" w:hAnsi="Times New Roman" w:cs="Times New Roman"/>
                <w:sz w:val="15"/>
                <w:szCs w:val="15"/>
              </w:rPr>
              <w:t>直   剪   仪   慢   剪</w:t>
            </w:r>
          </w:p>
        </w:tc>
        <w:tc>
          <w:tcPr>
            <w:tcW w:w="1066" w:type="pct"/>
            <w:tcBorders>
              <w:tl2br w:val="nil"/>
              <w:tr2bl w:val="nil"/>
            </w:tcBorders>
            <w:vAlign w:val="center"/>
          </w:tcPr>
          <w:p w14:paraId="27BA9223">
            <w:pPr>
              <w:snapToGrid w:val="0"/>
              <w:jc w:val="center"/>
              <w:rPr>
                <w:rFonts w:ascii="Times New Roman" w:hAnsi="Times New Roman" w:cs="Times New Roman"/>
                <w:sz w:val="15"/>
                <w:szCs w:val="15"/>
              </w:rPr>
            </w:pPr>
            <w:r>
              <w:rPr>
                <w:rFonts w:ascii="Times New Roman" w:hAnsi="Times New Roman" w:cs="Times New Roman"/>
                <w:sz w:val="15"/>
                <w:szCs w:val="15"/>
              </w:rPr>
              <w:t>0.8</w:t>
            </w:r>
          </w:p>
          <w:p w14:paraId="45DFEF05">
            <w:pPr>
              <w:snapToGrid w:val="0"/>
              <w:jc w:val="center"/>
              <w:rPr>
                <w:rFonts w:ascii="Times New Roman" w:hAnsi="Times New Roman" w:cs="Times New Roman"/>
                <w:sz w:val="15"/>
                <w:szCs w:val="15"/>
              </w:rPr>
            </w:pPr>
            <w:r>
              <w:rPr>
                <w:rFonts w:ascii="Times New Roman" w:hAnsi="Times New Roman" w:cs="Times New Roman"/>
                <w:sz w:val="15"/>
                <w:szCs w:val="15"/>
              </w:rPr>
              <w:t>0.8</w:t>
            </w:r>
          </w:p>
        </w:tc>
      </w:tr>
    </w:tbl>
    <w:p w14:paraId="114AD259">
      <w:pPr>
        <w:snapToGrid w:val="0"/>
        <w:spacing w:before="62" w:beforeLines="20"/>
        <w:ind w:firstLine="300" w:firstLineChars="200"/>
        <w:rPr>
          <w:rFonts w:ascii="Times New Roman" w:hAnsi="Times New Roman" w:eastAsia="黑体" w:cs="Times New Roman"/>
          <w:sz w:val="21"/>
          <w:szCs w:val="21"/>
        </w:rPr>
      </w:pPr>
      <w:r>
        <w:rPr>
          <w:rFonts w:ascii="Times New Roman" w:hAnsi="Times New Roman" w:cs="Times New Roman"/>
          <w:sz w:val="15"/>
          <w:szCs w:val="15"/>
        </w:rPr>
        <w:t>注  根据试样在试验过程中的排水程度选用，排水较多时取小值。</w:t>
      </w:r>
    </w:p>
    <w:p w14:paraId="56E17A74">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2</w:t>
      </w:r>
      <w:r>
        <w:rPr>
          <w:rFonts w:ascii="Times New Roman" w:hAnsi="Times New Roman" w:eastAsia="黑体" w:cs="Times New Roman"/>
          <w:sz w:val="21"/>
          <w:szCs w:val="21"/>
        </w:rPr>
        <w:t xml:space="preserve">  </w:t>
      </w:r>
      <w:r>
        <w:rPr>
          <w:rFonts w:ascii="Times New Roman" w:hAnsi="Times New Roman" w:cs="Times New Roman"/>
          <w:sz w:val="21"/>
          <w:szCs w:val="21"/>
        </w:rPr>
        <w:t>当进行水坠坝施工期的坝坡整体稳定性计算时，坝体冲填土可按饱和土体采用差分法进行固结计算。采用总应力法计算坝体含水量分布，有效应力法计算坝体孔隙水压力分布。坝高15m以下的水坠坝可采用土坡稳定数图解法。具体计算方法应按现行行业规范《水坠坝技术规范》SL</w:t>
      </w:r>
      <w:r>
        <w:rPr>
          <w:rFonts w:hint="eastAsia" w:ascii="Times New Roman" w:hAnsi="Times New Roman" w:cs="Times New Roman"/>
          <w:sz w:val="21"/>
          <w:szCs w:val="21"/>
        </w:rPr>
        <w:t xml:space="preserve"> </w:t>
      </w:r>
      <w:r>
        <w:rPr>
          <w:rFonts w:ascii="Times New Roman" w:hAnsi="Times New Roman" w:cs="Times New Roman"/>
          <w:sz w:val="21"/>
          <w:szCs w:val="21"/>
        </w:rPr>
        <w:t>302的有关规定执行。</w:t>
      </w:r>
    </w:p>
    <w:p w14:paraId="409FCD19">
      <w:pPr>
        <w:spacing w:line="360" w:lineRule="auto"/>
        <w:ind w:firstLine="422" w:firstLineChars="200"/>
        <w:rPr>
          <w:rFonts w:ascii="Times New Roman" w:hAnsi="Times New Roman" w:cs="Times New Roman"/>
          <w:sz w:val="21"/>
          <w:szCs w:val="21"/>
        </w:rPr>
      </w:pPr>
      <w:r>
        <w:rPr>
          <w:rFonts w:ascii="Times New Roman" w:hAnsi="Times New Roman" w:eastAsia="黑体" w:cs="Times New Roman"/>
          <w:b/>
          <w:sz w:val="21"/>
          <w:szCs w:val="21"/>
        </w:rPr>
        <w:t>3</w:t>
      </w:r>
      <w:r>
        <w:rPr>
          <w:rFonts w:ascii="Times New Roman" w:hAnsi="Times New Roman" w:eastAsia="黑体" w:cs="Times New Roman"/>
          <w:sz w:val="21"/>
          <w:szCs w:val="21"/>
        </w:rPr>
        <w:t xml:space="preserve">  </w:t>
      </w:r>
      <w:r>
        <w:rPr>
          <w:rFonts w:ascii="Times New Roman" w:hAnsi="Times New Roman" w:cs="Times New Roman"/>
          <w:sz w:val="21"/>
          <w:szCs w:val="21"/>
        </w:rPr>
        <w:t>水坠坝施工期边埂自身稳定性计算应采用折线滑动面总应力法（图B.0.3），按下列公式计算：</w:t>
      </w:r>
    </w:p>
    <w:p w14:paraId="713E7251">
      <w:pPr>
        <w:jc w:val="center"/>
        <w:rPr>
          <w:rFonts w:ascii="Times New Roman" w:hAnsi="Times New Roman" w:cs="Times New Roman"/>
          <w:sz w:val="24"/>
          <w:szCs w:val="24"/>
        </w:rPr>
      </w:pPr>
      <w:r>
        <w:rPr>
          <w:rFonts w:ascii="Times New Roman" w:hAnsi="Times New Roman" w:cs="Times New Roman"/>
          <w:b/>
          <w:sz w:val="24"/>
          <w:szCs w:val="24"/>
        </w:rPr>
        <w:object>
          <v:shape id="_x0000_i1106" o:spt="75" type="#_x0000_t75" style="height:103.8pt;width:277.75pt;" o:ole="t" filled="f" o:preferrelative="t" stroked="f" coordsize="21600,21600">
            <v:path/>
            <v:fill on="f" focussize="0,0"/>
            <v:stroke on="f" joinstyle="miter"/>
            <v:imagedata r:id="rId228" o:title=""/>
            <o:lock v:ext="edit" aspectratio="t"/>
            <w10:wrap type="none"/>
            <w10:anchorlock/>
          </v:shape>
          <o:OLEObject Type="Embed" ProgID="AutoCAD.Drawing.16" ShapeID="_x0000_i1106" DrawAspect="Content" ObjectID="_1468075807" r:id="rId227">
            <o:LockedField>false</o:LockedField>
          </o:OLEObject>
        </w:object>
      </w:r>
    </w:p>
    <w:p w14:paraId="2DBC26DB">
      <w:pPr>
        <w:snapToGrid w:val="0"/>
        <w:spacing w:line="360" w:lineRule="auto"/>
        <w:jc w:val="center"/>
        <w:rPr>
          <w:rFonts w:ascii="Times New Roman" w:hAnsi="Times New Roman" w:eastAsia="黑体" w:cs="Times New Roman"/>
          <w:sz w:val="18"/>
          <w:szCs w:val="18"/>
        </w:rPr>
      </w:pPr>
      <w:r>
        <w:rPr>
          <w:rFonts w:ascii="Times New Roman" w:hAnsi="Times New Roman" w:eastAsia="黑体" w:cs="Times New Roman"/>
          <w:sz w:val="18"/>
          <w:szCs w:val="18"/>
        </w:rPr>
        <w:t>图B.0.3  折线滑动面力系图</w:t>
      </w:r>
    </w:p>
    <w:p w14:paraId="7735C373">
      <w:pPr>
        <w:tabs>
          <w:tab w:val="left" w:pos="6896"/>
        </w:tabs>
        <w:wordWrap w:val="0"/>
        <w:snapToGrid w:val="0"/>
        <w:spacing w:line="360" w:lineRule="auto"/>
        <w:ind w:left="-140" w:leftChars="-50" w:right="-143" w:rightChars="-51"/>
        <w:jc w:val="right"/>
        <w:rPr>
          <w:rFonts w:ascii="Times New Roman" w:hAnsi="Times New Roman" w:cs="Times New Roman"/>
          <w:sz w:val="21"/>
          <w:szCs w:val="21"/>
        </w:rPr>
      </w:pPr>
      <w:r>
        <w:rPr>
          <w:rFonts w:ascii="Times New Roman" w:hAnsi="Times New Roman" w:cs="Times New Roman"/>
          <w:b/>
          <w:position w:val="-28"/>
          <w:sz w:val="21"/>
          <w:szCs w:val="21"/>
        </w:rPr>
        <w:object>
          <v:shape id="_x0000_i1107" o:spt="75" type="#_x0000_t75" style="height:33.6pt;width:63.6pt;" o:ole="t" filled="f" o:preferrelative="t" stroked="f" coordsize="21600,21600">
            <v:path/>
            <v:fill on="f" focussize="0,0"/>
            <v:stroke on="f" joinstyle="miter"/>
            <v:imagedata r:id="rId230" o:title=""/>
            <o:lock v:ext="edit" aspectratio="t"/>
            <w10:wrap type="none"/>
            <w10:anchorlock/>
          </v:shape>
          <o:OLEObject Type="Embed" ProgID="Equation.3" ShapeID="_x0000_i1107" DrawAspect="Content" ObjectID="_1468075808" r:id="rId229">
            <o:LockedField>false</o:LockedField>
          </o:OLEObject>
        </w:object>
      </w:r>
      <w:r>
        <w:rPr>
          <w:rFonts w:ascii="Times New Roman" w:hAnsi="Times New Roman" w:cs="Times New Roman"/>
          <w:sz w:val="21"/>
          <w:szCs w:val="21"/>
        </w:rPr>
        <w:t xml:space="preserve">                               （B.0.3-1)</w:t>
      </w:r>
    </w:p>
    <w:p w14:paraId="7CA636F9">
      <w:pPr>
        <w:tabs>
          <w:tab w:val="left" w:pos="6896"/>
        </w:tabs>
        <w:snapToGrid w:val="0"/>
        <w:spacing w:line="360" w:lineRule="auto"/>
        <w:ind w:left="-140" w:leftChars="-50" w:right="-143" w:rightChars="-51"/>
        <w:jc w:val="right"/>
        <w:rPr>
          <w:rFonts w:ascii="Times New Roman" w:hAnsi="Times New Roman" w:cs="Times New Roman"/>
          <w:sz w:val="21"/>
          <w:szCs w:val="21"/>
        </w:rPr>
      </w:pPr>
      <w:r>
        <w:rPr>
          <w:rFonts w:ascii="Times New Roman" w:hAnsi="Times New Roman" w:cs="Times New Roman"/>
          <w:i/>
          <w:sz w:val="21"/>
          <w:szCs w:val="21"/>
        </w:rPr>
        <w:t>R=</w:t>
      </w:r>
      <w:r>
        <w:rPr>
          <w:rFonts w:ascii="Times New Roman" w:hAnsi="Times New Roman" w:cs="Times New Roman"/>
          <w:sz w:val="21"/>
          <w:szCs w:val="21"/>
        </w:rPr>
        <w:t>(</w:t>
      </w:r>
      <w:r>
        <w:rPr>
          <w:rFonts w:ascii="Times New Roman" w:hAnsi="Times New Roman" w:cs="Times New Roman"/>
          <w:i/>
          <w:sz w:val="21"/>
          <w:szCs w:val="21"/>
        </w:rPr>
        <w:t>W</w:t>
      </w:r>
      <w:r>
        <w:rPr>
          <w:rFonts w:ascii="Times New Roman" w:hAnsi="Times New Roman" w:cs="Times New Roman"/>
          <w:i/>
          <w:sz w:val="21"/>
          <w:szCs w:val="21"/>
          <w:vertAlign w:val="subscript"/>
        </w:rPr>
        <w:t>1</w:t>
      </w:r>
      <w:r>
        <w:rPr>
          <w:rFonts w:ascii="Times New Roman" w:hAnsi="Times New Roman" w:cs="Times New Roman"/>
          <w:i/>
          <w:sz w:val="21"/>
          <w:szCs w:val="21"/>
        </w:rPr>
        <w:t>+W</w:t>
      </w:r>
      <w:r>
        <w:rPr>
          <w:rFonts w:ascii="Times New Roman" w:hAnsi="Times New Roman" w:cs="Times New Roman"/>
          <w:i/>
          <w:sz w:val="21"/>
          <w:szCs w:val="21"/>
          <w:vertAlign w:val="subscript"/>
        </w:rPr>
        <w:t>2</w:t>
      </w:r>
      <w:r>
        <w:rPr>
          <w:rFonts w:ascii="Times New Roman" w:hAnsi="Times New Roman" w:cs="Times New Roman"/>
          <w:i/>
          <w:sz w:val="21"/>
          <w:szCs w:val="21"/>
        </w:rPr>
        <w:t>+W</w:t>
      </w:r>
      <w:r>
        <w:rPr>
          <w:rFonts w:ascii="Times New Roman" w:hAnsi="Times New Roman" w:cs="Times New Roman"/>
          <w:i/>
          <w:sz w:val="21"/>
          <w:szCs w:val="21"/>
          <w:vertAlign w:val="subscript"/>
        </w:rPr>
        <w:t>3</w:t>
      </w:r>
      <w:r>
        <w:rPr>
          <w:rFonts w:ascii="Times New Roman" w:hAnsi="Times New Roman" w:cs="Times New Roman"/>
          <w:sz w:val="21"/>
          <w:szCs w:val="21"/>
        </w:rPr>
        <w:t>)</w:t>
      </w:r>
      <w:r>
        <w:rPr>
          <w:rFonts w:ascii="Times New Roman" w:hAnsi="Times New Roman" w:cs="Times New Roman"/>
          <w:i/>
          <w:sz w:val="21"/>
          <w:szCs w:val="21"/>
        </w:rPr>
        <w:t>sinβ+W</w:t>
      </w:r>
      <w:r>
        <w:rPr>
          <w:rFonts w:ascii="Times New Roman" w:hAnsi="Times New Roman" w:cs="Times New Roman"/>
          <w:i/>
          <w:sz w:val="21"/>
          <w:szCs w:val="21"/>
          <w:vertAlign w:val="subscript"/>
        </w:rPr>
        <w:t>1</w:t>
      </w:r>
      <w:r>
        <w:rPr>
          <w:rFonts w:ascii="Times New Roman" w:hAnsi="Times New Roman" w:cs="Times New Roman"/>
          <w:i/>
          <w:sz w:val="21"/>
          <w:szCs w:val="21"/>
        </w:rPr>
        <w:t>cosβtgφ</w:t>
      </w:r>
      <w:r>
        <w:rPr>
          <w:rFonts w:ascii="Times New Roman" w:hAnsi="Times New Roman" w:cs="Times New Roman"/>
          <w:i/>
          <w:sz w:val="21"/>
          <w:szCs w:val="21"/>
          <w:vertAlign w:val="subscript"/>
        </w:rPr>
        <w:t>1</w:t>
      </w:r>
      <w:r>
        <w:rPr>
          <w:rFonts w:ascii="Times New Roman" w:hAnsi="Times New Roman" w:cs="Times New Roman"/>
          <w:i/>
          <w:sz w:val="21"/>
          <w:szCs w:val="21"/>
        </w:rPr>
        <w:t>+c</w:t>
      </w:r>
      <w:r>
        <w:rPr>
          <w:rFonts w:ascii="Times New Roman" w:hAnsi="Times New Roman" w:cs="Times New Roman"/>
          <w:i/>
          <w:sz w:val="21"/>
          <w:szCs w:val="21"/>
          <w:vertAlign w:val="subscript"/>
        </w:rPr>
        <w:t>1</w:t>
      </w:r>
      <w:r>
        <w:rPr>
          <w:rFonts w:ascii="Times New Roman" w:hAnsi="Times New Roman" w:cs="Times New Roman"/>
          <w:i/>
          <w:sz w:val="21"/>
          <w:szCs w:val="21"/>
        </w:rPr>
        <w:t>L</w:t>
      </w:r>
      <w:r>
        <w:rPr>
          <w:rFonts w:ascii="Times New Roman" w:hAnsi="Times New Roman" w:cs="Times New Roman"/>
          <w:i/>
          <w:sz w:val="21"/>
          <w:szCs w:val="21"/>
          <w:vertAlign w:val="subscript"/>
        </w:rPr>
        <w:t>1</w:t>
      </w:r>
      <w:r>
        <w:rPr>
          <w:rFonts w:ascii="Times New Roman" w:hAnsi="Times New Roman" w:cs="Times New Roman"/>
          <w:i/>
          <w:sz w:val="21"/>
          <w:szCs w:val="21"/>
        </w:rPr>
        <w:t>+</w:t>
      </w:r>
      <w:r>
        <w:rPr>
          <w:rFonts w:ascii="Times New Roman" w:hAnsi="Times New Roman" w:cs="Times New Roman"/>
          <w:sz w:val="21"/>
          <w:szCs w:val="21"/>
        </w:rPr>
        <w:t>(</w:t>
      </w:r>
      <w:r>
        <w:rPr>
          <w:rFonts w:ascii="Times New Roman" w:hAnsi="Times New Roman" w:cs="Times New Roman"/>
          <w:i/>
          <w:sz w:val="21"/>
          <w:szCs w:val="21"/>
        </w:rPr>
        <w:t>W</w:t>
      </w:r>
      <w:r>
        <w:rPr>
          <w:rFonts w:ascii="Times New Roman" w:hAnsi="Times New Roman" w:cs="Times New Roman"/>
          <w:i/>
          <w:sz w:val="21"/>
          <w:szCs w:val="21"/>
          <w:vertAlign w:val="subscript"/>
        </w:rPr>
        <w:t>2</w:t>
      </w:r>
      <w:r>
        <w:rPr>
          <w:rFonts w:ascii="Times New Roman" w:hAnsi="Times New Roman" w:cs="Times New Roman"/>
          <w:i/>
          <w:sz w:val="21"/>
          <w:szCs w:val="21"/>
        </w:rPr>
        <w:t>+W</w:t>
      </w:r>
      <w:r>
        <w:rPr>
          <w:rFonts w:ascii="Times New Roman" w:hAnsi="Times New Roman" w:cs="Times New Roman"/>
          <w:i/>
          <w:sz w:val="21"/>
          <w:szCs w:val="21"/>
          <w:vertAlign w:val="subscript"/>
        </w:rPr>
        <w:t>3</w:t>
      </w:r>
      <w:r>
        <w:rPr>
          <w:rFonts w:ascii="Times New Roman" w:hAnsi="Times New Roman" w:cs="Times New Roman"/>
          <w:i/>
          <w:sz w:val="21"/>
          <w:szCs w:val="21"/>
        </w:rPr>
        <w:t>+Etgβ</w:t>
      </w:r>
      <w:r>
        <w:rPr>
          <w:rFonts w:ascii="Times New Roman" w:hAnsi="Times New Roman" w:cs="Times New Roman"/>
          <w:sz w:val="21"/>
          <w:szCs w:val="21"/>
        </w:rPr>
        <w:t>)</w:t>
      </w:r>
      <w:r>
        <w:rPr>
          <w:rFonts w:ascii="Times New Roman" w:hAnsi="Times New Roman" w:cs="Times New Roman"/>
          <w:i/>
          <w:sz w:val="21"/>
          <w:szCs w:val="21"/>
        </w:rPr>
        <w:t>cosβtgφ</w:t>
      </w:r>
      <w:r>
        <w:rPr>
          <w:rFonts w:ascii="Times New Roman" w:hAnsi="Times New Roman" w:cs="Times New Roman"/>
          <w:i/>
          <w:sz w:val="21"/>
          <w:szCs w:val="21"/>
          <w:vertAlign w:val="subscript"/>
        </w:rPr>
        <w:t>2</w:t>
      </w:r>
      <w:r>
        <w:rPr>
          <w:rFonts w:ascii="Times New Roman" w:hAnsi="Times New Roman" w:cs="Times New Roman"/>
          <w:i/>
          <w:sz w:val="21"/>
          <w:szCs w:val="21"/>
        </w:rPr>
        <w:t>+c</w:t>
      </w:r>
      <w:r>
        <w:rPr>
          <w:rFonts w:ascii="Times New Roman" w:hAnsi="Times New Roman" w:cs="Times New Roman"/>
          <w:i/>
          <w:sz w:val="21"/>
          <w:szCs w:val="21"/>
          <w:vertAlign w:val="subscript"/>
        </w:rPr>
        <w:t>2</w:t>
      </w:r>
      <w:r>
        <w:rPr>
          <w:rFonts w:ascii="Times New Roman" w:hAnsi="Times New Roman" w:cs="Times New Roman"/>
          <w:i/>
          <w:sz w:val="21"/>
          <w:szCs w:val="21"/>
        </w:rPr>
        <w:t>L</w:t>
      </w:r>
      <w:r>
        <w:rPr>
          <w:rFonts w:ascii="Times New Roman" w:hAnsi="Times New Roman" w:cs="Times New Roman"/>
          <w:i/>
          <w:sz w:val="21"/>
          <w:szCs w:val="21"/>
          <w:vertAlign w:val="subscript"/>
        </w:rPr>
        <w:t>2</w:t>
      </w:r>
      <w:r>
        <w:rPr>
          <w:rFonts w:ascii="Times New Roman" w:hAnsi="Times New Roman" w:cs="Times New Roman"/>
          <w:i/>
          <w:sz w:val="21"/>
          <w:szCs w:val="21"/>
        </w:rPr>
        <w:t xml:space="preserve"> </w:t>
      </w:r>
      <w:r>
        <w:rPr>
          <w:rFonts w:ascii="Times New Roman" w:hAnsi="Times New Roman" w:cs="Times New Roman"/>
          <w:sz w:val="21"/>
          <w:szCs w:val="21"/>
        </w:rPr>
        <w:t>（B.0.3-2)</w:t>
      </w:r>
    </w:p>
    <w:p w14:paraId="70ED2C87">
      <w:pPr>
        <w:tabs>
          <w:tab w:val="left" w:pos="6896"/>
        </w:tabs>
        <w:wordWrap w:val="0"/>
        <w:snapToGrid w:val="0"/>
        <w:spacing w:line="360" w:lineRule="auto"/>
        <w:ind w:left="-35" w:leftChars="-50" w:right="-143" w:rightChars="-51" w:hanging="105" w:hangingChars="50"/>
        <w:jc w:val="right"/>
        <w:rPr>
          <w:rFonts w:ascii="Times New Roman" w:hAnsi="Times New Roman" w:cs="Times New Roman"/>
          <w:sz w:val="21"/>
          <w:szCs w:val="21"/>
        </w:rPr>
      </w:pPr>
      <w:r>
        <w:rPr>
          <w:rFonts w:ascii="Times New Roman" w:hAnsi="Times New Roman" w:cs="Times New Roman"/>
          <w:b/>
          <w:position w:val="-24"/>
          <w:sz w:val="21"/>
          <w:szCs w:val="21"/>
        </w:rPr>
        <w:object>
          <v:shape id="_x0000_i1108" o:spt="75" type="#_x0000_t75" style="height:30.6pt;width:75.6pt;" o:ole="t" filled="f" o:preferrelative="t" stroked="f" coordsize="21600,21600">
            <v:path/>
            <v:fill on="f" focussize="0,0"/>
            <v:stroke on="f" joinstyle="miter"/>
            <v:imagedata r:id="rId232" o:title=""/>
            <o:lock v:ext="edit" aspectratio="t"/>
            <w10:wrap type="none"/>
            <w10:anchorlock/>
          </v:shape>
          <o:OLEObject Type="Embed" ProgID="Equation.3" ShapeID="_x0000_i1108" DrawAspect="Content" ObjectID="_1468075809" r:id="rId231">
            <o:LockedField>false</o:LockedField>
          </o:OLEObject>
        </w:object>
      </w:r>
      <w:r>
        <w:rPr>
          <w:rFonts w:ascii="Times New Roman" w:hAnsi="Times New Roman" w:cs="Times New Roman"/>
          <w:i/>
          <w:sz w:val="21"/>
          <w:szCs w:val="21"/>
        </w:rPr>
        <w:t xml:space="preserve">                              </w:t>
      </w:r>
      <w:r>
        <w:rPr>
          <w:rFonts w:ascii="Times New Roman" w:hAnsi="Times New Roman" w:cs="Times New Roman"/>
          <w:sz w:val="21"/>
          <w:szCs w:val="21"/>
        </w:rPr>
        <w:t>（B.0.3-3)</w:t>
      </w:r>
    </w:p>
    <w:p w14:paraId="05D13A68">
      <w:pPr>
        <w:tabs>
          <w:tab w:val="left" w:pos="6896"/>
        </w:tabs>
        <w:wordWrap w:val="0"/>
        <w:snapToGrid w:val="0"/>
        <w:spacing w:line="360" w:lineRule="auto"/>
        <w:ind w:left="-35" w:leftChars="-50" w:right="-143" w:rightChars="-51" w:hanging="105" w:hangingChars="50"/>
        <w:jc w:val="right"/>
        <w:rPr>
          <w:rFonts w:ascii="Times New Roman" w:hAnsi="Times New Roman" w:cs="Times New Roman"/>
          <w:sz w:val="21"/>
          <w:szCs w:val="21"/>
        </w:rPr>
      </w:pPr>
      <w:r>
        <w:rPr>
          <w:rFonts w:ascii="Times New Roman" w:hAnsi="Times New Roman" w:cs="Times New Roman"/>
          <w:i/>
          <w:sz w:val="21"/>
          <w:szCs w:val="21"/>
        </w:rPr>
        <w:t>ξ=1-sinφ</w:t>
      </w:r>
      <w:r>
        <w:rPr>
          <w:rFonts w:ascii="Times New Roman" w:hAnsi="Times New Roman" w:cs="Times New Roman"/>
          <w:i/>
          <w:sz w:val="21"/>
          <w:szCs w:val="21"/>
          <w:vertAlign w:val="subscript"/>
        </w:rPr>
        <w:t>2</w:t>
      </w:r>
      <w:r>
        <w:rPr>
          <w:rFonts w:ascii="Times New Roman" w:hAnsi="Times New Roman" w:cs="Times New Roman"/>
          <w:sz w:val="21"/>
          <w:szCs w:val="21"/>
        </w:rPr>
        <w:t xml:space="preserve">                                   （B.0.3-4)</w:t>
      </w:r>
    </w:p>
    <w:p w14:paraId="532B527D">
      <w:pPr>
        <w:tabs>
          <w:tab w:val="left" w:pos="6896"/>
        </w:tabs>
        <w:wordWrap w:val="0"/>
        <w:snapToGrid w:val="0"/>
        <w:spacing w:line="360" w:lineRule="auto"/>
        <w:ind w:left="-35" w:leftChars="-50" w:right="-143" w:rightChars="-51" w:hanging="105" w:hangingChars="50"/>
        <w:jc w:val="right"/>
        <w:rPr>
          <w:rFonts w:ascii="Times New Roman" w:hAnsi="Times New Roman" w:cs="Times New Roman"/>
          <w:sz w:val="21"/>
          <w:szCs w:val="21"/>
        </w:rPr>
      </w:pPr>
      <w:r>
        <w:rPr>
          <w:rFonts w:ascii="Times New Roman" w:hAnsi="Times New Roman" w:cs="Times New Roman"/>
          <w:i/>
          <w:sz w:val="21"/>
          <w:szCs w:val="21"/>
        </w:rPr>
        <w:t>h</w:t>
      </w:r>
      <w:r>
        <w:rPr>
          <w:rFonts w:ascii="Times New Roman" w:hAnsi="Times New Roman" w:cs="Times New Roman"/>
          <w:i/>
          <w:sz w:val="21"/>
          <w:szCs w:val="21"/>
          <w:vertAlign w:val="subscript"/>
        </w:rPr>
        <w:t>T</w:t>
      </w:r>
      <w:r>
        <w:rPr>
          <w:rFonts w:ascii="Times New Roman" w:hAnsi="Times New Roman" w:cs="Times New Roman"/>
          <w:i/>
          <w:sz w:val="21"/>
          <w:szCs w:val="21"/>
        </w:rPr>
        <w:t xml:space="preserve">=λH                                      </w:t>
      </w:r>
      <w:r>
        <w:rPr>
          <w:rFonts w:ascii="Times New Roman" w:hAnsi="Times New Roman" w:cs="Times New Roman"/>
          <w:sz w:val="21"/>
          <w:szCs w:val="21"/>
        </w:rPr>
        <w:t>（B.0.3-5)</w:t>
      </w:r>
    </w:p>
    <w:p w14:paraId="7EE555BC">
      <w:pPr>
        <w:tabs>
          <w:tab w:val="left" w:pos="640"/>
          <w:tab w:val="left" w:pos="1281"/>
        </w:tabs>
        <w:snapToGrid w:val="0"/>
        <w:spacing w:line="360" w:lineRule="auto"/>
        <w:ind w:left="-179" w:leftChars="-102" w:hanging="107" w:hangingChars="51"/>
        <w:jc w:val="left"/>
        <w:rPr>
          <w:rFonts w:ascii="Times New Roman" w:hAnsi="Times New Roman" w:cs="Times New Roman"/>
          <w:sz w:val="21"/>
          <w:szCs w:val="21"/>
        </w:rPr>
      </w:pPr>
      <w:r>
        <w:rPr>
          <w:rFonts w:ascii="Times New Roman" w:hAnsi="Times New Roman" w:cs="Times New Roman"/>
          <w:sz w:val="21"/>
          <w:szCs w:val="21"/>
        </w:rPr>
        <w:t>式中：</w:t>
      </w:r>
      <w:r>
        <w:rPr>
          <w:rFonts w:ascii="Times New Roman" w:hAnsi="Times New Roman" w:cs="Times New Roman"/>
          <w:i/>
          <w:sz w:val="21"/>
          <w:szCs w:val="21"/>
        </w:rPr>
        <w:t>K</w:t>
      </w:r>
      <w:r>
        <w:rPr>
          <w:rFonts w:ascii="Times New Roman" w:hAnsi="Times New Roman" w:cs="Times New Roman"/>
          <w:sz w:val="21"/>
          <w:szCs w:val="21"/>
        </w:rPr>
        <w:t>——边埂允许抗滑稳定安全系数；</w:t>
      </w:r>
    </w:p>
    <w:p w14:paraId="22D3D219">
      <w:pPr>
        <w:tabs>
          <w:tab w:val="left" w:pos="640"/>
          <w:tab w:val="left" w:pos="1281"/>
        </w:tabs>
        <w:snapToGrid w:val="0"/>
        <w:spacing w:line="360" w:lineRule="auto"/>
        <w:ind w:left="-162" w:leftChars="-58" w:firstLine="501" w:firstLineChars="239"/>
        <w:jc w:val="left"/>
        <w:rPr>
          <w:rFonts w:ascii="Times New Roman" w:hAnsi="Times New Roman" w:cs="Times New Roman"/>
          <w:sz w:val="21"/>
          <w:szCs w:val="21"/>
        </w:rPr>
      </w:pPr>
      <w:r>
        <w:rPr>
          <w:rFonts w:ascii="Times New Roman" w:hAnsi="Times New Roman" w:cs="Times New Roman"/>
          <w:i/>
          <w:sz w:val="21"/>
          <w:szCs w:val="21"/>
        </w:rPr>
        <w:t>E</w:t>
      </w:r>
      <w:r>
        <w:rPr>
          <w:rFonts w:ascii="Times New Roman" w:hAnsi="Times New Roman" w:cs="Times New Roman"/>
          <w:sz w:val="21"/>
          <w:szCs w:val="21"/>
        </w:rPr>
        <w:t>——泥浆水平推力，取9.8×10</w:t>
      </w:r>
      <w:r>
        <w:rPr>
          <w:rFonts w:ascii="Times New Roman" w:hAnsi="Times New Roman" w:cs="Times New Roman"/>
          <w:sz w:val="21"/>
          <w:szCs w:val="21"/>
          <w:vertAlign w:val="superscript"/>
        </w:rPr>
        <w:t>3</w:t>
      </w:r>
      <w:r>
        <w:rPr>
          <w:rFonts w:ascii="Times New Roman" w:hAnsi="Times New Roman" w:cs="Times New Roman"/>
          <w:sz w:val="21"/>
          <w:szCs w:val="21"/>
        </w:rPr>
        <w:t>N；</w:t>
      </w:r>
    </w:p>
    <w:p w14:paraId="4B14F174">
      <w:pPr>
        <w:tabs>
          <w:tab w:val="left" w:pos="640"/>
          <w:tab w:val="left" w:pos="1281"/>
        </w:tabs>
        <w:snapToGrid w:val="0"/>
        <w:spacing w:line="360" w:lineRule="auto"/>
        <w:ind w:left="-160" w:leftChars="-57" w:firstLine="501" w:firstLineChars="239"/>
        <w:jc w:val="left"/>
        <w:rPr>
          <w:rFonts w:ascii="Times New Roman" w:hAnsi="Times New Roman" w:cs="Times New Roman"/>
          <w:sz w:val="21"/>
          <w:szCs w:val="21"/>
        </w:rPr>
      </w:pPr>
      <w:r>
        <w:rPr>
          <w:rFonts w:ascii="Times New Roman" w:hAnsi="Times New Roman" w:cs="Times New Roman"/>
          <w:i/>
          <w:sz w:val="21"/>
          <w:szCs w:val="21"/>
        </w:rPr>
        <w:t>β</w:t>
      </w:r>
      <w:r>
        <w:rPr>
          <w:rFonts w:ascii="Times New Roman" w:hAnsi="Times New Roman" w:cs="Times New Roman"/>
          <w:sz w:val="21"/>
          <w:szCs w:val="21"/>
        </w:rPr>
        <w:t>——滑动面与水平面的夹角（°）；</w:t>
      </w:r>
    </w:p>
    <w:p w14:paraId="58F2F199">
      <w:pPr>
        <w:tabs>
          <w:tab w:val="left" w:pos="640"/>
          <w:tab w:val="left" w:pos="1281"/>
        </w:tabs>
        <w:snapToGrid w:val="0"/>
        <w:spacing w:line="360" w:lineRule="auto"/>
        <w:ind w:left="-160" w:leftChars="-57" w:firstLine="501" w:firstLineChars="239"/>
        <w:jc w:val="left"/>
        <w:rPr>
          <w:rFonts w:ascii="Times New Roman" w:hAnsi="Times New Roman" w:cs="Times New Roman"/>
          <w:sz w:val="21"/>
          <w:szCs w:val="21"/>
        </w:rPr>
      </w:pPr>
      <w:r>
        <w:rPr>
          <w:rFonts w:ascii="Times New Roman" w:hAnsi="Times New Roman" w:cs="Times New Roman"/>
          <w:i/>
          <w:sz w:val="21"/>
          <w:szCs w:val="21"/>
        </w:rPr>
        <w:t>W</w:t>
      </w:r>
      <w:r>
        <w:rPr>
          <w:rFonts w:ascii="Times New Roman" w:hAnsi="Times New Roman" w:cs="Times New Roman"/>
          <w:i/>
          <w:sz w:val="21"/>
          <w:szCs w:val="21"/>
          <w:vertAlign w:val="subscript"/>
        </w:rPr>
        <w:t>1</w:t>
      </w:r>
      <w:r>
        <w:rPr>
          <w:rFonts w:ascii="Times New Roman" w:hAnsi="Times New Roman" w:cs="Times New Roman"/>
          <w:sz w:val="21"/>
          <w:szCs w:val="21"/>
        </w:rPr>
        <w:t>——滑动面</w:t>
      </w:r>
      <w:r>
        <w:rPr>
          <w:rFonts w:ascii="Times New Roman" w:hAnsi="Times New Roman" w:cs="Times New Roman"/>
          <w:i/>
          <w:sz w:val="21"/>
          <w:szCs w:val="21"/>
        </w:rPr>
        <w:t>L</w:t>
      </w:r>
      <w:r>
        <w:rPr>
          <w:rFonts w:ascii="Times New Roman" w:hAnsi="Times New Roman" w:cs="Times New Roman"/>
          <w:i/>
          <w:sz w:val="21"/>
          <w:szCs w:val="21"/>
          <w:vertAlign w:val="subscript"/>
        </w:rPr>
        <w:t>1</w:t>
      </w:r>
      <w:r>
        <w:rPr>
          <w:rFonts w:ascii="Times New Roman" w:hAnsi="Times New Roman" w:cs="Times New Roman"/>
          <w:sz w:val="21"/>
          <w:szCs w:val="21"/>
        </w:rPr>
        <w:t>以上边埂土的重量（t）；</w:t>
      </w:r>
    </w:p>
    <w:p w14:paraId="07A39017">
      <w:pPr>
        <w:tabs>
          <w:tab w:val="left" w:pos="1281"/>
        </w:tabs>
        <w:snapToGrid w:val="0"/>
        <w:spacing w:line="360" w:lineRule="auto"/>
        <w:ind w:left="-160" w:leftChars="-57" w:right="-204" w:rightChars="-73" w:firstLine="501" w:firstLineChars="239"/>
        <w:jc w:val="left"/>
        <w:rPr>
          <w:rFonts w:ascii="Times New Roman" w:hAnsi="Times New Roman" w:cs="Times New Roman"/>
          <w:sz w:val="21"/>
          <w:szCs w:val="21"/>
        </w:rPr>
      </w:pPr>
      <w:r>
        <w:rPr>
          <w:rFonts w:ascii="Times New Roman" w:hAnsi="Times New Roman" w:cs="Times New Roman"/>
          <w:i/>
          <w:sz w:val="21"/>
          <w:szCs w:val="21"/>
        </w:rPr>
        <w:t>W</w:t>
      </w:r>
      <w:r>
        <w:rPr>
          <w:rFonts w:ascii="Times New Roman" w:hAnsi="Times New Roman" w:cs="Times New Roman"/>
          <w:i/>
          <w:sz w:val="21"/>
          <w:szCs w:val="21"/>
          <w:vertAlign w:val="subscript"/>
        </w:rPr>
        <w:t>2</w:t>
      </w:r>
      <w:r>
        <w:rPr>
          <w:rFonts w:ascii="Times New Roman" w:hAnsi="Times New Roman" w:cs="Times New Roman"/>
          <w:i/>
          <w:sz w:val="21"/>
          <w:szCs w:val="21"/>
        </w:rPr>
        <w:t>、W</w:t>
      </w:r>
      <w:r>
        <w:rPr>
          <w:rFonts w:ascii="Times New Roman" w:hAnsi="Times New Roman" w:cs="Times New Roman"/>
          <w:i/>
          <w:sz w:val="21"/>
          <w:szCs w:val="21"/>
          <w:vertAlign w:val="subscript"/>
        </w:rPr>
        <w:t>3</w:t>
      </w:r>
      <w:r>
        <w:rPr>
          <w:rFonts w:ascii="Times New Roman" w:hAnsi="Times New Roman" w:cs="Times New Roman"/>
          <w:sz w:val="21"/>
          <w:szCs w:val="21"/>
        </w:rPr>
        <w:t>——滑动面</w:t>
      </w:r>
      <w:r>
        <w:rPr>
          <w:rFonts w:ascii="Times New Roman" w:hAnsi="Times New Roman" w:cs="Times New Roman"/>
          <w:i/>
          <w:sz w:val="21"/>
          <w:szCs w:val="21"/>
        </w:rPr>
        <w:t>L</w:t>
      </w:r>
      <w:r>
        <w:rPr>
          <w:rFonts w:ascii="Times New Roman" w:hAnsi="Times New Roman" w:cs="Times New Roman"/>
          <w:i/>
          <w:sz w:val="21"/>
          <w:szCs w:val="21"/>
          <w:vertAlign w:val="subscript"/>
        </w:rPr>
        <w:t>2</w:t>
      </w:r>
      <w:r>
        <w:rPr>
          <w:rFonts w:ascii="Times New Roman" w:hAnsi="Times New Roman" w:cs="Times New Roman"/>
          <w:sz w:val="21"/>
          <w:szCs w:val="21"/>
        </w:rPr>
        <w:t>以上边埂土与冲填土的重量（t）；</w:t>
      </w:r>
    </w:p>
    <w:p w14:paraId="1A866EC8">
      <w:pPr>
        <w:tabs>
          <w:tab w:val="left" w:pos="1281"/>
        </w:tabs>
        <w:snapToGrid w:val="0"/>
        <w:spacing w:line="360" w:lineRule="auto"/>
        <w:ind w:left="-160" w:leftChars="-57" w:firstLine="501" w:firstLineChars="239"/>
        <w:jc w:val="left"/>
        <w:rPr>
          <w:rFonts w:ascii="Times New Roman" w:hAnsi="Times New Roman" w:cs="Times New Roman"/>
          <w:sz w:val="21"/>
          <w:szCs w:val="21"/>
        </w:rPr>
      </w:pPr>
      <w:r>
        <w:rPr>
          <w:rFonts w:ascii="Times New Roman" w:hAnsi="Times New Roman" w:cs="Times New Roman"/>
          <w:i/>
          <w:sz w:val="21"/>
          <w:szCs w:val="21"/>
        </w:rPr>
        <w:t>Φ</w:t>
      </w:r>
      <w:r>
        <w:rPr>
          <w:rFonts w:ascii="Times New Roman" w:hAnsi="Times New Roman" w:cs="Times New Roman"/>
          <w:i/>
          <w:sz w:val="21"/>
          <w:szCs w:val="21"/>
          <w:vertAlign w:val="subscript"/>
        </w:rPr>
        <w:t>1</w:t>
      </w:r>
      <w:r>
        <w:rPr>
          <w:rFonts w:ascii="Times New Roman" w:hAnsi="Times New Roman" w:cs="Times New Roman"/>
          <w:i/>
          <w:sz w:val="21"/>
          <w:szCs w:val="21"/>
        </w:rPr>
        <w:t>、c</w:t>
      </w:r>
      <w:r>
        <w:rPr>
          <w:rFonts w:ascii="Times New Roman" w:hAnsi="Times New Roman" w:cs="Times New Roman"/>
          <w:i/>
          <w:sz w:val="21"/>
          <w:szCs w:val="21"/>
          <w:vertAlign w:val="subscript"/>
        </w:rPr>
        <w:t>1</w:t>
      </w:r>
      <w:r>
        <w:rPr>
          <w:rFonts w:ascii="Times New Roman" w:hAnsi="Times New Roman" w:cs="Times New Roman"/>
          <w:sz w:val="21"/>
          <w:szCs w:val="21"/>
        </w:rPr>
        <w:t>——边埂的总强度指标；</w:t>
      </w:r>
    </w:p>
    <w:p w14:paraId="028EE7E4">
      <w:pPr>
        <w:tabs>
          <w:tab w:val="left" w:pos="1281"/>
        </w:tabs>
        <w:snapToGrid w:val="0"/>
        <w:spacing w:line="360" w:lineRule="auto"/>
        <w:ind w:left="-160" w:leftChars="-57" w:firstLine="501" w:firstLineChars="239"/>
        <w:jc w:val="left"/>
        <w:rPr>
          <w:rFonts w:ascii="Times New Roman" w:hAnsi="Times New Roman" w:cs="Times New Roman"/>
          <w:sz w:val="21"/>
          <w:szCs w:val="21"/>
        </w:rPr>
      </w:pPr>
      <w:r>
        <w:rPr>
          <w:rFonts w:ascii="Times New Roman" w:hAnsi="Times New Roman" w:cs="Times New Roman"/>
          <w:i/>
          <w:sz w:val="21"/>
          <w:szCs w:val="21"/>
        </w:rPr>
        <w:t>Φ</w:t>
      </w:r>
      <w:r>
        <w:rPr>
          <w:rFonts w:ascii="Times New Roman" w:hAnsi="Times New Roman" w:cs="Times New Roman"/>
          <w:i/>
          <w:sz w:val="21"/>
          <w:szCs w:val="21"/>
          <w:vertAlign w:val="subscript"/>
        </w:rPr>
        <w:t>2</w:t>
      </w:r>
      <w:r>
        <w:rPr>
          <w:rFonts w:ascii="Times New Roman" w:hAnsi="Times New Roman" w:cs="Times New Roman"/>
          <w:i/>
          <w:sz w:val="21"/>
          <w:szCs w:val="21"/>
        </w:rPr>
        <w:t>、c</w:t>
      </w:r>
      <w:r>
        <w:rPr>
          <w:rFonts w:ascii="Times New Roman" w:hAnsi="Times New Roman" w:cs="Times New Roman"/>
          <w:i/>
          <w:sz w:val="21"/>
          <w:szCs w:val="21"/>
          <w:vertAlign w:val="subscript"/>
        </w:rPr>
        <w:t>2</w:t>
      </w:r>
      <w:r>
        <w:rPr>
          <w:rFonts w:ascii="Times New Roman" w:hAnsi="Times New Roman" w:cs="Times New Roman"/>
          <w:sz w:val="21"/>
          <w:szCs w:val="21"/>
        </w:rPr>
        <w:t>——冲填土的总强度指标；</w:t>
      </w:r>
    </w:p>
    <w:p w14:paraId="00CB165E">
      <w:pPr>
        <w:tabs>
          <w:tab w:val="left" w:pos="1281"/>
        </w:tabs>
        <w:snapToGrid w:val="0"/>
        <w:spacing w:line="360" w:lineRule="auto"/>
        <w:ind w:left="-160" w:leftChars="-57" w:firstLine="501" w:firstLineChars="239"/>
        <w:jc w:val="left"/>
        <w:rPr>
          <w:rFonts w:ascii="Times New Roman" w:hAnsi="Times New Roman" w:cs="Times New Roman"/>
          <w:sz w:val="21"/>
          <w:szCs w:val="21"/>
        </w:rPr>
      </w:pPr>
      <w:r>
        <w:rPr>
          <w:rFonts w:ascii="Times New Roman" w:hAnsi="Times New Roman" w:cs="Times New Roman"/>
          <w:i/>
          <w:sz w:val="21"/>
          <w:szCs w:val="21"/>
        </w:rPr>
        <w:t>L</w:t>
      </w:r>
      <w:r>
        <w:rPr>
          <w:rFonts w:ascii="Times New Roman" w:hAnsi="Times New Roman" w:cs="Times New Roman"/>
          <w:i/>
          <w:sz w:val="21"/>
          <w:szCs w:val="21"/>
          <w:vertAlign w:val="subscript"/>
        </w:rPr>
        <w:t>1</w:t>
      </w:r>
      <w:r>
        <w:rPr>
          <w:rFonts w:ascii="Times New Roman" w:hAnsi="Times New Roman" w:cs="Times New Roman"/>
          <w:i/>
          <w:sz w:val="21"/>
          <w:szCs w:val="21"/>
        </w:rPr>
        <w:t>、L</w:t>
      </w:r>
      <w:r>
        <w:rPr>
          <w:rFonts w:ascii="Times New Roman" w:hAnsi="Times New Roman" w:cs="Times New Roman"/>
          <w:i/>
          <w:sz w:val="21"/>
          <w:szCs w:val="21"/>
          <w:vertAlign w:val="subscript"/>
        </w:rPr>
        <w:t>2</w:t>
      </w:r>
      <w:r>
        <w:rPr>
          <w:rFonts w:ascii="Times New Roman" w:hAnsi="Times New Roman" w:cs="Times New Roman"/>
          <w:sz w:val="21"/>
          <w:szCs w:val="21"/>
        </w:rPr>
        <w:t>——通过边埂及冲填土的滑动面的长度（m）；</w:t>
      </w:r>
    </w:p>
    <w:p w14:paraId="3BD972E4">
      <w:pPr>
        <w:tabs>
          <w:tab w:val="left" w:pos="640"/>
          <w:tab w:val="left" w:pos="1281"/>
        </w:tabs>
        <w:snapToGrid w:val="0"/>
        <w:spacing w:line="360" w:lineRule="auto"/>
        <w:ind w:left="-160" w:leftChars="-57" w:firstLine="501" w:firstLineChars="239"/>
        <w:jc w:val="left"/>
        <w:rPr>
          <w:rFonts w:ascii="Times New Roman" w:hAnsi="Times New Roman" w:cs="Times New Roman"/>
          <w:sz w:val="21"/>
          <w:szCs w:val="21"/>
        </w:rPr>
      </w:pPr>
      <w:r>
        <w:rPr>
          <w:rFonts w:ascii="Times New Roman" w:hAnsi="Times New Roman" w:cs="Times New Roman"/>
          <w:i/>
          <w:sz w:val="21"/>
          <w:szCs w:val="21"/>
        </w:rPr>
        <w:t>ξ</w:t>
      </w:r>
      <w:r>
        <w:rPr>
          <w:rFonts w:ascii="Times New Roman" w:hAnsi="Times New Roman" w:cs="Times New Roman"/>
          <w:sz w:val="21"/>
          <w:szCs w:val="21"/>
        </w:rPr>
        <w:t>——泥浆侧压力系数，可按公式（B.0.3-4）计算，也可采用经验值0.8～1.0；</w:t>
      </w:r>
    </w:p>
    <w:p w14:paraId="4AE48479">
      <w:pPr>
        <w:tabs>
          <w:tab w:val="left" w:pos="640"/>
          <w:tab w:val="left" w:pos="1281"/>
        </w:tabs>
        <w:snapToGrid w:val="0"/>
        <w:spacing w:line="360" w:lineRule="auto"/>
        <w:ind w:left="-160" w:leftChars="-57" w:firstLine="501" w:firstLineChars="239"/>
        <w:jc w:val="left"/>
        <w:rPr>
          <w:rFonts w:ascii="Times New Roman" w:hAnsi="Times New Roman" w:cs="Times New Roman"/>
          <w:sz w:val="21"/>
          <w:szCs w:val="21"/>
        </w:rPr>
      </w:pPr>
      <w:r>
        <w:rPr>
          <w:rFonts w:ascii="Times New Roman" w:hAnsi="Times New Roman" w:cs="Times New Roman"/>
          <w:i/>
          <w:sz w:val="21"/>
          <w:szCs w:val="21"/>
        </w:rPr>
        <w:t>γ</w:t>
      </w:r>
      <w:r>
        <w:rPr>
          <w:rFonts w:ascii="Times New Roman" w:hAnsi="Times New Roman" w:cs="Times New Roman"/>
          <w:i/>
          <w:sz w:val="21"/>
          <w:szCs w:val="21"/>
          <w:vertAlign w:val="subscript"/>
        </w:rPr>
        <w:t>T</w:t>
      </w:r>
      <w:r>
        <w:rPr>
          <w:rFonts w:ascii="Times New Roman" w:hAnsi="Times New Roman" w:cs="Times New Roman"/>
          <w:sz w:val="21"/>
          <w:szCs w:val="21"/>
        </w:rPr>
        <w:t>——计算深度范围内的泥浆平均容重（t/m</w:t>
      </w:r>
      <w:r>
        <w:rPr>
          <w:rFonts w:ascii="Times New Roman" w:hAnsi="Times New Roman" w:cs="Times New Roman"/>
          <w:sz w:val="21"/>
          <w:szCs w:val="21"/>
          <w:vertAlign w:val="superscript"/>
        </w:rPr>
        <w:t>3</w:t>
      </w:r>
      <w:r>
        <w:rPr>
          <w:rFonts w:ascii="Times New Roman" w:hAnsi="Times New Roman" w:cs="Times New Roman"/>
          <w:sz w:val="21"/>
          <w:szCs w:val="21"/>
        </w:rPr>
        <w:t>）；</w:t>
      </w:r>
    </w:p>
    <w:p w14:paraId="1E22AF08">
      <w:pPr>
        <w:tabs>
          <w:tab w:val="left" w:pos="640"/>
          <w:tab w:val="left" w:pos="1281"/>
        </w:tabs>
        <w:snapToGrid w:val="0"/>
        <w:spacing w:line="360" w:lineRule="auto"/>
        <w:ind w:left="-160" w:leftChars="-57" w:firstLine="501" w:firstLineChars="239"/>
        <w:jc w:val="left"/>
        <w:rPr>
          <w:rFonts w:ascii="Times New Roman" w:hAnsi="Times New Roman" w:cs="Times New Roman"/>
          <w:sz w:val="21"/>
          <w:szCs w:val="21"/>
        </w:rPr>
      </w:pPr>
      <w:r>
        <w:rPr>
          <w:rFonts w:ascii="Times New Roman" w:hAnsi="Times New Roman" w:cs="Times New Roman"/>
          <w:i/>
          <w:sz w:val="21"/>
          <w:szCs w:val="21"/>
        </w:rPr>
        <w:t>h</w:t>
      </w:r>
      <w:r>
        <w:rPr>
          <w:rFonts w:ascii="Times New Roman" w:hAnsi="Times New Roman" w:cs="Times New Roman"/>
          <w:i/>
          <w:sz w:val="21"/>
          <w:szCs w:val="21"/>
          <w:vertAlign w:val="subscript"/>
        </w:rPr>
        <w:t>T</w:t>
      </w:r>
      <w:r>
        <w:rPr>
          <w:rFonts w:ascii="Times New Roman" w:hAnsi="Times New Roman" w:cs="Times New Roman"/>
          <w:sz w:val="21"/>
          <w:szCs w:val="21"/>
        </w:rPr>
        <w:t>——计算深度（m）；采用试算确定，对黄土、类黄土按流态区深度计算，也可按经验公式（B.0.3-5）计算；</w:t>
      </w:r>
    </w:p>
    <w:p w14:paraId="6DBAEBB1">
      <w:pPr>
        <w:tabs>
          <w:tab w:val="left" w:pos="640"/>
          <w:tab w:val="left" w:pos="1281"/>
        </w:tabs>
        <w:snapToGrid w:val="0"/>
        <w:spacing w:line="360" w:lineRule="auto"/>
        <w:ind w:left="-162" w:leftChars="-58" w:firstLine="501" w:firstLineChars="239"/>
        <w:jc w:val="left"/>
        <w:rPr>
          <w:rFonts w:ascii="Times New Roman" w:hAnsi="Times New Roman" w:cs="Times New Roman"/>
          <w:i/>
          <w:sz w:val="21"/>
          <w:szCs w:val="21"/>
        </w:rPr>
      </w:pPr>
      <w:r>
        <w:rPr>
          <w:rFonts w:ascii="Times New Roman" w:hAnsi="Times New Roman" w:cs="Times New Roman"/>
          <w:i/>
          <w:sz w:val="21"/>
          <w:szCs w:val="21"/>
        </w:rPr>
        <w:t>λ——</w:t>
      </w:r>
      <w:r>
        <w:rPr>
          <w:rFonts w:ascii="Times New Roman" w:hAnsi="Times New Roman" w:cs="Times New Roman"/>
          <w:sz w:val="21"/>
          <w:szCs w:val="21"/>
        </w:rPr>
        <w:t>系数，可按表B.0.3-2的规定确定；</w:t>
      </w:r>
    </w:p>
    <w:p w14:paraId="3FB9F4F9">
      <w:pPr>
        <w:tabs>
          <w:tab w:val="left" w:pos="640"/>
          <w:tab w:val="left" w:pos="1281"/>
        </w:tabs>
        <w:snapToGrid w:val="0"/>
        <w:spacing w:line="360" w:lineRule="auto"/>
        <w:ind w:left="-162" w:leftChars="-58" w:firstLine="501" w:firstLineChars="239"/>
        <w:jc w:val="left"/>
        <w:rPr>
          <w:rFonts w:ascii="Times New Roman" w:hAnsi="Times New Roman" w:cs="Times New Roman"/>
          <w:i/>
          <w:sz w:val="21"/>
          <w:szCs w:val="21"/>
        </w:rPr>
      </w:pPr>
      <w:r>
        <w:rPr>
          <w:rFonts w:ascii="Times New Roman" w:hAnsi="Times New Roman" w:cs="Times New Roman"/>
          <w:i/>
          <w:sz w:val="21"/>
          <w:szCs w:val="21"/>
        </w:rPr>
        <w:t>H——</w:t>
      </w:r>
      <w:r>
        <w:rPr>
          <w:rFonts w:ascii="Times New Roman" w:hAnsi="Times New Roman" w:cs="Times New Roman"/>
          <w:sz w:val="21"/>
          <w:szCs w:val="21"/>
        </w:rPr>
        <w:t>计算坝高（m）。</w:t>
      </w:r>
    </w:p>
    <w:p w14:paraId="24FA0D25">
      <w:pPr>
        <w:snapToGrid w:val="0"/>
        <w:jc w:val="center"/>
        <w:rPr>
          <w:rFonts w:ascii="Times New Roman" w:hAnsi="Times New Roman" w:eastAsia="黑体" w:cs="Times New Roman"/>
          <w:sz w:val="18"/>
          <w:szCs w:val="18"/>
        </w:rPr>
      </w:pPr>
      <w:r>
        <w:rPr>
          <w:rFonts w:ascii="Times New Roman" w:hAnsi="Times New Roman" w:eastAsia="黑体" w:cs="Times New Roman"/>
          <w:sz w:val="18"/>
          <w:szCs w:val="18"/>
        </w:rPr>
        <w:t>表B</w:t>
      </w:r>
      <w:r>
        <w:rPr>
          <w:rFonts w:ascii="Times New Roman" w:hAnsi="Times New Roman" w:cs="Times New Roman"/>
          <w:sz w:val="18"/>
          <w:szCs w:val="18"/>
        </w:rPr>
        <w:t>.</w:t>
      </w:r>
      <w:r>
        <w:rPr>
          <w:rFonts w:ascii="Times New Roman" w:hAnsi="Times New Roman" w:eastAsia="黑体" w:cs="Times New Roman"/>
          <w:sz w:val="18"/>
          <w:szCs w:val="18"/>
        </w:rPr>
        <w:t>0</w:t>
      </w:r>
      <w:r>
        <w:rPr>
          <w:rFonts w:ascii="Times New Roman" w:hAnsi="Times New Roman" w:cs="Times New Roman"/>
          <w:sz w:val="18"/>
          <w:szCs w:val="18"/>
        </w:rPr>
        <w:t>.</w:t>
      </w:r>
      <w:r>
        <w:rPr>
          <w:rFonts w:ascii="Times New Roman" w:hAnsi="Times New Roman" w:eastAsia="黑体" w:cs="Times New Roman"/>
          <w:sz w:val="18"/>
          <w:szCs w:val="18"/>
        </w:rPr>
        <w:t>3-2  系数λ</w:t>
      </w:r>
    </w:p>
    <w:tbl>
      <w:tblPr>
        <w:tblStyle w:val="10"/>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745"/>
        <w:gridCol w:w="793"/>
        <w:gridCol w:w="707"/>
        <w:gridCol w:w="745"/>
        <w:gridCol w:w="897"/>
        <w:gridCol w:w="808"/>
        <w:gridCol w:w="612"/>
        <w:gridCol w:w="851"/>
        <w:gridCol w:w="805"/>
      </w:tblGrid>
      <w:tr w14:paraId="3D2261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915" w:type="pct"/>
            <w:vMerge w:val="restart"/>
            <w:vAlign w:val="center"/>
          </w:tcPr>
          <w:p w14:paraId="1A9D1A03">
            <w:pPr>
              <w:snapToGrid w:val="0"/>
              <w:jc w:val="center"/>
              <w:rPr>
                <w:rFonts w:ascii="Times New Roman" w:hAnsi="Times New Roman" w:cs="Times New Roman"/>
                <w:sz w:val="15"/>
                <w:szCs w:val="15"/>
              </w:rPr>
            </w:pPr>
            <w:r>
              <w:rPr>
                <w:rFonts w:ascii="Times New Roman" w:hAnsi="Times New Roman" w:cs="Times New Roman"/>
                <w:sz w:val="15"/>
                <w:szCs w:val="15"/>
              </w:rPr>
              <w:t xml:space="preserve">冲填速度V </w:t>
            </w:r>
          </w:p>
          <w:p w14:paraId="17F83196">
            <w:pPr>
              <w:snapToGrid w:val="0"/>
              <w:jc w:val="center"/>
              <w:rPr>
                <w:rFonts w:ascii="Times New Roman" w:hAnsi="Times New Roman" w:cs="Times New Roman"/>
                <w:sz w:val="15"/>
                <w:szCs w:val="15"/>
              </w:rPr>
            </w:pPr>
            <w:r>
              <w:rPr>
                <w:rFonts w:ascii="Times New Roman" w:hAnsi="Times New Roman" w:cs="Times New Roman"/>
                <w:sz w:val="15"/>
                <w:szCs w:val="15"/>
              </w:rPr>
              <w:t>（m/d）</w:t>
            </w:r>
          </w:p>
        </w:tc>
        <w:tc>
          <w:tcPr>
            <w:tcW w:w="4084" w:type="pct"/>
            <w:gridSpan w:val="9"/>
            <w:vAlign w:val="center"/>
          </w:tcPr>
          <w:p w14:paraId="3976D6A5">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渗透系数</w:t>
            </w:r>
            <w:r>
              <w:rPr>
                <w:rFonts w:ascii="Times New Roman" w:hAnsi="Times New Roman" w:cs="Times New Roman"/>
                <w:i/>
                <w:sz w:val="15"/>
                <w:szCs w:val="15"/>
              </w:rPr>
              <w:t>k（</w:t>
            </w:r>
            <w:r>
              <w:rPr>
                <w:rFonts w:ascii="Times New Roman" w:hAnsi="Times New Roman" w:cs="Times New Roman"/>
                <w:sz w:val="15"/>
                <w:szCs w:val="15"/>
              </w:rPr>
              <w:t>×10</w:t>
            </w:r>
            <w:r>
              <w:rPr>
                <w:rFonts w:ascii="Times New Roman" w:hAnsi="Times New Roman" w:cs="Times New Roman"/>
                <w:sz w:val="15"/>
                <w:szCs w:val="15"/>
                <w:vertAlign w:val="superscript"/>
              </w:rPr>
              <w:t>－6</w:t>
            </w:r>
            <w:r>
              <w:rPr>
                <w:rFonts w:ascii="Times New Roman" w:hAnsi="Times New Roman" w:cs="Times New Roman"/>
                <w:sz w:val="15"/>
                <w:szCs w:val="15"/>
              </w:rPr>
              <w:t>cm/s）</w:t>
            </w:r>
          </w:p>
        </w:tc>
      </w:tr>
      <w:tr w14:paraId="41D8B2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915" w:type="pct"/>
            <w:vMerge w:val="continue"/>
            <w:vAlign w:val="center"/>
          </w:tcPr>
          <w:p w14:paraId="710075CF">
            <w:pPr>
              <w:snapToGrid w:val="0"/>
              <w:jc w:val="center"/>
              <w:rPr>
                <w:rFonts w:ascii="Times New Roman" w:hAnsi="Times New Roman" w:cs="Times New Roman"/>
                <w:sz w:val="15"/>
                <w:szCs w:val="15"/>
              </w:rPr>
            </w:pPr>
          </w:p>
        </w:tc>
        <w:tc>
          <w:tcPr>
            <w:tcW w:w="437" w:type="pct"/>
            <w:vAlign w:val="center"/>
          </w:tcPr>
          <w:p w14:paraId="2610CD50">
            <w:pPr>
              <w:snapToGrid w:val="0"/>
              <w:spacing w:line="360" w:lineRule="auto"/>
              <w:jc w:val="center"/>
              <w:rPr>
                <w:rFonts w:ascii="Times New Roman" w:hAnsi="Times New Roman" w:cs="Times New Roman"/>
                <w:sz w:val="15"/>
                <w:szCs w:val="15"/>
              </w:rPr>
            </w:pPr>
            <w:r>
              <w:rPr>
                <w:rFonts w:ascii="Times New Roman" w:hAnsi="Times New Roman" w:cs="Times New Roman"/>
                <w:sz w:val="15"/>
                <w:szCs w:val="15"/>
              </w:rPr>
              <w:t>1</w:t>
            </w:r>
          </w:p>
        </w:tc>
        <w:tc>
          <w:tcPr>
            <w:tcW w:w="465" w:type="pct"/>
            <w:vAlign w:val="center"/>
          </w:tcPr>
          <w:p w14:paraId="3F361E0D">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2</w:t>
            </w:r>
          </w:p>
        </w:tc>
        <w:tc>
          <w:tcPr>
            <w:tcW w:w="415" w:type="pct"/>
            <w:vAlign w:val="center"/>
          </w:tcPr>
          <w:p w14:paraId="37645A52">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4</w:t>
            </w:r>
          </w:p>
        </w:tc>
        <w:tc>
          <w:tcPr>
            <w:tcW w:w="437" w:type="pct"/>
            <w:vAlign w:val="center"/>
          </w:tcPr>
          <w:p w14:paraId="12AAFB02">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6</w:t>
            </w:r>
          </w:p>
        </w:tc>
        <w:tc>
          <w:tcPr>
            <w:tcW w:w="526" w:type="pct"/>
            <w:vAlign w:val="center"/>
          </w:tcPr>
          <w:p w14:paraId="14448629">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8</w:t>
            </w:r>
          </w:p>
        </w:tc>
        <w:tc>
          <w:tcPr>
            <w:tcW w:w="474" w:type="pct"/>
            <w:vAlign w:val="center"/>
          </w:tcPr>
          <w:p w14:paraId="2D1AA08B">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10</w:t>
            </w:r>
          </w:p>
        </w:tc>
        <w:tc>
          <w:tcPr>
            <w:tcW w:w="359" w:type="pct"/>
            <w:vAlign w:val="center"/>
          </w:tcPr>
          <w:p w14:paraId="3565D816">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12</w:t>
            </w:r>
          </w:p>
        </w:tc>
        <w:tc>
          <w:tcPr>
            <w:tcW w:w="499" w:type="pct"/>
            <w:vAlign w:val="center"/>
          </w:tcPr>
          <w:p w14:paraId="260185BB">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14</w:t>
            </w:r>
          </w:p>
        </w:tc>
        <w:tc>
          <w:tcPr>
            <w:tcW w:w="469" w:type="pct"/>
            <w:vAlign w:val="center"/>
          </w:tcPr>
          <w:p w14:paraId="54A060A8">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16</w:t>
            </w:r>
          </w:p>
        </w:tc>
      </w:tr>
      <w:tr w14:paraId="51F63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15" w:type="pct"/>
            <w:vAlign w:val="center"/>
          </w:tcPr>
          <w:p w14:paraId="0B657CE0">
            <w:pPr>
              <w:snapToGrid w:val="0"/>
              <w:jc w:val="center"/>
              <w:rPr>
                <w:rFonts w:ascii="Times New Roman" w:hAnsi="Times New Roman" w:cs="Times New Roman"/>
                <w:sz w:val="15"/>
                <w:szCs w:val="15"/>
              </w:rPr>
            </w:pPr>
            <w:r>
              <w:rPr>
                <w:rFonts w:ascii="Times New Roman" w:hAnsi="Times New Roman" w:cs="Times New Roman"/>
                <w:sz w:val="15"/>
                <w:szCs w:val="15"/>
              </w:rPr>
              <w:t>0.1</w:t>
            </w:r>
          </w:p>
          <w:p w14:paraId="03B8252A">
            <w:pPr>
              <w:snapToGrid w:val="0"/>
              <w:jc w:val="center"/>
              <w:rPr>
                <w:rFonts w:ascii="Times New Roman" w:hAnsi="Times New Roman" w:cs="Times New Roman"/>
                <w:sz w:val="15"/>
                <w:szCs w:val="15"/>
              </w:rPr>
            </w:pPr>
            <w:r>
              <w:rPr>
                <w:rFonts w:ascii="Times New Roman" w:hAnsi="Times New Roman" w:cs="Times New Roman"/>
                <w:sz w:val="15"/>
                <w:szCs w:val="15"/>
              </w:rPr>
              <w:t>0.2</w:t>
            </w:r>
          </w:p>
          <w:p w14:paraId="4581C25B">
            <w:pPr>
              <w:snapToGrid w:val="0"/>
              <w:jc w:val="center"/>
              <w:rPr>
                <w:rFonts w:ascii="Times New Roman" w:hAnsi="Times New Roman" w:cs="Times New Roman"/>
                <w:sz w:val="15"/>
                <w:szCs w:val="15"/>
              </w:rPr>
            </w:pPr>
            <w:r>
              <w:rPr>
                <w:rFonts w:ascii="Times New Roman" w:hAnsi="Times New Roman" w:cs="Times New Roman"/>
                <w:sz w:val="15"/>
                <w:szCs w:val="15"/>
              </w:rPr>
              <w:t>0.3</w:t>
            </w:r>
          </w:p>
        </w:tc>
        <w:tc>
          <w:tcPr>
            <w:tcW w:w="437" w:type="pct"/>
            <w:vAlign w:val="center"/>
          </w:tcPr>
          <w:p w14:paraId="485DE068">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0.92</w:t>
            </w:r>
          </w:p>
          <w:p w14:paraId="530046D3">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0.95</w:t>
            </w:r>
          </w:p>
          <w:p w14:paraId="1032B2E5">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0.97</w:t>
            </w:r>
          </w:p>
        </w:tc>
        <w:tc>
          <w:tcPr>
            <w:tcW w:w="465" w:type="pct"/>
            <w:vAlign w:val="center"/>
          </w:tcPr>
          <w:p w14:paraId="39485D0C">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0.75</w:t>
            </w:r>
          </w:p>
          <w:p w14:paraId="558A32FA">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0.83</w:t>
            </w:r>
          </w:p>
          <w:p w14:paraId="30498044">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0.85</w:t>
            </w:r>
          </w:p>
        </w:tc>
        <w:tc>
          <w:tcPr>
            <w:tcW w:w="415" w:type="pct"/>
            <w:vAlign w:val="center"/>
          </w:tcPr>
          <w:p w14:paraId="218439D3">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0.50</w:t>
            </w:r>
          </w:p>
          <w:p w14:paraId="5DBB2467">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0.67</w:t>
            </w:r>
          </w:p>
          <w:p w14:paraId="040A93DD">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0.74</w:t>
            </w:r>
          </w:p>
        </w:tc>
        <w:tc>
          <w:tcPr>
            <w:tcW w:w="437" w:type="pct"/>
            <w:vAlign w:val="center"/>
          </w:tcPr>
          <w:p w14:paraId="69B352C4">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0.34</w:t>
            </w:r>
          </w:p>
          <w:p w14:paraId="5709C66B">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0.54</w:t>
            </w:r>
          </w:p>
          <w:p w14:paraId="18F88B04">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0.63</w:t>
            </w:r>
          </w:p>
        </w:tc>
        <w:tc>
          <w:tcPr>
            <w:tcW w:w="526" w:type="pct"/>
            <w:vAlign w:val="center"/>
          </w:tcPr>
          <w:p w14:paraId="1E28E594">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0.25</w:t>
            </w:r>
          </w:p>
          <w:p w14:paraId="58765725">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0.44</w:t>
            </w:r>
          </w:p>
          <w:p w14:paraId="2E8A519C">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0.53</w:t>
            </w:r>
          </w:p>
        </w:tc>
        <w:tc>
          <w:tcPr>
            <w:tcW w:w="474" w:type="pct"/>
            <w:vAlign w:val="center"/>
          </w:tcPr>
          <w:p w14:paraId="3F0EFA1E">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0.20</w:t>
            </w:r>
          </w:p>
          <w:p w14:paraId="791BCB6E">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0.35</w:t>
            </w:r>
          </w:p>
          <w:p w14:paraId="5FCA0CE8">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0.44</w:t>
            </w:r>
          </w:p>
        </w:tc>
        <w:tc>
          <w:tcPr>
            <w:tcW w:w="359" w:type="pct"/>
            <w:vAlign w:val="center"/>
          </w:tcPr>
          <w:p w14:paraId="06BA602F">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0.16</w:t>
            </w:r>
          </w:p>
          <w:p w14:paraId="665CD5E9">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0.28</w:t>
            </w:r>
          </w:p>
          <w:p w14:paraId="5D7CA40A">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0.36</w:t>
            </w:r>
          </w:p>
        </w:tc>
        <w:tc>
          <w:tcPr>
            <w:tcW w:w="499" w:type="pct"/>
            <w:vAlign w:val="center"/>
          </w:tcPr>
          <w:p w14:paraId="28BCDD62">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0.13</w:t>
            </w:r>
          </w:p>
          <w:p w14:paraId="12A16623">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0.21</w:t>
            </w:r>
          </w:p>
          <w:p w14:paraId="2E969495">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0.28</w:t>
            </w:r>
          </w:p>
        </w:tc>
        <w:tc>
          <w:tcPr>
            <w:tcW w:w="469" w:type="pct"/>
            <w:vAlign w:val="center"/>
          </w:tcPr>
          <w:p w14:paraId="427C3DEA">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0.11</w:t>
            </w:r>
          </w:p>
          <w:p w14:paraId="1E089144">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0.15</w:t>
            </w:r>
          </w:p>
          <w:p w14:paraId="2B26C46A">
            <w:pPr>
              <w:snapToGrid w:val="0"/>
              <w:ind w:left="-1" w:leftChars="-7" w:right="-70" w:rightChars="-25" w:hanging="19" w:hangingChars="13"/>
              <w:jc w:val="center"/>
              <w:rPr>
                <w:rFonts w:ascii="Times New Roman" w:hAnsi="Times New Roman" w:cs="Times New Roman"/>
                <w:sz w:val="15"/>
                <w:szCs w:val="15"/>
              </w:rPr>
            </w:pPr>
            <w:r>
              <w:rPr>
                <w:rFonts w:ascii="Times New Roman" w:hAnsi="Times New Roman" w:cs="Times New Roman"/>
                <w:sz w:val="15"/>
                <w:szCs w:val="15"/>
              </w:rPr>
              <w:t>0.20</w:t>
            </w:r>
          </w:p>
        </w:tc>
      </w:tr>
    </w:tbl>
    <w:p w14:paraId="13085738">
      <w:pPr>
        <w:ind w:firstLine="147" w:firstLineChars="98"/>
        <w:rPr>
          <w:rFonts w:ascii="Times New Roman" w:hAnsi="Times New Roman" w:cs="Times New Roman"/>
          <w:bCs/>
          <w:kern w:val="0"/>
          <w:sz w:val="15"/>
          <w:szCs w:val="18"/>
        </w:rPr>
      </w:pPr>
      <w:r>
        <w:rPr>
          <w:rFonts w:ascii="Times New Roman" w:hAnsi="Times New Roman" w:cs="Times New Roman"/>
          <w:bCs/>
          <w:kern w:val="0"/>
          <w:sz w:val="15"/>
          <w:szCs w:val="18"/>
        </w:rPr>
        <w:t>注：1  适用于透水地基，对不透水地基，表中数值可提高50%；</w:t>
      </w:r>
    </w:p>
    <w:p w14:paraId="39E41350">
      <w:pPr>
        <w:snapToGrid w:val="0"/>
        <w:ind w:firstLine="450" w:firstLineChars="300"/>
        <w:rPr>
          <w:rFonts w:ascii="Times New Roman" w:hAnsi="Times New Roman" w:eastAsia="黑体" w:cs="Times New Roman"/>
          <w:sz w:val="21"/>
          <w:szCs w:val="21"/>
        </w:rPr>
      </w:pPr>
      <w:r>
        <w:rPr>
          <w:rFonts w:ascii="Times New Roman" w:hAnsi="Times New Roman" w:cs="Times New Roman"/>
          <w:bCs/>
          <w:kern w:val="0"/>
          <w:sz w:val="15"/>
          <w:szCs w:val="18"/>
        </w:rPr>
        <w:t xml:space="preserve">2  </w:t>
      </w:r>
      <w:r>
        <w:rPr>
          <w:rFonts w:ascii="Times New Roman" w:hAnsi="Times New Roman" w:cs="Times New Roman"/>
          <w:bCs/>
          <w:i/>
          <w:kern w:val="0"/>
          <w:sz w:val="15"/>
          <w:szCs w:val="18"/>
        </w:rPr>
        <w:t>k</w:t>
      </w:r>
      <w:r>
        <w:rPr>
          <w:rFonts w:ascii="Times New Roman" w:hAnsi="Times New Roman" w:cs="Times New Roman"/>
          <w:bCs/>
          <w:kern w:val="0"/>
          <w:sz w:val="15"/>
          <w:szCs w:val="18"/>
        </w:rPr>
        <w:t>为初期渗透系数，即指冲填土在0.1kg/cm</w:t>
      </w:r>
      <w:r>
        <w:rPr>
          <w:rFonts w:ascii="Times New Roman" w:hAnsi="Times New Roman" w:cs="Times New Roman"/>
          <w:bCs/>
          <w:kern w:val="0"/>
          <w:sz w:val="15"/>
          <w:szCs w:val="18"/>
          <w:vertAlign w:val="superscript"/>
        </w:rPr>
        <w:t>2</w:t>
      </w:r>
      <w:r>
        <w:rPr>
          <w:rFonts w:ascii="Times New Roman" w:hAnsi="Times New Roman" w:cs="Times New Roman"/>
          <w:bCs/>
          <w:kern w:val="0"/>
          <w:sz w:val="15"/>
          <w:szCs w:val="18"/>
        </w:rPr>
        <w:t>荷重下固结试样的渗透系数。</w:t>
      </w:r>
    </w:p>
    <w:p w14:paraId="4DAC9736">
      <w:pPr>
        <w:spacing w:line="360" w:lineRule="auto"/>
        <w:rPr>
          <w:rFonts w:ascii="Times New Roman" w:hAnsi="Times New Roman" w:cs="Times New Roman"/>
          <w:bCs/>
          <w:sz w:val="21"/>
        </w:rPr>
      </w:pPr>
      <w:r>
        <w:rPr>
          <w:rFonts w:ascii="Times New Roman" w:hAnsi="Times New Roman" w:cs="Times New Roman"/>
          <w:b/>
          <w:sz w:val="21"/>
        </w:rPr>
        <w:t xml:space="preserve">B.0.4  </w:t>
      </w:r>
      <w:r>
        <w:rPr>
          <w:rFonts w:ascii="Times New Roman" w:hAnsi="Times New Roman" w:cs="Times New Roman"/>
          <w:bCs/>
          <w:sz w:val="21"/>
        </w:rPr>
        <w:t>采用浆砌石（混凝土或钢筋混凝土）等材料的拦挡建筑物应进行抗滑稳定、抗倾覆稳定计算，并应对基底应力进行校核。稳定计算应按现行行业标准《砌石坝设计规范》SL 25的有关规定执行。</w:t>
      </w:r>
    </w:p>
    <w:p w14:paraId="7452102E">
      <w:pPr>
        <w:jc w:val="center"/>
        <w:rPr>
          <w:rFonts w:ascii="Times New Roman" w:hAnsi="Times New Roman" w:eastAsia="黑体" w:cs="Times New Roman"/>
          <w:sz w:val="48"/>
          <w:szCs w:val="48"/>
        </w:rPr>
        <w:sectPr>
          <w:pgSz w:w="11906" w:h="16838"/>
          <w:pgMar w:top="1440" w:right="1800" w:bottom="1440" w:left="1800" w:header="851" w:footer="992" w:gutter="0"/>
          <w:cols w:space="425" w:num="1"/>
          <w:docGrid w:type="lines" w:linePitch="312" w:charSpace="0"/>
        </w:sectPr>
      </w:pPr>
    </w:p>
    <w:p w14:paraId="32C164C7">
      <w:pPr>
        <w:keepNext/>
        <w:keepLines/>
        <w:spacing w:before="340" w:after="330" w:line="578" w:lineRule="auto"/>
        <w:jc w:val="center"/>
        <w:outlineLvl w:val="0"/>
        <w:rPr>
          <w:rFonts w:ascii="Times New Roman" w:hAnsi="Times New Roman" w:eastAsia="黑体" w:cs="Times New Roman"/>
          <w:bCs/>
          <w:kern w:val="44"/>
          <w:szCs w:val="28"/>
        </w:rPr>
      </w:pPr>
      <w:bookmarkStart w:id="628" w:name="_Toc6096"/>
      <w:bookmarkStart w:id="629" w:name="_Toc805"/>
      <w:r>
        <w:rPr>
          <w:rFonts w:ascii="Times New Roman" w:hAnsi="Times New Roman" w:eastAsia="黑体" w:cs="Times New Roman"/>
          <w:bCs/>
          <w:kern w:val="44"/>
          <w:sz w:val="30"/>
          <w:szCs w:val="30"/>
        </w:rPr>
        <w:t>附录C 植被恢复与建设工程主要适宜树（草）种表</w:t>
      </w:r>
      <w:bookmarkEnd w:id="628"/>
      <w:bookmarkEnd w:id="629"/>
    </w:p>
    <w:p w14:paraId="210629BE">
      <w:pPr>
        <w:autoSpaceDE w:val="0"/>
        <w:autoSpaceDN w:val="0"/>
        <w:adjustRightInd w:val="0"/>
        <w:spacing w:line="360" w:lineRule="auto"/>
        <w:jc w:val="left"/>
        <w:rPr>
          <w:rFonts w:ascii="Times New Roman" w:hAnsi="Times New Roman" w:cs="Times New Roman"/>
          <w:sz w:val="21"/>
        </w:rPr>
      </w:pPr>
      <w:r>
        <w:rPr>
          <w:rFonts w:hint="eastAsia" w:ascii="Times New Roman" w:hAnsi="Times New Roman" w:cs="Times New Roman"/>
          <w:sz w:val="21"/>
        </w:rPr>
        <w:t>C</w:t>
      </w:r>
      <w:r>
        <w:rPr>
          <w:rFonts w:ascii="Times New Roman" w:hAnsi="Times New Roman" w:cs="Times New Roman"/>
          <w:sz w:val="21"/>
        </w:rPr>
        <w:t>.0.1  景观绿化</w:t>
      </w:r>
      <w:r>
        <w:rPr>
          <w:rFonts w:hint="eastAsia" w:ascii="Times New Roman" w:hAnsi="Times New Roman" w:cs="Times New Roman"/>
          <w:sz w:val="21"/>
        </w:rPr>
        <w:t>主要树（草）种可按表C</w:t>
      </w:r>
      <w:r>
        <w:rPr>
          <w:rFonts w:ascii="Times New Roman" w:hAnsi="Times New Roman" w:cs="Times New Roman"/>
          <w:sz w:val="21"/>
        </w:rPr>
        <w:t>.0.1选择。</w:t>
      </w:r>
    </w:p>
    <w:p w14:paraId="045786A0">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表C.0.1  景观绿化主要树（草）种</w:t>
      </w:r>
    </w:p>
    <w:tbl>
      <w:tblPr>
        <w:tblStyle w:val="10"/>
        <w:tblW w:w="0" w:type="auto"/>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729"/>
        <w:gridCol w:w="967"/>
        <w:gridCol w:w="6826"/>
      </w:tblGrid>
      <w:tr w14:paraId="42EBFD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29" w:type="dxa"/>
            <w:tcBorders>
              <w:tl2br w:val="nil"/>
              <w:tr2bl w:val="nil"/>
            </w:tcBorders>
            <w:vAlign w:val="center"/>
          </w:tcPr>
          <w:p w14:paraId="7224A506">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区域</w:t>
            </w:r>
          </w:p>
        </w:tc>
        <w:tc>
          <w:tcPr>
            <w:tcW w:w="967" w:type="dxa"/>
            <w:tcBorders>
              <w:tl2br w:val="nil"/>
              <w:tr2bl w:val="nil"/>
            </w:tcBorders>
            <w:vAlign w:val="center"/>
          </w:tcPr>
          <w:p w14:paraId="3C89F8D2">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植物类型</w:t>
            </w:r>
          </w:p>
        </w:tc>
        <w:tc>
          <w:tcPr>
            <w:tcW w:w="6826" w:type="dxa"/>
            <w:tcBorders>
              <w:tl2br w:val="nil"/>
              <w:tr2bl w:val="nil"/>
            </w:tcBorders>
            <w:vAlign w:val="center"/>
          </w:tcPr>
          <w:p w14:paraId="492D253E">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名称</w:t>
            </w:r>
          </w:p>
        </w:tc>
      </w:tr>
      <w:tr w14:paraId="6CB5AE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729" w:type="dxa"/>
            <w:vMerge w:val="restart"/>
            <w:tcBorders>
              <w:tl2br w:val="nil"/>
              <w:tr2bl w:val="nil"/>
            </w:tcBorders>
            <w:vAlign w:val="center"/>
          </w:tcPr>
          <w:p w14:paraId="490DC434">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北方</w:t>
            </w:r>
          </w:p>
        </w:tc>
        <w:tc>
          <w:tcPr>
            <w:tcW w:w="967" w:type="dxa"/>
            <w:tcBorders>
              <w:tl2br w:val="nil"/>
              <w:tr2bl w:val="nil"/>
            </w:tcBorders>
            <w:vAlign w:val="center"/>
          </w:tcPr>
          <w:p w14:paraId="2C2FBA1D">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乔木</w:t>
            </w:r>
          </w:p>
        </w:tc>
        <w:tc>
          <w:tcPr>
            <w:tcW w:w="6826" w:type="dxa"/>
            <w:tcBorders>
              <w:tl2br w:val="nil"/>
              <w:tr2bl w:val="nil"/>
            </w:tcBorders>
            <w:vAlign w:val="center"/>
          </w:tcPr>
          <w:p w14:paraId="0236B6FC">
            <w:pPr>
              <w:widowControl/>
              <w:adjustRightInd w:val="0"/>
              <w:snapToGrid w:val="0"/>
              <w:textAlignment w:val="center"/>
              <w:rPr>
                <w:rFonts w:ascii="Times New Roman" w:hAnsi="Times New Roman" w:cs="Times New Roman"/>
                <w:sz w:val="15"/>
                <w:szCs w:val="15"/>
              </w:rPr>
            </w:pPr>
            <w:r>
              <w:rPr>
                <w:rFonts w:ascii="Times New Roman" w:hAnsi="Times New Roman" w:cs="Times New Roman"/>
                <w:kern w:val="0"/>
                <w:sz w:val="15"/>
                <w:szCs w:val="15"/>
                <w:lang w:bidi="ar"/>
              </w:rPr>
              <w:t>国槐、银杏、白蜡、</w:t>
            </w:r>
            <w:r>
              <w:rPr>
                <w:rFonts w:hint="eastAsia" w:ascii="Times New Roman" w:hAnsi="Times New Roman" w:cs="Times New Roman"/>
                <w:kern w:val="0"/>
                <w:sz w:val="15"/>
                <w:szCs w:val="15"/>
                <w:lang w:bidi="ar"/>
              </w:rPr>
              <w:t>二球悬铃木</w:t>
            </w:r>
            <w:r>
              <w:rPr>
                <w:rFonts w:ascii="Times New Roman" w:hAnsi="Times New Roman" w:cs="Times New Roman"/>
                <w:kern w:val="0"/>
                <w:sz w:val="15"/>
                <w:szCs w:val="15"/>
                <w:lang w:bidi="ar"/>
              </w:rPr>
              <w:t>、</w:t>
            </w:r>
            <w:r>
              <w:rPr>
                <w:rFonts w:hint="eastAsia" w:ascii="Times New Roman" w:hAnsi="Times New Roman" w:cs="Times New Roman"/>
                <w:kern w:val="0"/>
                <w:sz w:val="15"/>
                <w:szCs w:val="15"/>
                <w:lang w:bidi="ar"/>
              </w:rPr>
              <w:t>香椿、臭椿</w:t>
            </w:r>
            <w:r>
              <w:rPr>
                <w:rFonts w:ascii="Times New Roman" w:hAnsi="Times New Roman" w:cs="Times New Roman"/>
                <w:kern w:val="0"/>
                <w:sz w:val="15"/>
                <w:szCs w:val="15"/>
                <w:lang w:bidi="ar"/>
              </w:rPr>
              <w:t>、千头椿、北栾、毛白杨、旱柳、皂荚、钻天杨、青杨、新疆杨、垂柳、核桃、白桦、硕桦、糙皮桦、黑桦、辽东桤木、板栗、辽东栎、槲树、榆、刺槐、香花槐、火炬树、丝棉木、细裂槭、血皮槭、茶条槭、糖槭、元宝枫、五角枫、挪威槭、三花槭、假色槭、文冠果、蒙椴、心叶椴、糠椴、灯台树、梓树、紫玉兰、黄杨、黄栌、美洲黄栌、大叶黄杨、鼠李、木槿、柽柳、沙棘、紫薇、山茱萸、流苏、荆条、接骨木、金银木</w:t>
            </w:r>
          </w:p>
        </w:tc>
      </w:tr>
      <w:tr w14:paraId="7821D3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29" w:type="dxa"/>
            <w:vMerge w:val="continue"/>
            <w:tcBorders>
              <w:tl2br w:val="nil"/>
              <w:tr2bl w:val="nil"/>
            </w:tcBorders>
            <w:vAlign w:val="center"/>
          </w:tcPr>
          <w:p w14:paraId="442B04E0">
            <w:pPr>
              <w:widowControl/>
              <w:adjustRightInd w:val="0"/>
              <w:snapToGrid w:val="0"/>
              <w:jc w:val="center"/>
              <w:rPr>
                <w:rFonts w:ascii="Times New Roman" w:hAnsi="Times New Roman" w:cs="Times New Roman"/>
                <w:sz w:val="15"/>
                <w:szCs w:val="15"/>
              </w:rPr>
            </w:pPr>
          </w:p>
        </w:tc>
        <w:tc>
          <w:tcPr>
            <w:tcW w:w="967" w:type="dxa"/>
            <w:tcBorders>
              <w:tl2br w:val="nil"/>
              <w:tr2bl w:val="nil"/>
            </w:tcBorders>
            <w:vAlign w:val="center"/>
          </w:tcPr>
          <w:p w14:paraId="200F609A">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灌木</w:t>
            </w:r>
          </w:p>
        </w:tc>
        <w:tc>
          <w:tcPr>
            <w:tcW w:w="6826" w:type="dxa"/>
            <w:tcBorders>
              <w:tl2br w:val="nil"/>
              <w:tr2bl w:val="nil"/>
            </w:tcBorders>
            <w:vAlign w:val="center"/>
          </w:tcPr>
          <w:p w14:paraId="61A5906D">
            <w:pPr>
              <w:widowControl/>
              <w:adjustRightInd w:val="0"/>
              <w:snapToGrid w:val="0"/>
              <w:textAlignment w:val="center"/>
              <w:rPr>
                <w:rFonts w:ascii="Times New Roman" w:hAnsi="Times New Roman" w:cs="Times New Roman"/>
                <w:sz w:val="15"/>
                <w:szCs w:val="15"/>
              </w:rPr>
            </w:pPr>
            <w:r>
              <w:rPr>
                <w:rFonts w:ascii="Times New Roman" w:hAnsi="Times New Roman" w:cs="Times New Roman"/>
                <w:kern w:val="0"/>
                <w:sz w:val="15"/>
                <w:szCs w:val="15"/>
                <w:lang w:bidi="ar"/>
              </w:rPr>
              <w:t>贴梗海棠、华北珍珠梅、太平花、蜡梅、矮紫杉、木贼麻黄、铺地柏、日本小檗、玫瑰、月季、黄刺玫、鸡麻、金露梅、榆叶梅、棣棠、紫穗槐、胡枝子、卫矛、胡颓子、红瑞木、连翘、紫丁香、暴马丁香、水蜡、紫珠、海州常山、枸杞、猬实、锦带花、天目琼花</w:t>
            </w:r>
          </w:p>
        </w:tc>
      </w:tr>
      <w:tr w14:paraId="17FB86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29" w:type="dxa"/>
            <w:vMerge w:val="continue"/>
            <w:tcBorders>
              <w:tl2br w:val="nil"/>
              <w:tr2bl w:val="nil"/>
            </w:tcBorders>
            <w:vAlign w:val="center"/>
          </w:tcPr>
          <w:p w14:paraId="2A54DB38">
            <w:pPr>
              <w:widowControl/>
              <w:adjustRightInd w:val="0"/>
              <w:snapToGrid w:val="0"/>
              <w:jc w:val="center"/>
              <w:rPr>
                <w:rFonts w:ascii="Times New Roman" w:hAnsi="Times New Roman" w:cs="Times New Roman"/>
                <w:sz w:val="15"/>
                <w:szCs w:val="15"/>
              </w:rPr>
            </w:pPr>
          </w:p>
        </w:tc>
        <w:tc>
          <w:tcPr>
            <w:tcW w:w="967" w:type="dxa"/>
            <w:tcBorders>
              <w:tl2br w:val="nil"/>
              <w:tr2bl w:val="nil"/>
            </w:tcBorders>
            <w:vAlign w:val="center"/>
          </w:tcPr>
          <w:p w14:paraId="2595DF5B">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攀缘、下挂植物</w:t>
            </w:r>
          </w:p>
        </w:tc>
        <w:tc>
          <w:tcPr>
            <w:tcW w:w="6826" w:type="dxa"/>
            <w:tcBorders>
              <w:tl2br w:val="nil"/>
              <w:tr2bl w:val="nil"/>
            </w:tcBorders>
            <w:vAlign w:val="center"/>
          </w:tcPr>
          <w:p w14:paraId="603CD1E9">
            <w:pPr>
              <w:widowControl/>
              <w:adjustRightInd w:val="0"/>
              <w:snapToGrid w:val="0"/>
              <w:textAlignment w:val="center"/>
              <w:rPr>
                <w:rFonts w:ascii="Times New Roman" w:hAnsi="Times New Roman" w:cs="Times New Roman"/>
                <w:sz w:val="15"/>
                <w:szCs w:val="15"/>
              </w:rPr>
            </w:pPr>
            <w:r>
              <w:rPr>
                <w:rFonts w:ascii="Times New Roman" w:hAnsi="Times New Roman" w:cs="Times New Roman"/>
                <w:kern w:val="0"/>
                <w:sz w:val="15"/>
                <w:szCs w:val="15"/>
                <w:lang w:bidi="ar"/>
              </w:rPr>
              <w:t>大叶马兜铃、大花铁线莲、大叶铁线莲、藤本月季、紫藤、猕猴桃、地锦、爬山虎、五味子、凌霄、</w:t>
            </w:r>
            <w:r>
              <w:rPr>
                <w:rFonts w:hint="eastAsia" w:ascii="Times New Roman" w:hAnsi="Times New Roman" w:cs="Times New Roman"/>
                <w:kern w:val="0"/>
                <w:sz w:val="15"/>
                <w:szCs w:val="15"/>
                <w:lang w:bidi="ar"/>
              </w:rPr>
              <w:t>忍冬</w:t>
            </w:r>
            <w:r>
              <w:rPr>
                <w:rFonts w:ascii="Times New Roman" w:hAnsi="Times New Roman" w:cs="Times New Roman"/>
                <w:kern w:val="0"/>
                <w:sz w:val="15"/>
                <w:szCs w:val="15"/>
                <w:lang w:bidi="ar"/>
              </w:rPr>
              <w:t>、南蛇藤</w:t>
            </w:r>
          </w:p>
        </w:tc>
      </w:tr>
      <w:tr w14:paraId="0362A8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29" w:type="dxa"/>
            <w:vMerge w:val="continue"/>
            <w:tcBorders>
              <w:tl2br w:val="nil"/>
              <w:tr2bl w:val="nil"/>
            </w:tcBorders>
            <w:vAlign w:val="center"/>
          </w:tcPr>
          <w:p w14:paraId="3412340D">
            <w:pPr>
              <w:widowControl/>
              <w:adjustRightInd w:val="0"/>
              <w:snapToGrid w:val="0"/>
              <w:jc w:val="center"/>
              <w:rPr>
                <w:rFonts w:ascii="Times New Roman" w:hAnsi="Times New Roman" w:cs="Times New Roman"/>
                <w:sz w:val="15"/>
                <w:szCs w:val="15"/>
              </w:rPr>
            </w:pPr>
          </w:p>
        </w:tc>
        <w:tc>
          <w:tcPr>
            <w:tcW w:w="967" w:type="dxa"/>
            <w:tcBorders>
              <w:tl2br w:val="nil"/>
              <w:tr2bl w:val="nil"/>
            </w:tcBorders>
            <w:vAlign w:val="center"/>
          </w:tcPr>
          <w:p w14:paraId="6897A419">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地被与花卉</w:t>
            </w:r>
          </w:p>
        </w:tc>
        <w:tc>
          <w:tcPr>
            <w:tcW w:w="6826" w:type="dxa"/>
            <w:tcBorders>
              <w:tl2br w:val="nil"/>
              <w:tr2bl w:val="nil"/>
            </w:tcBorders>
            <w:vAlign w:val="center"/>
          </w:tcPr>
          <w:p w14:paraId="567B6085">
            <w:pPr>
              <w:widowControl/>
              <w:adjustRightInd w:val="0"/>
              <w:snapToGrid w:val="0"/>
              <w:textAlignment w:val="center"/>
              <w:rPr>
                <w:rFonts w:ascii="Times New Roman" w:hAnsi="Times New Roman" w:cs="Times New Roman"/>
                <w:sz w:val="15"/>
                <w:szCs w:val="15"/>
              </w:rPr>
            </w:pPr>
            <w:r>
              <w:rPr>
                <w:rFonts w:ascii="Times New Roman" w:hAnsi="Times New Roman" w:cs="Times New Roman"/>
                <w:kern w:val="0"/>
                <w:sz w:val="15"/>
                <w:szCs w:val="15"/>
                <w:lang w:bidi="ar"/>
              </w:rPr>
              <w:t>三色堇、金鱼草、大丽花、菊花、翠菊、黑心菊、波斯菊、百日草、孔雀草、金盏菊、向日葵、鸡冠花、千日红、瓜叶菊、雁来红、彩叶草、罗勒、一串红、紫罗兰、羽衣甘蓝、二月兰、凤仙、矮牵牛、茑萝、牵牛花、地旋花、地肤、虞美人、含羞草、蓖麻、红蓼、商陆、鸢尾、金鸡菊、美人蕉、蜀葵、秋葵、石竹、龙翅海棠、假龙头、葱兰、萱草、玉簪、麦冬、天人菊、蒲公英、观赏茄、五彩椒、紫露草、桔梗、芒、狼尾草、酢浆草、白车轴草</w:t>
            </w:r>
          </w:p>
        </w:tc>
      </w:tr>
      <w:tr w14:paraId="12700C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29" w:type="dxa"/>
            <w:vMerge w:val="continue"/>
            <w:tcBorders>
              <w:tl2br w:val="nil"/>
              <w:tr2bl w:val="nil"/>
            </w:tcBorders>
            <w:vAlign w:val="center"/>
          </w:tcPr>
          <w:p w14:paraId="5A099630">
            <w:pPr>
              <w:widowControl/>
              <w:adjustRightInd w:val="0"/>
              <w:snapToGrid w:val="0"/>
              <w:jc w:val="center"/>
              <w:rPr>
                <w:rFonts w:ascii="Times New Roman" w:hAnsi="Times New Roman" w:cs="Times New Roman"/>
                <w:sz w:val="15"/>
                <w:szCs w:val="15"/>
              </w:rPr>
            </w:pPr>
          </w:p>
        </w:tc>
        <w:tc>
          <w:tcPr>
            <w:tcW w:w="967" w:type="dxa"/>
            <w:tcBorders>
              <w:tl2br w:val="nil"/>
              <w:tr2bl w:val="nil"/>
            </w:tcBorders>
            <w:vAlign w:val="center"/>
          </w:tcPr>
          <w:p w14:paraId="64BD3BF2">
            <w:pPr>
              <w:widowControl/>
              <w:adjustRightInd w:val="0"/>
              <w:snapToGrid w:val="0"/>
              <w:jc w:val="center"/>
              <w:textAlignment w:val="center"/>
              <w:rPr>
                <w:rFonts w:ascii="Times New Roman" w:hAnsi="Times New Roman" w:cs="Times New Roman"/>
                <w:kern w:val="0"/>
                <w:sz w:val="15"/>
                <w:szCs w:val="15"/>
                <w:lang w:bidi="ar"/>
              </w:rPr>
            </w:pPr>
            <w:r>
              <w:rPr>
                <w:rFonts w:hint="eastAsia" w:ascii="Times New Roman" w:hAnsi="Times New Roman" w:cs="Times New Roman"/>
                <w:kern w:val="0"/>
                <w:sz w:val="15"/>
                <w:szCs w:val="15"/>
                <w:lang w:bidi="ar"/>
              </w:rPr>
              <w:t>草</w:t>
            </w:r>
          </w:p>
        </w:tc>
        <w:tc>
          <w:tcPr>
            <w:tcW w:w="6826" w:type="dxa"/>
            <w:tcBorders>
              <w:tl2br w:val="nil"/>
              <w:tr2bl w:val="nil"/>
            </w:tcBorders>
            <w:vAlign w:val="center"/>
          </w:tcPr>
          <w:p w14:paraId="4726B7BB">
            <w:pPr>
              <w:widowControl/>
              <w:adjustRightInd w:val="0"/>
              <w:snapToGrid w:val="0"/>
              <w:textAlignment w:val="center"/>
              <w:rPr>
                <w:rFonts w:ascii="Times New Roman" w:hAnsi="Times New Roman" w:cs="Times New Roman"/>
                <w:kern w:val="0"/>
                <w:sz w:val="15"/>
                <w:szCs w:val="15"/>
                <w:lang w:bidi="ar"/>
              </w:rPr>
            </w:pPr>
            <w:r>
              <w:rPr>
                <w:rFonts w:hint="eastAsia" w:ascii="Times New Roman" w:hAnsi="Times New Roman" w:cs="Times New Roman"/>
                <w:kern w:val="0"/>
                <w:sz w:val="15"/>
                <w:szCs w:val="15"/>
                <w:lang w:bidi="ar"/>
              </w:rPr>
              <w:t>早熟禾、高羊茅、紫羊茅、剪股颖、多年生黑麦草</w:t>
            </w:r>
          </w:p>
        </w:tc>
      </w:tr>
      <w:tr w14:paraId="316B92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29" w:type="dxa"/>
            <w:vMerge w:val="restart"/>
            <w:tcBorders>
              <w:tl2br w:val="nil"/>
              <w:tr2bl w:val="nil"/>
            </w:tcBorders>
            <w:vAlign w:val="center"/>
          </w:tcPr>
          <w:p w14:paraId="666FD378">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南方</w:t>
            </w:r>
          </w:p>
        </w:tc>
        <w:tc>
          <w:tcPr>
            <w:tcW w:w="967" w:type="dxa"/>
            <w:tcBorders>
              <w:tl2br w:val="nil"/>
              <w:tr2bl w:val="nil"/>
            </w:tcBorders>
            <w:vAlign w:val="center"/>
          </w:tcPr>
          <w:p w14:paraId="08A623D6">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乔木</w:t>
            </w:r>
          </w:p>
        </w:tc>
        <w:tc>
          <w:tcPr>
            <w:tcW w:w="6826" w:type="dxa"/>
            <w:tcBorders>
              <w:tl2br w:val="nil"/>
              <w:tr2bl w:val="nil"/>
            </w:tcBorders>
            <w:vAlign w:val="center"/>
          </w:tcPr>
          <w:p w14:paraId="04064402">
            <w:pPr>
              <w:widowControl/>
              <w:adjustRightInd w:val="0"/>
              <w:snapToGrid w:val="0"/>
              <w:textAlignment w:val="center"/>
              <w:rPr>
                <w:rFonts w:ascii="Times New Roman" w:hAnsi="Times New Roman" w:cs="Times New Roman"/>
                <w:sz w:val="15"/>
                <w:szCs w:val="15"/>
              </w:rPr>
            </w:pPr>
            <w:r>
              <w:rPr>
                <w:rFonts w:ascii="Times New Roman" w:hAnsi="Times New Roman" w:cs="Times New Roman"/>
                <w:kern w:val="0"/>
                <w:sz w:val="15"/>
                <w:szCs w:val="15"/>
                <w:lang w:bidi="ar"/>
              </w:rPr>
              <w:t>银杏、樟树、桂花、紫薇、栾树、雪松、荷花玉兰、广玉兰、玉兰、合欢、垂柳、杜英、鹅掌楸、三角枫、枫香、枫杨、红枫、鸡爪槭、朴树、含笑、红梅、绿梅、红叶李、花石榴、盘槐、碧桃、早樱、晚樱、水杉、乌桕、无患子、杨梅、垂丝海棠、桢楠、国槐、黄连木、榕树、青檀、球花石楠、油茶、木荷、大叶桉、棕榈、</w:t>
            </w:r>
            <w:r>
              <w:rPr>
                <w:rFonts w:hint="eastAsia" w:ascii="Times New Roman" w:hAnsi="Times New Roman" w:cs="Times New Roman"/>
                <w:kern w:val="0"/>
                <w:sz w:val="15"/>
                <w:szCs w:val="15"/>
                <w:lang w:bidi="ar"/>
              </w:rPr>
              <w:t>二球</w:t>
            </w:r>
            <w:r>
              <w:rPr>
                <w:rFonts w:ascii="Times New Roman" w:hAnsi="Times New Roman" w:cs="Times New Roman"/>
                <w:kern w:val="0"/>
                <w:sz w:val="15"/>
                <w:szCs w:val="15"/>
                <w:lang w:bidi="ar"/>
              </w:rPr>
              <w:t>悬铃木</w:t>
            </w:r>
          </w:p>
        </w:tc>
      </w:tr>
      <w:tr w14:paraId="0C295C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29" w:type="dxa"/>
            <w:vMerge w:val="continue"/>
            <w:tcBorders>
              <w:tl2br w:val="nil"/>
              <w:tr2bl w:val="nil"/>
            </w:tcBorders>
            <w:vAlign w:val="center"/>
          </w:tcPr>
          <w:p w14:paraId="573057F5">
            <w:pPr>
              <w:widowControl/>
              <w:adjustRightInd w:val="0"/>
              <w:snapToGrid w:val="0"/>
              <w:jc w:val="center"/>
              <w:rPr>
                <w:rFonts w:ascii="Times New Roman" w:hAnsi="Times New Roman" w:cs="Times New Roman"/>
                <w:sz w:val="15"/>
                <w:szCs w:val="15"/>
              </w:rPr>
            </w:pPr>
          </w:p>
        </w:tc>
        <w:tc>
          <w:tcPr>
            <w:tcW w:w="967" w:type="dxa"/>
            <w:tcBorders>
              <w:tl2br w:val="nil"/>
              <w:tr2bl w:val="nil"/>
            </w:tcBorders>
            <w:vAlign w:val="center"/>
          </w:tcPr>
          <w:p w14:paraId="1D16E951">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灌木</w:t>
            </w:r>
          </w:p>
        </w:tc>
        <w:tc>
          <w:tcPr>
            <w:tcW w:w="6826" w:type="dxa"/>
            <w:tcBorders>
              <w:tl2br w:val="nil"/>
              <w:tr2bl w:val="nil"/>
            </w:tcBorders>
            <w:vAlign w:val="center"/>
          </w:tcPr>
          <w:p w14:paraId="7DC9A757">
            <w:pPr>
              <w:widowControl/>
              <w:adjustRightInd w:val="0"/>
              <w:snapToGrid w:val="0"/>
              <w:textAlignment w:val="center"/>
              <w:rPr>
                <w:rFonts w:ascii="Times New Roman" w:hAnsi="Times New Roman" w:cs="Times New Roman"/>
                <w:sz w:val="15"/>
                <w:szCs w:val="15"/>
              </w:rPr>
            </w:pPr>
            <w:r>
              <w:rPr>
                <w:rFonts w:ascii="Times New Roman" w:hAnsi="Times New Roman" w:cs="Times New Roman"/>
                <w:kern w:val="0"/>
                <w:sz w:val="15"/>
                <w:szCs w:val="15"/>
                <w:lang w:bidi="ar"/>
              </w:rPr>
              <w:t>贴梗海棠、红花继木、金叶女贞、金森女贞、金禾女贞、小叶女贞、红叶石楠、腊梅、春娟、夏娟、比利时杜鹃、大叶黄杨、小叶黄杨、金边黄杨、龟甲冬青、海桐、毛叶丁香、山茶花、茶花、茶梅、栀子、洒金珊瑚、无刺构骨、含笑、金丝桃、月季、法国冬青、木芙蓉、木槿、紫荆、夹竹桃、龙柏球、洒金柏、南天竹、八角金盘、肾蕨、苏铁、丝兰、剑麻</w:t>
            </w:r>
          </w:p>
        </w:tc>
      </w:tr>
      <w:tr w14:paraId="6B709D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29" w:type="dxa"/>
            <w:vMerge w:val="continue"/>
            <w:tcBorders>
              <w:tl2br w:val="nil"/>
              <w:tr2bl w:val="nil"/>
            </w:tcBorders>
            <w:vAlign w:val="center"/>
          </w:tcPr>
          <w:p w14:paraId="0D89C69F">
            <w:pPr>
              <w:widowControl/>
              <w:adjustRightInd w:val="0"/>
              <w:snapToGrid w:val="0"/>
              <w:jc w:val="center"/>
              <w:rPr>
                <w:rFonts w:ascii="Times New Roman" w:hAnsi="Times New Roman" w:cs="Times New Roman"/>
                <w:sz w:val="15"/>
                <w:szCs w:val="15"/>
              </w:rPr>
            </w:pPr>
          </w:p>
        </w:tc>
        <w:tc>
          <w:tcPr>
            <w:tcW w:w="967" w:type="dxa"/>
            <w:tcBorders>
              <w:tl2br w:val="nil"/>
              <w:tr2bl w:val="nil"/>
            </w:tcBorders>
            <w:vAlign w:val="center"/>
          </w:tcPr>
          <w:p w14:paraId="2E1454FB">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攀缘、下挂植物</w:t>
            </w:r>
          </w:p>
        </w:tc>
        <w:tc>
          <w:tcPr>
            <w:tcW w:w="6826" w:type="dxa"/>
            <w:tcBorders>
              <w:tl2br w:val="nil"/>
              <w:tr2bl w:val="nil"/>
            </w:tcBorders>
            <w:vAlign w:val="center"/>
          </w:tcPr>
          <w:p w14:paraId="6AEBBCEC">
            <w:pPr>
              <w:widowControl/>
              <w:adjustRightInd w:val="0"/>
              <w:snapToGrid w:val="0"/>
              <w:textAlignment w:val="center"/>
              <w:rPr>
                <w:rFonts w:ascii="Times New Roman" w:hAnsi="Times New Roman" w:cs="Times New Roman"/>
                <w:sz w:val="15"/>
                <w:szCs w:val="15"/>
              </w:rPr>
            </w:pPr>
            <w:r>
              <w:rPr>
                <w:rFonts w:ascii="Times New Roman" w:hAnsi="Times New Roman" w:cs="Times New Roman"/>
                <w:kern w:val="0"/>
                <w:sz w:val="15"/>
                <w:szCs w:val="15"/>
                <w:lang w:bidi="ar"/>
              </w:rPr>
              <w:t>蔷薇、</w:t>
            </w:r>
            <w:r>
              <w:rPr>
                <w:rFonts w:hint="eastAsia" w:ascii="Times New Roman" w:hAnsi="Times New Roman" w:cs="Times New Roman"/>
                <w:kern w:val="0"/>
                <w:sz w:val="15"/>
                <w:szCs w:val="15"/>
                <w:lang w:bidi="ar"/>
              </w:rPr>
              <w:t>忍冬</w:t>
            </w:r>
            <w:r>
              <w:rPr>
                <w:rFonts w:ascii="Times New Roman" w:hAnsi="Times New Roman" w:cs="Times New Roman"/>
                <w:kern w:val="0"/>
                <w:sz w:val="15"/>
                <w:szCs w:val="15"/>
                <w:lang w:bidi="ar"/>
              </w:rPr>
              <w:t>、葡萄、紫藤、凌霄、铁线莲、鸡血藤、常青藤、常春油麻藤、爬山虎、五叶地锦、葛藤、迎春</w:t>
            </w:r>
          </w:p>
        </w:tc>
      </w:tr>
      <w:tr w14:paraId="67A5C4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29" w:type="dxa"/>
            <w:vMerge w:val="continue"/>
            <w:tcBorders>
              <w:tl2br w:val="nil"/>
              <w:tr2bl w:val="nil"/>
            </w:tcBorders>
            <w:vAlign w:val="center"/>
          </w:tcPr>
          <w:p w14:paraId="29AD1A55">
            <w:pPr>
              <w:widowControl/>
              <w:adjustRightInd w:val="0"/>
              <w:snapToGrid w:val="0"/>
              <w:jc w:val="center"/>
              <w:rPr>
                <w:rFonts w:ascii="Times New Roman" w:hAnsi="Times New Roman" w:cs="Times New Roman"/>
                <w:sz w:val="15"/>
                <w:szCs w:val="15"/>
              </w:rPr>
            </w:pPr>
          </w:p>
        </w:tc>
        <w:tc>
          <w:tcPr>
            <w:tcW w:w="967" w:type="dxa"/>
            <w:tcBorders>
              <w:tl2br w:val="nil"/>
              <w:tr2bl w:val="nil"/>
            </w:tcBorders>
            <w:vAlign w:val="center"/>
          </w:tcPr>
          <w:p w14:paraId="7A793C03">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kern w:val="0"/>
                <w:sz w:val="15"/>
                <w:szCs w:val="15"/>
                <w:lang w:bidi="ar"/>
              </w:rPr>
              <w:t>地被与花卉</w:t>
            </w:r>
          </w:p>
        </w:tc>
        <w:tc>
          <w:tcPr>
            <w:tcW w:w="6826" w:type="dxa"/>
            <w:tcBorders>
              <w:tl2br w:val="nil"/>
              <w:tr2bl w:val="nil"/>
            </w:tcBorders>
            <w:vAlign w:val="center"/>
          </w:tcPr>
          <w:p w14:paraId="11F8D369">
            <w:pPr>
              <w:widowControl/>
              <w:adjustRightInd w:val="0"/>
              <w:snapToGrid w:val="0"/>
              <w:textAlignment w:val="center"/>
              <w:rPr>
                <w:rFonts w:ascii="Times New Roman" w:hAnsi="Times New Roman" w:cs="Times New Roman"/>
                <w:sz w:val="15"/>
                <w:szCs w:val="15"/>
              </w:rPr>
            </w:pPr>
            <w:r>
              <w:rPr>
                <w:rFonts w:ascii="Times New Roman" w:hAnsi="Times New Roman" w:cs="Times New Roman"/>
                <w:kern w:val="0"/>
                <w:sz w:val="15"/>
                <w:szCs w:val="15"/>
                <w:lang w:bidi="ar"/>
              </w:rPr>
              <w:t>雏菊、木春菊、万寿菊、金盏菊、孔雀草、鸡冠花、天竺葵、一串红、矮牵牛、羽衣甘蓝、天人菊、福禄考、细叶美女樱、八宝景天、金鸡菊、黑心菊、大滨菊、黄金菊、石蒜、常夏石竹、美人蕉、葱兰、风信子、绣线菊、玉簪、花叶络石、紫娇花、铁线蕨</w:t>
            </w:r>
          </w:p>
        </w:tc>
      </w:tr>
      <w:tr w14:paraId="36CA94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29" w:type="dxa"/>
            <w:vMerge w:val="continue"/>
            <w:tcBorders>
              <w:tl2br w:val="nil"/>
              <w:tr2bl w:val="nil"/>
            </w:tcBorders>
            <w:vAlign w:val="center"/>
          </w:tcPr>
          <w:p w14:paraId="635FE3BE">
            <w:pPr>
              <w:widowControl/>
              <w:adjustRightInd w:val="0"/>
              <w:snapToGrid w:val="0"/>
              <w:jc w:val="center"/>
              <w:rPr>
                <w:rFonts w:ascii="Times New Roman" w:hAnsi="Times New Roman" w:cs="Times New Roman"/>
                <w:sz w:val="15"/>
                <w:szCs w:val="15"/>
              </w:rPr>
            </w:pPr>
          </w:p>
        </w:tc>
        <w:tc>
          <w:tcPr>
            <w:tcW w:w="967" w:type="dxa"/>
            <w:tcBorders>
              <w:tl2br w:val="nil"/>
              <w:tr2bl w:val="nil"/>
            </w:tcBorders>
            <w:vAlign w:val="center"/>
          </w:tcPr>
          <w:p w14:paraId="5E15D1EF">
            <w:pPr>
              <w:widowControl/>
              <w:adjustRightInd w:val="0"/>
              <w:snapToGrid w:val="0"/>
              <w:jc w:val="center"/>
              <w:textAlignment w:val="center"/>
              <w:rPr>
                <w:rFonts w:ascii="Times New Roman" w:hAnsi="Times New Roman" w:cs="Times New Roman"/>
                <w:sz w:val="15"/>
                <w:szCs w:val="15"/>
              </w:rPr>
            </w:pPr>
            <w:r>
              <w:rPr>
                <w:rFonts w:ascii="Times New Roman" w:hAnsi="Times New Roman" w:cs="Times New Roman"/>
                <w:snapToGrid w:val="0"/>
                <w:kern w:val="0"/>
                <w:sz w:val="15"/>
                <w:szCs w:val="15"/>
                <w:lang w:bidi="ar"/>
              </w:rPr>
              <w:t>草</w:t>
            </w:r>
          </w:p>
        </w:tc>
        <w:tc>
          <w:tcPr>
            <w:tcW w:w="6826" w:type="dxa"/>
            <w:tcBorders>
              <w:tl2br w:val="nil"/>
              <w:tr2bl w:val="nil"/>
            </w:tcBorders>
            <w:vAlign w:val="center"/>
          </w:tcPr>
          <w:p w14:paraId="536C7F52">
            <w:pPr>
              <w:widowControl/>
              <w:adjustRightInd w:val="0"/>
              <w:snapToGrid w:val="0"/>
              <w:textAlignment w:val="center"/>
              <w:rPr>
                <w:rFonts w:ascii="Times New Roman" w:hAnsi="Times New Roman" w:cs="Times New Roman"/>
                <w:sz w:val="15"/>
                <w:szCs w:val="15"/>
              </w:rPr>
            </w:pPr>
            <w:r>
              <w:rPr>
                <w:rFonts w:ascii="Times New Roman" w:hAnsi="Times New Roman" w:cs="Times New Roman"/>
                <w:kern w:val="0"/>
                <w:sz w:val="15"/>
                <w:szCs w:val="15"/>
                <w:lang w:bidi="ar"/>
              </w:rPr>
              <w:t>萱草、墨西哥鼠尾草、柳叶马鞭草、吉祥草、小兔子狼尾草、佛甲草、紫鸭拓草、马蹄金、马尼拉、夏威夷草</w:t>
            </w:r>
          </w:p>
        </w:tc>
      </w:tr>
    </w:tbl>
    <w:p w14:paraId="05E8B9AB">
      <w:pPr>
        <w:rPr>
          <w:rFonts w:ascii="Times New Roman" w:hAnsi="Times New Roman" w:cs="Times New Roman"/>
          <w:b/>
          <w:sz w:val="24"/>
          <w:szCs w:val="24"/>
        </w:rPr>
      </w:pPr>
      <w:r>
        <w:rPr>
          <w:rFonts w:ascii="Times New Roman" w:hAnsi="Times New Roman" w:cs="Times New Roman"/>
          <w:b/>
          <w:sz w:val="24"/>
          <w:szCs w:val="24"/>
        </w:rPr>
        <w:br w:type="page"/>
      </w:r>
    </w:p>
    <w:p w14:paraId="3D034770">
      <w:pPr>
        <w:autoSpaceDE w:val="0"/>
        <w:autoSpaceDN w:val="0"/>
        <w:adjustRightInd w:val="0"/>
        <w:spacing w:line="360" w:lineRule="auto"/>
        <w:jc w:val="left"/>
        <w:rPr>
          <w:rFonts w:ascii="Times New Roman" w:hAnsi="Times New Roman" w:eastAsia="黑体" w:cs="Times New Roman"/>
          <w:sz w:val="21"/>
        </w:rPr>
      </w:pPr>
      <w:r>
        <w:rPr>
          <w:rFonts w:hint="eastAsia" w:ascii="Times New Roman" w:hAnsi="Times New Roman" w:cs="Times New Roman"/>
          <w:sz w:val="21"/>
        </w:rPr>
        <w:t>C</w:t>
      </w:r>
      <w:r>
        <w:rPr>
          <w:rFonts w:ascii="Times New Roman" w:hAnsi="Times New Roman" w:cs="Times New Roman"/>
          <w:sz w:val="21"/>
        </w:rPr>
        <w:t>.0.2  植被恢复工程主要树（草）种可按表C.0.2选择。</w:t>
      </w:r>
    </w:p>
    <w:p w14:paraId="01D57095">
      <w:pPr>
        <w:keepNext/>
        <w:keepLines/>
        <w:spacing w:before="260" w:after="260"/>
        <w:jc w:val="center"/>
        <w:outlineLvl w:val="2"/>
        <w:rPr>
          <w:rFonts w:ascii="Times New Roman" w:hAnsi="Times New Roman" w:eastAsia="黑体" w:cs="Times New Roman"/>
          <w:bCs/>
          <w:sz w:val="24"/>
          <w:szCs w:val="24"/>
        </w:rPr>
      </w:pPr>
      <w:r>
        <w:rPr>
          <w:rFonts w:ascii="Times New Roman" w:hAnsi="Times New Roman" w:eastAsia="黑体" w:cs="Times New Roman"/>
          <w:bCs/>
          <w:sz w:val="24"/>
          <w:szCs w:val="24"/>
        </w:rPr>
        <w:t>表C.0.2  植被恢复工程主要树（草）种表</w:t>
      </w:r>
    </w:p>
    <w:tbl>
      <w:tblPr>
        <w:tblStyle w:val="1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1876"/>
        <w:gridCol w:w="1877"/>
        <w:gridCol w:w="1877"/>
        <w:gridCol w:w="1877"/>
      </w:tblGrid>
      <w:tr w14:paraId="2AD273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015" w:type="dxa"/>
            <w:vAlign w:val="center"/>
          </w:tcPr>
          <w:p w14:paraId="4324595A">
            <w:pPr>
              <w:snapToGrid w:val="0"/>
              <w:spacing w:line="200" w:lineRule="exact"/>
              <w:jc w:val="center"/>
              <w:rPr>
                <w:rFonts w:ascii="Times New Roman" w:hAnsi="Times New Roman" w:cs="Times New Roman"/>
                <w:sz w:val="15"/>
                <w:szCs w:val="15"/>
              </w:rPr>
            </w:pPr>
            <w:bookmarkStart w:id="630" w:name="_Toc263599699"/>
            <w:r>
              <w:rPr>
                <w:rFonts w:ascii="Times New Roman" w:hAnsi="Times New Roman" w:cs="Times New Roman"/>
                <w:sz w:val="15"/>
                <w:szCs w:val="15"/>
              </w:rPr>
              <w:t>区域或</w:t>
            </w:r>
            <w:bookmarkEnd w:id="630"/>
          </w:p>
          <w:p w14:paraId="50E4FFFC">
            <w:pPr>
              <w:snapToGrid w:val="0"/>
              <w:spacing w:line="200" w:lineRule="exact"/>
              <w:jc w:val="center"/>
              <w:rPr>
                <w:rFonts w:ascii="Times New Roman" w:hAnsi="Times New Roman" w:cs="Times New Roman"/>
                <w:sz w:val="15"/>
                <w:szCs w:val="15"/>
              </w:rPr>
            </w:pPr>
            <w:bookmarkStart w:id="631" w:name="_Toc263599700"/>
            <w:r>
              <w:rPr>
                <w:rFonts w:ascii="Times New Roman" w:hAnsi="Times New Roman" w:cs="Times New Roman"/>
                <w:sz w:val="15"/>
                <w:szCs w:val="15"/>
              </w:rPr>
              <w:t>植被类型区</w:t>
            </w:r>
            <w:bookmarkEnd w:id="631"/>
          </w:p>
        </w:tc>
        <w:tc>
          <w:tcPr>
            <w:tcW w:w="1876" w:type="dxa"/>
            <w:vAlign w:val="center"/>
          </w:tcPr>
          <w:p w14:paraId="566463F8">
            <w:pPr>
              <w:snapToGrid w:val="0"/>
              <w:spacing w:line="200" w:lineRule="exact"/>
              <w:jc w:val="center"/>
              <w:rPr>
                <w:rFonts w:ascii="Times New Roman" w:hAnsi="Times New Roman" w:cs="Times New Roman"/>
                <w:sz w:val="15"/>
                <w:szCs w:val="15"/>
              </w:rPr>
            </w:pPr>
            <w:bookmarkStart w:id="632" w:name="_Toc263599701"/>
            <w:r>
              <w:rPr>
                <w:rFonts w:ascii="Times New Roman" w:hAnsi="Times New Roman" w:cs="Times New Roman"/>
                <w:sz w:val="15"/>
                <w:szCs w:val="15"/>
              </w:rPr>
              <w:t>耐旱</w:t>
            </w:r>
            <w:bookmarkEnd w:id="632"/>
          </w:p>
        </w:tc>
        <w:tc>
          <w:tcPr>
            <w:tcW w:w="1877" w:type="dxa"/>
            <w:vAlign w:val="center"/>
          </w:tcPr>
          <w:p w14:paraId="68B3220A">
            <w:pPr>
              <w:snapToGrid w:val="0"/>
              <w:spacing w:line="200" w:lineRule="exact"/>
              <w:jc w:val="center"/>
              <w:rPr>
                <w:rFonts w:ascii="Times New Roman" w:hAnsi="Times New Roman" w:cs="Times New Roman"/>
                <w:sz w:val="15"/>
                <w:szCs w:val="15"/>
              </w:rPr>
            </w:pPr>
            <w:bookmarkStart w:id="633" w:name="_Toc263599702"/>
            <w:r>
              <w:rPr>
                <w:rFonts w:ascii="Times New Roman" w:hAnsi="Times New Roman" w:cs="Times New Roman"/>
                <w:sz w:val="15"/>
                <w:szCs w:val="15"/>
              </w:rPr>
              <w:t>耐水湿</w:t>
            </w:r>
            <w:bookmarkEnd w:id="633"/>
          </w:p>
        </w:tc>
        <w:tc>
          <w:tcPr>
            <w:tcW w:w="1877" w:type="dxa"/>
            <w:vAlign w:val="center"/>
          </w:tcPr>
          <w:p w14:paraId="5CD455F4">
            <w:pPr>
              <w:snapToGrid w:val="0"/>
              <w:spacing w:line="200" w:lineRule="exact"/>
              <w:jc w:val="center"/>
              <w:rPr>
                <w:rFonts w:ascii="Times New Roman" w:hAnsi="Times New Roman" w:cs="Times New Roman"/>
                <w:sz w:val="15"/>
                <w:szCs w:val="15"/>
              </w:rPr>
            </w:pPr>
            <w:bookmarkStart w:id="634" w:name="_Toc263599703"/>
            <w:r>
              <w:rPr>
                <w:rFonts w:ascii="Times New Roman" w:hAnsi="Times New Roman" w:cs="Times New Roman"/>
                <w:sz w:val="15"/>
                <w:szCs w:val="15"/>
              </w:rPr>
              <w:t>耐盐碱</w:t>
            </w:r>
            <w:bookmarkEnd w:id="634"/>
          </w:p>
        </w:tc>
        <w:tc>
          <w:tcPr>
            <w:tcW w:w="1877" w:type="dxa"/>
            <w:vAlign w:val="center"/>
          </w:tcPr>
          <w:p w14:paraId="12552141">
            <w:pPr>
              <w:snapToGrid w:val="0"/>
              <w:spacing w:line="200" w:lineRule="exact"/>
              <w:jc w:val="center"/>
              <w:rPr>
                <w:rFonts w:ascii="Times New Roman" w:hAnsi="Times New Roman" w:cs="Times New Roman"/>
                <w:sz w:val="15"/>
                <w:szCs w:val="15"/>
              </w:rPr>
            </w:pPr>
            <w:bookmarkStart w:id="635" w:name="_Toc263599704"/>
            <w:r>
              <w:rPr>
                <w:rFonts w:ascii="Times New Roman" w:hAnsi="Times New Roman" w:cs="Times New Roman"/>
                <w:sz w:val="15"/>
                <w:szCs w:val="15"/>
              </w:rPr>
              <w:t>沙化（北方及沿海）</w:t>
            </w:r>
            <w:bookmarkEnd w:id="635"/>
          </w:p>
          <w:p w14:paraId="7B616547">
            <w:pPr>
              <w:snapToGrid w:val="0"/>
              <w:spacing w:line="200" w:lineRule="exact"/>
              <w:jc w:val="center"/>
              <w:rPr>
                <w:rFonts w:ascii="Times New Roman" w:hAnsi="Times New Roman" w:cs="Times New Roman"/>
                <w:sz w:val="15"/>
                <w:szCs w:val="15"/>
              </w:rPr>
            </w:pPr>
            <w:bookmarkStart w:id="636" w:name="_Toc263599705"/>
            <w:r>
              <w:rPr>
                <w:rFonts w:ascii="Times New Roman" w:hAnsi="Times New Roman" w:cs="Times New Roman"/>
                <w:sz w:val="15"/>
                <w:szCs w:val="15"/>
              </w:rPr>
              <w:t>石漠化（西南）</w:t>
            </w:r>
            <w:bookmarkEnd w:id="636"/>
          </w:p>
        </w:tc>
      </w:tr>
      <w:tr w14:paraId="0C69A0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015" w:type="dxa"/>
            <w:vAlign w:val="center"/>
          </w:tcPr>
          <w:p w14:paraId="7EF28D69">
            <w:pPr>
              <w:snapToGrid w:val="0"/>
              <w:spacing w:line="200" w:lineRule="exact"/>
              <w:jc w:val="center"/>
              <w:rPr>
                <w:rFonts w:ascii="Times New Roman" w:hAnsi="Times New Roman" w:cs="Times New Roman"/>
                <w:sz w:val="15"/>
                <w:szCs w:val="15"/>
              </w:rPr>
            </w:pPr>
            <w:bookmarkStart w:id="637" w:name="_Toc263599706"/>
            <w:r>
              <w:rPr>
                <w:rFonts w:ascii="Times New Roman" w:hAnsi="Times New Roman" w:cs="Times New Roman"/>
                <w:sz w:val="15"/>
                <w:szCs w:val="15"/>
              </w:rPr>
              <w:t>东北</w:t>
            </w:r>
            <w:bookmarkEnd w:id="637"/>
          </w:p>
        </w:tc>
        <w:tc>
          <w:tcPr>
            <w:tcW w:w="1876" w:type="dxa"/>
          </w:tcPr>
          <w:p w14:paraId="01CC53A0">
            <w:pPr>
              <w:snapToGrid w:val="0"/>
              <w:spacing w:line="200" w:lineRule="exact"/>
              <w:rPr>
                <w:rFonts w:ascii="Times New Roman" w:hAnsi="Times New Roman" w:cs="Times New Roman"/>
                <w:sz w:val="15"/>
                <w:szCs w:val="15"/>
                <w:vertAlign w:val="superscript"/>
              </w:rPr>
            </w:pPr>
            <w:bookmarkStart w:id="638" w:name="_Toc263599707"/>
            <w:r>
              <w:rPr>
                <w:rFonts w:ascii="Times New Roman" w:hAnsi="Times New Roman" w:cs="Times New Roman"/>
                <w:sz w:val="15"/>
                <w:szCs w:val="15"/>
              </w:rPr>
              <w:t>辽东桤木、蒙古栎、黑桦、白榆、山杨；</w:t>
            </w:r>
            <w:r>
              <w:rPr>
                <w:rFonts w:ascii="Times New Roman" w:hAnsi="Times New Roman" w:cs="Times New Roman"/>
                <w:bCs/>
                <w:spacing w:val="4"/>
                <w:sz w:val="15"/>
                <w:szCs w:val="15"/>
              </w:rPr>
              <w:t>胡枝子、</w:t>
            </w:r>
            <w:r>
              <w:rPr>
                <w:rFonts w:ascii="Times New Roman" w:hAnsi="Times New Roman" w:cs="Times New Roman"/>
                <w:sz w:val="15"/>
                <w:szCs w:val="15"/>
              </w:rPr>
              <w:t>山杏、文冠果、锦鸡儿、枸杞；狗牙根、紫花苜蓿、爬山虎</w:t>
            </w:r>
            <w:r>
              <w:rPr>
                <w:rFonts w:ascii="Times New Roman" w:hAnsi="Times New Roman" w:cs="Times New Roman"/>
                <w:sz w:val="15"/>
                <w:szCs w:val="15"/>
                <w:vertAlign w:val="superscript"/>
              </w:rPr>
              <w:t>a</w:t>
            </w:r>
            <w:bookmarkEnd w:id="638"/>
          </w:p>
        </w:tc>
        <w:tc>
          <w:tcPr>
            <w:tcW w:w="1877" w:type="dxa"/>
          </w:tcPr>
          <w:p w14:paraId="54897A60">
            <w:pPr>
              <w:snapToGrid w:val="0"/>
              <w:spacing w:line="200" w:lineRule="exact"/>
              <w:rPr>
                <w:rFonts w:ascii="Times New Roman" w:hAnsi="Times New Roman" w:cs="Times New Roman"/>
                <w:sz w:val="15"/>
                <w:szCs w:val="15"/>
              </w:rPr>
            </w:pPr>
            <w:bookmarkStart w:id="639" w:name="_Toc263599708"/>
            <w:r>
              <w:rPr>
                <w:rFonts w:ascii="Times New Roman" w:hAnsi="Times New Roman" w:cs="Times New Roman"/>
                <w:sz w:val="15"/>
                <w:szCs w:val="15"/>
              </w:rPr>
              <w:t>兴安落叶松、偃松、红皮云杉、柳、白桦、</w:t>
            </w:r>
            <w:r>
              <w:rPr>
                <w:rFonts w:ascii="Times New Roman" w:hAnsi="Times New Roman" w:cs="Times New Roman"/>
                <w:bCs/>
                <w:spacing w:val="4"/>
                <w:sz w:val="15"/>
                <w:szCs w:val="15"/>
              </w:rPr>
              <w:t>榆树</w:t>
            </w:r>
            <w:bookmarkEnd w:id="639"/>
          </w:p>
        </w:tc>
        <w:tc>
          <w:tcPr>
            <w:tcW w:w="1877" w:type="dxa"/>
          </w:tcPr>
          <w:p w14:paraId="33D43CEC">
            <w:pPr>
              <w:snapToGrid w:val="0"/>
              <w:spacing w:line="200" w:lineRule="exact"/>
              <w:rPr>
                <w:rFonts w:ascii="Times New Roman" w:hAnsi="Times New Roman" w:cs="Times New Roman"/>
                <w:sz w:val="15"/>
                <w:szCs w:val="15"/>
              </w:rPr>
            </w:pPr>
            <w:bookmarkStart w:id="640" w:name="_Toc263599709"/>
            <w:r>
              <w:rPr>
                <w:rFonts w:ascii="Times New Roman" w:hAnsi="Times New Roman" w:cs="Times New Roman"/>
                <w:sz w:val="15"/>
                <w:szCs w:val="15"/>
              </w:rPr>
              <w:t>青杨、樟子松、榆树、红皮云杉、红瑞木、火炬树、丁香、旱柳；紫穗槐、枸杞；芨芨草、羊草、冰草、沙打旺、紫花苜蓿、碱茅、鹅冠草、野豌豆</w:t>
            </w:r>
            <w:bookmarkEnd w:id="640"/>
          </w:p>
        </w:tc>
        <w:tc>
          <w:tcPr>
            <w:tcW w:w="1877" w:type="dxa"/>
          </w:tcPr>
          <w:p w14:paraId="29C37465">
            <w:pPr>
              <w:snapToGrid w:val="0"/>
              <w:spacing w:line="200" w:lineRule="exact"/>
              <w:rPr>
                <w:rFonts w:ascii="Times New Roman" w:hAnsi="Times New Roman" w:cs="Times New Roman"/>
                <w:sz w:val="15"/>
                <w:szCs w:val="15"/>
              </w:rPr>
            </w:pPr>
            <w:bookmarkStart w:id="641" w:name="_Toc263599710"/>
            <w:r>
              <w:rPr>
                <w:rFonts w:ascii="Times New Roman" w:hAnsi="Times New Roman" w:cs="Times New Roman"/>
                <w:sz w:val="15"/>
                <w:szCs w:val="15"/>
              </w:rPr>
              <w:t>樟子松、大叶速生槐、花棒、杨柴、柠条锦鸡儿、小叶锦鸡儿；沙打旺、草木犀、芨芨草</w:t>
            </w:r>
            <w:bookmarkEnd w:id="641"/>
          </w:p>
        </w:tc>
      </w:tr>
      <w:tr w14:paraId="636C5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15" w:type="dxa"/>
            <w:vAlign w:val="center"/>
          </w:tcPr>
          <w:p w14:paraId="41856423">
            <w:pPr>
              <w:snapToGrid w:val="0"/>
              <w:spacing w:line="200" w:lineRule="exact"/>
              <w:jc w:val="center"/>
              <w:rPr>
                <w:rFonts w:ascii="Times New Roman" w:hAnsi="Times New Roman" w:cs="Times New Roman"/>
                <w:sz w:val="15"/>
                <w:szCs w:val="15"/>
              </w:rPr>
            </w:pPr>
            <w:bookmarkStart w:id="642" w:name="_Toc263599711"/>
            <w:r>
              <w:rPr>
                <w:rFonts w:ascii="Times New Roman" w:hAnsi="Times New Roman" w:cs="Times New Roman"/>
                <w:sz w:val="15"/>
                <w:szCs w:val="15"/>
              </w:rPr>
              <w:t>三北</w:t>
            </w:r>
            <w:bookmarkEnd w:id="642"/>
          </w:p>
        </w:tc>
        <w:tc>
          <w:tcPr>
            <w:tcW w:w="1876" w:type="dxa"/>
          </w:tcPr>
          <w:p w14:paraId="7CC89229">
            <w:pPr>
              <w:snapToGrid w:val="0"/>
              <w:spacing w:line="200" w:lineRule="exact"/>
              <w:rPr>
                <w:rFonts w:ascii="Times New Roman" w:hAnsi="Times New Roman" w:cs="Times New Roman"/>
                <w:sz w:val="15"/>
                <w:szCs w:val="15"/>
              </w:rPr>
            </w:pPr>
            <w:bookmarkStart w:id="643" w:name="_Toc263599712"/>
            <w:r>
              <w:rPr>
                <w:rFonts w:ascii="Times New Roman" w:hAnsi="Times New Roman" w:cs="Times New Roman"/>
                <w:sz w:val="15"/>
                <w:szCs w:val="15"/>
              </w:rPr>
              <w:t>侧柏、枸杞、柠条、沙棘、梭梭、柽柳、胡杨、花棒、杨柴、胡枝子、沙柳、沙拐枣、黄柳、樟子松、文冠果、</w:t>
            </w:r>
            <w:r>
              <w:rPr>
                <w:rFonts w:ascii="Times New Roman" w:hAnsi="Times New Roman" w:cs="Times New Roman"/>
                <w:bCs/>
                <w:spacing w:val="4"/>
                <w:sz w:val="15"/>
                <w:szCs w:val="15"/>
              </w:rPr>
              <w:t>沙蒿</w:t>
            </w:r>
            <w:r>
              <w:rPr>
                <w:rFonts w:ascii="Times New Roman" w:hAnsi="Times New Roman" w:cs="Times New Roman"/>
                <w:sz w:val="15"/>
                <w:szCs w:val="15"/>
              </w:rPr>
              <w:t>；高羊茅、野牛草、</w:t>
            </w:r>
            <w:r>
              <w:rPr>
                <w:rFonts w:ascii="Times New Roman" w:hAnsi="Times New Roman" w:cs="Times New Roman"/>
                <w:spacing w:val="6"/>
                <w:sz w:val="15"/>
                <w:szCs w:val="15"/>
              </w:rPr>
              <w:t>紫苜蓿</w:t>
            </w:r>
            <w:r>
              <w:rPr>
                <w:rFonts w:ascii="Times New Roman" w:hAnsi="Times New Roman" w:cs="Times New Roman"/>
                <w:bCs/>
                <w:spacing w:val="4"/>
                <w:sz w:val="15"/>
                <w:szCs w:val="15"/>
              </w:rPr>
              <w:t>、黄花菜、沙米</w:t>
            </w:r>
            <w:r>
              <w:rPr>
                <w:rFonts w:ascii="Times New Roman" w:hAnsi="Times New Roman" w:cs="Times New Roman"/>
                <w:i/>
                <w:spacing w:val="6"/>
                <w:sz w:val="15"/>
                <w:szCs w:val="15"/>
              </w:rPr>
              <w:t>、</w:t>
            </w:r>
            <w:r>
              <w:rPr>
                <w:rFonts w:ascii="Times New Roman" w:hAnsi="Times New Roman" w:cs="Times New Roman"/>
                <w:sz w:val="15"/>
                <w:szCs w:val="15"/>
              </w:rPr>
              <w:t>爬山虎</w:t>
            </w:r>
            <w:r>
              <w:rPr>
                <w:rFonts w:ascii="Times New Roman" w:hAnsi="Times New Roman" w:cs="Times New Roman"/>
                <w:sz w:val="15"/>
                <w:szCs w:val="15"/>
                <w:vertAlign w:val="superscript"/>
              </w:rPr>
              <w:t>a</w:t>
            </w:r>
            <w:bookmarkEnd w:id="643"/>
          </w:p>
        </w:tc>
        <w:tc>
          <w:tcPr>
            <w:tcW w:w="1877" w:type="dxa"/>
          </w:tcPr>
          <w:p w14:paraId="30CD7590">
            <w:pPr>
              <w:snapToGrid w:val="0"/>
              <w:spacing w:line="200" w:lineRule="exact"/>
              <w:rPr>
                <w:rFonts w:ascii="Times New Roman" w:hAnsi="Times New Roman" w:cs="Times New Roman"/>
                <w:sz w:val="15"/>
                <w:szCs w:val="15"/>
              </w:rPr>
            </w:pPr>
            <w:bookmarkStart w:id="644" w:name="_Toc263599713"/>
            <w:r>
              <w:rPr>
                <w:rFonts w:ascii="Times New Roman" w:hAnsi="Times New Roman" w:cs="Times New Roman"/>
                <w:sz w:val="15"/>
                <w:szCs w:val="15"/>
              </w:rPr>
              <w:t>柳树、柽柳、沙棘、胡杨、旱柳</w:t>
            </w:r>
            <w:bookmarkEnd w:id="644"/>
          </w:p>
        </w:tc>
        <w:tc>
          <w:tcPr>
            <w:tcW w:w="1877" w:type="dxa"/>
          </w:tcPr>
          <w:p w14:paraId="1DA2C332">
            <w:pPr>
              <w:snapToGrid w:val="0"/>
              <w:spacing w:line="200" w:lineRule="exact"/>
              <w:rPr>
                <w:rFonts w:ascii="Times New Roman" w:hAnsi="Times New Roman" w:cs="Times New Roman"/>
                <w:sz w:val="15"/>
                <w:szCs w:val="15"/>
              </w:rPr>
            </w:pPr>
            <w:bookmarkStart w:id="645" w:name="_Toc263599714"/>
            <w:r>
              <w:rPr>
                <w:rFonts w:ascii="Times New Roman" w:hAnsi="Times New Roman" w:cs="Times New Roman"/>
                <w:sz w:val="15"/>
                <w:szCs w:val="15"/>
              </w:rPr>
              <w:t>柽柳、旱柳、沙拐枣、胡杨、梭梭、柠条、紫穗槐、枸杞、白刺、沙枣、盐爪爪、四翅滨藜；芨芨草、盐蒿、</w:t>
            </w:r>
            <w:r>
              <w:rPr>
                <w:rFonts w:ascii="Times New Roman" w:hAnsi="Times New Roman" w:cs="Times New Roman"/>
                <w:bCs/>
                <w:spacing w:val="4"/>
                <w:sz w:val="15"/>
                <w:szCs w:val="15"/>
              </w:rPr>
              <w:t>芦苇、碱茅</w:t>
            </w:r>
            <w:bookmarkEnd w:id="645"/>
          </w:p>
        </w:tc>
        <w:tc>
          <w:tcPr>
            <w:tcW w:w="1877" w:type="dxa"/>
          </w:tcPr>
          <w:p w14:paraId="1AE6836F">
            <w:pPr>
              <w:snapToGrid w:val="0"/>
              <w:spacing w:line="200" w:lineRule="exact"/>
              <w:rPr>
                <w:rFonts w:ascii="Times New Roman" w:hAnsi="Times New Roman" w:cs="Times New Roman"/>
                <w:sz w:val="15"/>
                <w:szCs w:val="15"/>
              </w:rPr>
            </w:pPr>
            <w:bookmarkStart w:id="646" w:name="_Toc263599715"/>
            <w:r>
              <w:rPr>
                <w:rFonts w:ascii="Times New Roman" w:hAnsi="Times New Roman" w:cs="Times New Roman"/>
                <w:sz w:val="15"/>
                <w:szCs w:val="15"/>
              </w:rPr>
              <w:t>樟子松、柠条、沙棘、沙木蓼、花棒、</w:t>
            </w:r>
            <w:r>
              <w:rPr>
                <w:rFonts w:ascii="Times New Roman" w:hAnsi="Times New Roman" w:cs="Times New Roman"/>
                <w:bCs/>
                <w:spacing w:val="4"/>
                <w:sz w:val="15"/>
                <w:szCs w:val="15"/>
              </w:rPr>
              <w:t>踏郎</w:t>
            </w:r>
            <w:r>
              <w:rPr>
                <w:rFonts w:ascii="Times New Roman" w:hAnsi="Times New Roman" w:cs="Times New Roman"/>
                <w:sz w:val="15"/>
                <w:szCs w:val="15"/>
              </w:rPr>
              <w:t>、梭梭霸王；沙打旺、草木犀、芨芨草</w:t>
            </w:r>
            <w:bookmarkEnd w:id="646"/>
          </w:p>
        </w:tc>
      </w:tr>
      <w:tr w14:paraId="29D44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015" w:type="dxa"/>
            <w:vAlign w:val="center"/>
          </w:tcPr>
          <w:p w14:paraId="2B0E27FC">
            <w:pPr>
              <w:snapToGrid w:val="0"/>
              <w:spacing w:line="200" w:lineRule="exact"/>
              <w:jc w:val="center"/>
              <w:rPr>
                <w:rFonts w:ascii="Times New Roman" w:hAnsi="Times New Roman" w:cs="Times New Roman"/>
                <w:sz w:val="15"/>
                <w:szCs w:val="15"/>
              </w:rPr>
            </w:pPr>
            <w:bookmarkStart w:id="647" w:name="_Toc263599716"/>
            <w:r>
              <w:rPr>
                <w:rFonts w:ascii="Times New Roman" w:hAnsi="Times New Roman" w:cs="Times New Roman"/>
                <w:sz w:val="15"/>
                <w:szCs w:val="15"/>
              </w:rPr>
              <w:t>黄河流域</w:t>
            </w:r>
            <w:bookmarkEnd w:id="647"/>
          </w:p>
        </w:tc>
        <w:tc>
          <w:tcPr>
            <w:tcW w:w="1876" w:type="dxa"/>
          </w:tcPr>
          <w:p w14:paraId="4EB0A75B">
            <w:pPr>
              <w:snapToGrid w:val="0"/>
              <w:spacing w:line="200" w:lineRule="exact"/>
              <w:rPr>
                <w:rFonts w:ascii="Times New Roman" w:hAnsi="Times New Roman" w:cs="Times New Roman"/>
                <w:sz w:val="15"/>
                <w:szCs w:val="15"/>
              </w:rPr>
            </w:pPr>
            <w:bookmarkStart w:id="648" w:name="_Toc263599717"/>
            <w:r>
              <w:rPr>
                <w:rFonts w:ascii="Times New Roman" w:hAnsi="Times New Roman" w:cs="Times New Roman"/>
                <w:sz w:val="15"/>
                <w:szCs w:val="15"/>
              </w:rPr>
              <w:t>侧柏、柠条、沙棘、旱柳、柽柳、爬山虎</w:t>
            </w:r>
            <w:r>
              <w:rPr>
                <w:rFonts w:ascii="Times New Roman" w:hAnsi="Times New Roman" w:cs="Times New Roman"/>
                <w:sz w:val="15"/>
                <w:szCs w:val="15"/>
                <w:vertAlign w:val="superscript"/>
              </w:rPr>
              <w:t>a</w:t>
            </w:r>
            <w:bookmarkEnd w:id="648"/>
          </w:p>
        </w:tc>
        <w:tc>
          <w:tcPr>
            <w:tcW w:w="1877" w:type="dxa"/>
          </w:tcPr>
          <w:p w14:paraId="5361FCBD">
            <w:pPr>
              <w:snapToGrid w:val="0"/>
              <w:spacing w:line="200" w:lineRule="exact"/>
              <w:rPr>
                <w:rFonts w:ascii="Times New Roman" w:hAnsi="Times New Roman" w:cs="Times New Roman"/>
                <w:sz w:val="15"/>
                <w:szCs w:val="15"/>
              </w:rPr>
            </w:pPr>
            <w:bookmarkStart w:id="649" w:name="_Toc263599718"/>
            <w:r>
              <w:rPr>
                <w:rFonts w:ascii="Times New Roman" w:hAnsi="Times New Roman" w:cs="Times New Roman"/>
                <w:sz w:val="15"/>
                <w:szCs w:val="15"/>
              </w:rPr>
              <w:t>柳树、柽柳、沙棘、旱柳、刺柏</w:t>
            </w:r>
            <w:bookmarkEnd w:id="649"/>
          </w:p>
        </w:tc>
        <w:tc>
          <w:tcPr>
            <w:tcW w:w="1877" w:type="dxa"/>
          </w:tcPr>
          <w:p w14:paraId="33CE6F70">
            <w:pPr>
              <w:snapToGrid w:val="0"/>
              <w:spacing w:line="200" w:lineRule="exact"/>
              <w:rPr>
                <w:rFonts w:ascii="Times New Roman" w:hAnsi="Times New Roman" w:cs="Times New Roman"/>
                <w:sz w:val="15"/>
                <w:szCs w:val="15"/>
              </w:rPr>
            </w:pPr>
            <w:bookmarkStart w:id="650" w:name="_Toc263599719"/>
            <w:r>
              <w:rPr>
                <w:rFonts w:ascii="Times New Roman" w:hAnsi="Times New Roman" w:cs="Times New Roman"/>
                <w:sz w:val="15"/>
                <w:szCs w:val="15"/>
              </w:rPr>
              <w:t>柽柳、四翅滨藜、柠条、、沙棘、沙枣、盐爪爪</w:t>
            </w:r>
            <w:bookmarkEnd w:id="650"/>
          </w:p>
        </w:tc>
        <w:tc>
          <w:tcPr>
            <w:tcW w:w="1877" w:type="dxa"/>
          </w:tcPr>
          <w:p w14:paraId="271F7809">
            <w:pPr>
              <w:snapToGrid w:val="0"/>
              <w:spacing w:line="200" w:lineRule="exact"/>
              <w:rPr>
                <w:rFonts w:ascii="Times New Roman" w:hAnsi="Times New Roman" w:cs="Times New Roman"/>
                <w:sz w:val="15"/>
                <w:szCs w:val="15"/>
              </w:rPr>
            </w:pPr>
            <w:bookmarkStart w:id="651" w:name="_Toc263599720"/>
            <w:r>
              <w:rPr>
                <w:rFonts w:ascii="Times New Roman" w:hAnsi="Times New Roman" w:cs="Times New Roman"/>
                <w:sz w:val="15"/>
                <w:szCs w:val="15"/>
              </w:rPr>
              <w:t>侧柏、刺槐、杨树、沙棘、柠条、柽柳、杞柳；沙打旺、草木犀</w:t>
            </w:r>
            <w:bookmarkEnd w:id="651"/>
          </w:p>
        </w:tc>
      </w:tr>
      <w:tr w14:paraId="65129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015" w:type="dxa"/>
            <w:vAlign w:val="center"/>
          </w:tcPr>
          <w:p w14:paraId="6DCB5048">
            <w:pPr>
              <w:snapToGrid w:val="0"/>
              <w:spacing w:line="200" w:lineRule="exact"/>
              <w:jc w:val="center"/>
              <w:rPr>
                <w:rFonts w:ascii="Times New Roman" w:hAnsi="Times New Roman" w:cs="Times New Roman"/>
                <w:sz w:val="15"/>
                <w:szCs w:val="15"/>
              </w:rPr>
            </w:pPr>
            <w:bookmarkStart w:id="652" w:name="_Toc263599721"/>
            <w:r>
              <w:rPr>
                <w:rFonts w:ascii="Times New Roman" w:hAnsi="Times New Roman" w:cs="Times New Roman"/>
                <w:sz w:val="15"/>
                <w:szCs w:val="15"/>
              </w:rPr>
              <w:t>北方</w:t>
            </w:r>
            <w:bookmarkEnd w:id="652"/>
          </w:p>
        </w:tc>
        <w:tc>
          <w:tcPr>
            <w:tcW w:w="1876" w:type="dxa"/>
          </w:tcPr>
          <w:p w14:paraId="16FA0CC6">
            <w:pPr>
              <w:snapToGrid w:val="0"/>
              <w:spacing w:line="200" w:lineRule="exact"/>
              <w:rPr>
                <w:rFonts w:ascii="Times New Roman" w:hAnsi="Times New Roman" w:cs="Times New Roman"/>
                <w:sz w:val="15"/>
                <w:szCs w:val="15"/>
              </w:rPr>
            </w:pPr>
            <w:bookmarkStart w:id="653" w:name="_Toc263599722"/>
            <w:r>
              <w:rPr>
                <w:rFonts w:ascii="Times New Roman" w:hAnsi="Times New Roman" w:cs="Times New Roman"/>
                <w:sz w:val="15"/>
                <w:szCs w:val="15"/>
              </w:rPr>
              <w:t>侧柏、油松、刺槐、青杨；伏地肤、沙棘、柠条、枸杞、爬山虎</w:t>
            </w:r>
            <w:r>
              <w:rPr>
                <w:rFonts w:ascii="Times New Roman" w:hAnsi="Times New Roman" w:cs="Times New Roman"/>
                <w:sz w:val="15"/>
                <w:szCs w:val="15"/>
                <w:vertAlign w:val="superscript"/>
              </w:rPr>
              <w:t>a</w:t>
            </w:r>
            <w:bookmarkEnd w:id="653"/>
          </w:p>
        </w:tc>
        <w:tc>
          <w:tcPr>
            <w:tcW w:w="1877" w:type="dxa"/>
          </w:tcPr>
          <w:p w14:paraId="473B6DC6">
            <w:pPr>
              <w:snapToGrid w:val="0"/>
              <w:spacing w:line="200" w:lineRule="exact"/>
              <w:rPr>
                <w:rFonts w:ascii="Times New Roman" w:hAnsi="Times New Roman" w:cs="Times New Roman"/>
                <w:sz w:val="15"/>
                <w:szCs w:val="15"/>
              </w:rPr>
            </w:pPr>
            <w:bookmarkStart w:id="654" w:name="_Toc263599723"/>
            <w:r>
              <w:rPr>
                <w:rFonts w:ascii="Times New Roman" w:hAnsi="Times New Roman" w:cs="Times New Roman"/>
                <w:sz w:val="15"/>
                <w:szCs w:val="15"/>
              </w:rPr>
              <w:t>柳树、柽柳、沙棘、旱柳、</w:t>
            </w:r>
            <w:r>
              <w:rPr>
                <w:rFonts w:hint="eastAsia" w:ascii="Times New Roman" w:hAnsi="Times New Roman" w:cs="Times New Roman"/>
                <w:sz w:val="15"/>
                <w:szCs w:val="15"/>
              </w:rPr>
              <w:t>杂交</w:t>
            </w:r>
            <w:r>
              <w:rPr>
                <w:rFonts w:ascii="Times New Roman" w:hAnsi="Times New Roman" w:cs="Times New Roman"/>
                <w:sz w:val="15"/>
                <w:szCs w:val="15"/>
              </w:rPr>
              <w:t>构树、杜梨、垂柳、钻天杨、红皮云杉</w:t>
            </w:r>
            <w:bookmarkEnd w:id="654"/>
          </w:p>
        </w:tc>
        <w:tc>
          <w:tcPr>
            <w:tcW w:w="1877" w:type="dxa"/>
          </w:tcPr>
          <w:p w14:paraId="4DE7BBD8">
            <w:pPr>
              <w:snapToGrid w:val="0"/>
              <w:spacing w:line="200" w:lineRule="exact"/>
              <w:rPr>
                <w:rFonts w:ascii="Times New Roman" w:hAnsi="Times New Roman" w:cs="Times New Roman"/>
                <w:sz w:val="15"/>
                <w:szCs w:val="15"/>
              </w:rPr>
            </w:pPr>
            <w:r>
              <w:rPr>
                <w:rFonts w:ascii="Times New Roman" w:hAnsi="Times New Roman" w:cs="Times New Roman"/>
                <w:sz w:val="15"/>
                <w:szCs w:val="15"/>
              </w:rPr>
              <w:t>柽柳、四翅滨藜、银水牛果；伏地肤、紫穗槐</w:t>
            </w:r>
          </w:p>
        </w:tc>
        <w:tc>
          <w:tcPr>
            <w:tcW w:w="1877" w:type="dxa"/>
          </w:tcPr>
          <w:p w14:paraId="28588DC8">
            <w:pPr>
              <w:snapToGrid w:val="0"/>
              <w:spacing w:line="200" w:lineRule="exact"/>
              <w:rPr>
                <w:rFonts w:ascii="Times New Roman" w:hAnsi="Times New Roman" w:cs="Times New Roman"/>
                <w:sz w:val="15"/>
                <w:szCs w:val="15"/>
              </w:rPr>
            </w:pPr>
            <w:r>
              <w:rPr>
                <w:rFonts w:ascii="Times New Roman" w:hAnsi="Times New Roman" w:cs="Times New Roman"/>
                <w:sz w:val="15"/>
                <w:szCs w:val="15"/>
              </w:rPr>
              <w:t>樟子松、旱柳、荆条、紫穗槐；草木犀</w:t>
            </w:r>
          </w:p>
        </w:tc>
      </w:tr>
      <w:tr w14:paraId="139A1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015" w:type="dxa"/>
            <w:vAlign w:val="center"/>
          </w:tcPr>
          <w:p w14:paraId="1C8D707B">
            <w:pPr>
              <w:snapToGrid w:val="0"/>
              <w:spacing w:line="200" w:lineRule="exact"/>
              <w:jc w:val="center"/>
              <w:rPr>
                <w:rFonts w:ascii="Times New Roman" w:hAnsi="Times New Roman" w:cs="Times New Roman"/>
                <w:sz w:val="15"/>
                <w:szCs w:val="15"/>
              </w:rPr>
            </w:pPr>
            <w:r>
              <w:rPr>
                <w:rFonts w:ascii="Times New Roman" w:hAnsi="Times New Roman" w:cs="Times New Roman"/>
                <w:sz w:val="15"/>
                <w:szCs w:val="15"/>
              </w:rPr>
              <w:t>长江流域</w:t>
            </w:r>
          </w:p>
        </w:tc>
        <w:tc>
          <w:tcPr>
            <w:tcW w:w="1876" w:type="dxa"/>
          </w:tcPr>
          <w:p w14:paraId="7062E14E">
            <w:pPr>
              <w:snapToGrid w:val="0"/>
              <w:spacing w:line="200" w:lineRule="exact"/>
              <w:rPr>
                <w:rFonts w:ascii="Times New Roman" w:hAnsi="Times New Roman" w:cs="Times New Roman"/>
                <w:sz w:val="15"/>
                <w:szCs w:val="15"/>
              </w:rPr>
            </w:pPr>
            <w:r>
              <w:rPr>
                <w:rFonts w:ascii="Times New Roman" w:hAnsi="Times New Roman" w:cs="Times New Roman"/>
                <w:sz w:val="15"/>
                <w:szCs w:val="15"/>
              </w:rPr>
              <w:t>侧柏、马尾松、野鸭椿、白皮松、木荷、沙地柏</w:t>
            </w:r>
          </w:p>
          <w:p w14:paraId="2ACCE4B9">
            <w:pPr>
              <w:snapToGrid w:val="0"/>
              <w:spacing w:line="200" w:lineRule="exact"/>
              <w:rPr>
                <w:rFonts w:ascii="Times New Roman" w:hAnsi="Times New Roman" w:cs="Times New Roman"/>
                <w:sz w:val="15"/>
                <w:szCs w:val="15"/>
              </w:rPr>
            </w:pPr>
            <w:r>
              <w:rPr>
                <w:rFonts w:ascii="Times New Roman" w:hAnsi="Times New Roman" w:cs="Times New Roman"/>
                <w:sz w:val="15"/>
                <w:szCs w:val="15"/>
              </w:rPr>
              <w:t>多变小冠花、金银花</w:t>
            </w:r>
            <w:r>
              <w:rPr>
                <w:rFonts w:ascii="Times New Roman" w:hAnsi="Times New Roman" w:cs="Times New Roman"/>
                <w:sz w:val="15"/>
                <w:szCs w:val="15"/>
                <w:vertAlign w:val="superscript"/>
              </w:rPr>
              <w:t>a</w:t>
            </w:r>
            <w:r>
              <w:rPr>
                <w:rFonts w:ascii="Times New Roman" w:hAnsi="Times New Roman" w:cs="Times New Roman"/>
                <w:i/>
                <w:sz w:val="15"/>
                <w:szCs w:val="15"/>
              </w:rPr>
              <w:t>、</w:t>
            </w:r>
            <w:r>
              <w:rPr>
                <w:rFonts w:ascii="Times New Roman" w:hAnsi="Times New Roman" w:cs="Times New Roman"/>
                <w:sz w:val="15"/>
                <w:szCs w:val="15"/>
              </w:rPr>
              <w:t>爬山虎</w:t>
            </w:r>
            <w:r>
              <w:rPr>
                <w:rFonts w:ascii="Times New Roman" w:hAnsi="Times New Roman" w:cs="Times New Roman"/>
                <w:sz w:val="15"/>
                <w:szCs w:val="15"/>
                <w:vertAlign w:val="superscript"/>
              </w:rPr>
              <w:t>a</w:t>
            </w:r>
          </w:p>
        </w:tc>
        <w:tc>
          <w:tcPr>
            <w:tcW w:w="1877" w:type="dxa"/>
          </w:tcPr>
          <w:p w14:paraId="0927518E">
            <w:pPr>
              <w:snapToGrid w:val="0"/>
              <w:spacing w:line="200" w:lineRule="exact"/>
              <w:rPr>
                <w:rFonts w:ascii="Times New Roman" w:hAnsi="Times New Roman" w:cs="Times New Roman"/>
                <w:sz w:val="15"/>
                <w:szCs w:val="15"/>
              </w:rPr>
            </w:pPr>
            <w:r>
              <w:rPr>
                <w:rFonts w:ascii="Times New Roman" w:hAnsi="Times New Roman" w:cs="Times New Roman"/>
                <w:sz w:val="15"/>
                <w:szCs w:val="15"/>
              </w:rPr>
              <w:t>柳树、水杉、池杉、落羽杉、冷杉、红豆杉、芒草</w:t>
            </w:r>
          </w:p>
        </w:tc>
        <w:tc>
          <w:tcPr>
            <w:tcW w:w="1877" w:type="dxa"/>
          </w:tcPr>
          <w:p w14:paraId="47B2D35E">
            <w:pPr>
              <w:snapToGrid w:val="0"/>
              <w:spacing w:line="200" w:lineRule="exact"/>
              <w:rPr>
                <w:rFonts w:ascii="Times New Roman" w:hAnsi="Times New Roman" w:cs="Times New Roman"/>
                <w:sz w:val="15"/>
                <w:szCs w:val="15"/>
              </w:rPr>
            </w:pPr>
            <w:r>
              <w:rPr>
                <w:rFonts w:ascii="Times New Roman" w:hAnsi="Times New Roman" w:cs="Times New Roman"/>
                <w:sz w:val="15"/>
                <w:szCs w:val="15"/>
              </w:rPr>
              <w:t>南林895杨、乌桕、落羽杉、墨西哥落羽杉、中山杉；双穗雀稗、香根草、芦竹、杂三叶草</w:t>
            </w:r>
          </w:p>
        </w:tc>
        <w:tc>
          <w:tcPr>
            <w:tcW w:w="1877" w:type="dxa"/>
          </w:tcPr>
          <w:p w14:paraId="311F5FE2">
            <w:pPr>
              <w:snapToGrid w:val="0"/>
              <w:spacing w:line="200" w:lineRule="exact"/>
              <w:rPr>
                <w:rFonts w:ascii="Times New Roman" w:hAnsi="Times New Roman" w:cs="Times New Roman"/>
                <w:sz w:val="15"/>
                <w:szCs w:val="15"/>
              </w:rPr>
            </w:pPr>
            <w:r>
              <w:rPr>
                <w:rFonts w:ascii="Times New Roman" w:hAnsi="Times New Roman" w:cs="Times New Roman"/>
                <w:sz w:val="15"/>
                <w:szCs w:val="15"/>
              </w:rPr>
              <w:t>南林895杨、马尾松、云南松、干香柏、苦刺花、蔓荆；印尼豇豆</w:t>
            </w:r>
          </w:p>
        </w:tc>
      </w:tr>
      <w:tr w14:paraId="01ABFE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015" w:type="dxa"/>
            <w:vAlign w:val="center"/>
          </w:tcPr>
          <w:p w14:paraId="5F4E233F">
            <w:pPr>
              <w:snapToGrid w:val="0"/>
              <w:spacing w:line="200" w:lineRule="exact"/>
              <w:jc w:val="center"/>
              <w:rPr>
                <w:rFonts w:ascii="Times New Roman" w:hAnsi="Times New Roman" w:cs="Times New Roman"/>
                <w:sz w:val="15"/>
                <w:szCs w:val="15"/>
              </w:rPr>
            </w:pPr>
            <w:r>
              <w:rPr>
                <w:rFonts w:ascii="Times New Roman" w:hAnsi="Times New Roman" w:cs="Times New Roman"/>
                <w:sz w:val="15"/>
                <w:szCs w:val="15"/>
              </w:rPr>
              <w:t>南方</w:t>
            </w:r>
          </w:p>
        </w:tc>
        <w:tc>
          <w:tcPr>
            <w:tcW w:w="1876" w:type="dxa"/>
          </w:tcPr>
          <w:p w14:paraId="321F48ED">
            <w:pPr>
              <w:snapToGrid w:val="0"/>
              <w:spacing w:line="200" w:lineRule="exact"/>
              <w:rPr>
                <w:rFonts w:ascii="Times New Roman" w:hAnsi="Times New Roman" w:cs="Times New Roman"/>
                <w:sz w:val="15"/>
                <w:szCs w:val="15"/>
                <w:vertAlign w:val="superscript"/>
              </w:rPr>
            </w:pPr>
            <w:r>
              <w:rPr>
                <w:rFonts w:ascii="Times New Roman" w:hAnsi="Times New Roman" w:cs="Times New Roman"/>
                <w:sz w:val="15"/>
                <w:szCs w:val="15"/>
              </w:rPr>
              <w:t>侧柏、马尾松、黄荆、油茶、青檀、香花槐、藜蒴、桑树、杨梅、刺槐；黄栀子、山毛豆、桃金娘、黄花槐；鸢尾、</w:t>
            </w:r>
            <w:r>
              <w:rPr>
                <w:rFonts w:ascii="Times New Roman" w:hAnsi="Times New Roman" w:cs="Times New Roman"/>
                <w:bCs/>
                <w:sz w:val="15"/>
                <w:szCs w:val="15"/>
              </w:rPr>
              <w:t>假俭草、百喜草、</w:t>
            </w:r>
            <w:r>
              <w:rPr>
                <w:rFonts w:ascii="Times New Roman" w:hAnsi="Times New Roman" w:cs="Times New Roman"/>
                <w:sz w:val="15"/>
                <w:szCs w:val="15"/>
              </w:rPr>
              <w:t>狗牙根、糖蜜草、铁线莲</w:t>
            </w:r>
            <w:r>
              <w:rPr>
                <w:rFonts w:ascii="Times New Roman" w:hAnsi="Times New Roman" w:cs="Times New Roman"/>
                <w:sz w:val="15"/>
                <w:szCs w:val="15"/>
                <w:vertAlign w:val="superscript"/>
              </w:rPr>
              <w:t>a</w:t>
            </w:r>
            <w:r>
              <w:rPr>
                <w:rFonts w:ascii="Times New Roman" w:hAnsi="Times New Roman" w:cs="Times New Roman"/>
                <w:sz w:val="15"/>
                <w:szCs w:val="15"/>
              </w:rPr>
              <w:t>、爬山虎</w:t>
            </w:r>
            <w:r>
              <w:rPr>
                <w:rFonts w:ascii="Times New Roman" w:hAnsi="Times New Roman" w:cs="Times New Roman"/>
                <w:sz w:val="15"/>
                <w:szCs w:val="15"/>
                <w:vertAlign w:val="superscript"/>
              </w:rPr>
              <w:t>a</w:t>
            </w:r>
            <w:r>
              <w:rPr>
                <w:rFonts w:ascii="Times New Roman" w:hAnsi="Times New Roman" w:cs="Times New Roman"/>
                <w:sz w:val="15"/>
                <w:szCs w:val="15"/>
              </w:rPr>
              <w:t>、五叶地锦</w:t>
            </w:r>
            <w:r>
              <w:rPr>
                <w:rFonts w:ascii="Times New Roman" w:hAnsi="Times New Roman" w:cs="Times New Roman"/>
                <w:sz w:val="15"/>
                <w:szCs w:val="15"/>
                <w:vertAlign w:val="superscript"/>
              </w:rPr>
              <w:t>a</w:t>
            </w:r>
            <w:r>
              <w:rPr>
                <w:rFonts w:ascii="Times New Roman" w:hAnsi="Times New Roman" w:cs="Times New Roman"/>
                <w:sz w:val="15"/>
                <w:szCs w:val="15"/>
              </w:rPr>
              <w:t>、鸡血藤</w:t>
            </w:r>
            <w:r>
              <w:rPr>
                <w:rFonts w:ascii="Times New Roman" w:hAnsi="Times New Roman" w:cs="Times New Roman"/>
                <w:sz w:val="15"/>
                <w:szCs w:val="15"/>
                <w:vertAlign w:val="superscript"/>
              </w:rPr>
              <w:t>a</w:t>
            </w:r>
          </w:p>
        </w:tc>
        <w:tc>
          <w:tcPr>
            <w:tcW w:w="1877" w:type="dxa"/>
          </w:tcPr>
          <w:p w14:paraId="69CA87EA">
            <w:pPr>
              <w:snapToGrid w:val="0"/>
              <w:spacing w:line="200" w:lineRule="exact"/>
              <w:rPr>
                <w:rFonts w:ascii="Times New Roman" w:hAnsi="Times New Roman" w:cs="Times New Roman"/>
                <w:sz w:val="15"/>
                <w:szCs w:val="15"/>
              </w:rPr>
            </w:pPr>
            <w:r>
              <w:rPr>
                <w:rFonts w:ascii="Times New Roman" w:hAnsi="Times New Roman" w:cs="Times New Roman"/>
                <w:sz w:val="15"/>
                <w:szCs w:val="15"/>
              </w:rPr>
              <w:t>水杉、池杉、落羽杉、樟树、木麻黄、</w:t>
            </w:r>
            <w:r>
              <w:rPr>
                <w:rFonts w:ascii="Times New Roman" w:hAnsi="Times New Roman" w:cs="Times New Roman"/>
                <w:bCs/>
                <w:iCs/>
                <w:sz w:val="15"/>
                <w:szCs w:val="15"/>
              </w:rPr>
              <w:t>水翁、</w:t>
            </w:r>
            <w:r>
              <w:rPr>
                <w:rFonts w:ascii="Times New Roman" w:hAnsi="Times New Roman" w:cs="Times New Roman"/>
                <w:sz w:val="15"/>
                <w:szCs w:val="15"/>
              </w:rPr>
              <w:t>湿地松、榕树、大叶桉；铺地黎、芒草</w:t>
            </w:r>
          </w:p>
        </w:tc>
        <w:tc>
          <w:tcPr>
            <w:tcW w:w="1877" w:type="dxa"/>
          </w:tcPr>
          <w:p w14:paraId="41F56446">
            <w:pPr>
              <w:snapToGrid w:val="0"/>
              <w:spacing w:line="200" w:lineRule="exact"/>
              <w:rPr>
                <w:rFonts w:ascii="Times New Roman" w:hAnsi="Times New Roman" w:cs="Times New Roman"/>
                <w:sz w:val="15"/>
                <w:szCs w:val="15"/>
              </w:rPr>
            </w:pPr>
            <w:r>
              <w:rPr>
                <w:rFonts w:ascii="Times New Roman" w:hAnsi="Times New Roman" w:cs="Times New Roman"/>
                <w:sz w:val="15"/>
                <w:szCs w:val="15"/>
              </w:rPr>
              <w:t>木麻黄、南洋杉、柽柳、红树、椰子树、棕榈；</w:t>
            </w:r>
            <w:r>
              <w:rPr>
                <w:rFonts w:ascii="Times New Roman" w:hAnsi="Times New Roman" w:cs="Times New Roman"/>
                <w:bCs/>
                <w:sz w:val="15"/>
                <w:szCs w:val="15"/>
              </w:rPr>
              <w:t>苇状羊茅、</w:t>
            </w:r>
            <w:r>
              <w:rPr>
                <w:rFonts w:ascii="Times New Roman" w:hAnsi="Times New Roman" w:cs="Times New Roman"/>
                <w:sz w:val="15"/>
                <w:szCs w:val="15"/>
              </w:rPr>
              <w:t>苏丹草</w:t>
            </w:r>
          </w:p>
        </w:tc>
        <w:tc>
          <w:tcPr>
            <w:tcW w:w="1877" w:type="dxa"/>
          </w:tcPr>
          <w:p w14:paraId="484D1AB8">
            <w:pPr>
              <w:snapToGrid w:val="0"/>
              <w:spacing w:line="200" w:lineRule="exact"/>
              <w:rPr>
                <w:rFonts w:ascii="Times New Roman" w:hAnsi="Times New Roman" w:cs="Times New Roman"/>
                <w:sz w:val="15"/>
                <w:szCs w:val="15"/>
                <w:vertAlign w:val="superscript"/>
              </w:rPr>
            </w:pPr>
            <w:r>
              <w:rPr>
                <w:rFonts w:ascii="Times New Roman" w:hAnsi="Times New Roman" w:cs="Times New Roman"/>
                <w:sz w:val="15"/>
                <w:szCs w:val="15"/>
              </w:rPr>
              <w:t>球花石楠、干香柏、旱冬瓜、云南松、木荷、黄连木、清香木、火棘、化香常绿假丁香、苦刺花、降香黄檀；</w:t>
            </w:r>
            <w:r>
              <w:rPr>
                <w:rFonts w:ascii="Times New Roman" w:hAnsi="Times New Roman" w:cs="Times New Roman"/>
                <w:bCs/>
                <w:sz w:val="15"/>
                <w:szCs w:val="15"/>
              </w:rPr>
              <w:t>任豆</w:t>
            </w:r>
            <w:r>
              <w:rPr>
                <w:rFonts w:ascii="Times New Roman" w:hAnsi="Times New Roman" w:cs="Times New Roman"/>
                <w:sz w:val="15"/>
                <w:szCs w:val="15"/>
              </w:rPr>
              <w:t>；象草、香根草、五叶地锦</w:t>
            </w:r>
            <w:r>
              <w:rPr>
                <w:rFonts w:ascii="Times New Roman" w:hAnsi="Times New Roman" w:cs="Times New Roman"/>
                <w:sz w:val="15"/>
                <w:szCs w:val="15"/>
                <w:vertAlign w:val="superscript"/>
              </w:rPr>
              <w:t>a</w:t>
            </w:r>
            <w:r>
              <w:rPr>
                <w:rFonts w:ascii="Times New Roman" w:hAnsi="Times New Roman" w:cs="Times New Roman"/>
                <w:sz w:val="15"/>
                <w:szCs w:val="15"/>
              </w:rPr>
              <w:t>、常春油麻藤</w:t>
            </w:r>
            <w:r>
              <w:rPr>
                <w:rFonts w:ascii="Times New Roman" w:hAnsi="Times New Roman" w:cs="Times New Roman"/>
                <w:sz w:val="15"/>
                <w:szCs w:val="15"/>
                <w:vertAlign w:val="superscript"/>
              </w:rPr>
              <w:t>a</w:t>
            </w:r>
          </w:p>
        </w:tc>
      </w:tr>
      <w:tr w14:paraId="589C38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015" w:type="dxa"/>
            <w:vAlign w:val="center"/>
          </w:tcPr>
          <w:p w14:paraId="7DFB69CE">
            <w:pPr>
              <w:snapToGrid w:val="0"/>
              <w:spacing w:line="200" w:lineRule="exact"/>
              <w:jc w:val="center"/>
              <w:rPr>
                <w:rFonts w:ascii="Times New Roman" w:hAnsi="Times New Roman" w:cs="Times New Roman"/>
                <w:sz w:val="15"/>
                <w:szCs w:val="15"/>
              </w:rPr>
            </w:pPr>
            <w:bookmarkStart w:id="655" w:name="_Toc263599744"/>
            <w:r>
              <w:rPr>
                <w:rFonts w:ascii="Times New Roman" w:hAnsi="Times New Roman" w:cs="Times New Roman"/>
                <w:sz w:val="15"/>
                <w:szCs w:val="15"/>
              </w:rPr>
              <w:t>热带</w:t>
            </w:r>
            <w:bookmarkEnd w:id="655"/>
          </w:p>
        </w:tc>
        <w:tc>
          <w:tcPr>
            <w:tcW w:w="1876" w:type="dxa"/>
          </w:tcPr>
          <w:p w14:paraId="2F3245B3">
            <w:pPr>
              <w:snapToGrid w:val="0"/>
              <w:spacing w:line="200" w:lineRule="exact"/>
              <w:rPr>
                <w:rFonts w:ascii="Times New Roman" w:hAnsi="Times New Roman" w:cs="Times New Roman"/>
                <w:sz w:val="15"/>
                <w:szCs w:val="15"/>
              </w:rPr>
            </w:pPr>
            <w:bookmarkStart w:id="656" w:name="_Toc263599745"/>
            <w:r>
              <w:rPr>
                <w:rFonts w:ascii="Times New Roman" w:hAnsi="Times New Roman" w:cs="Times New Roman"/>
                <w:sz w:val="15"/>
                <w:szCs w:val="15"/>
              </w:rPr>
              <w:t>榆绿木、大叶相思、多花木兰、木豆、山楂、澜沧栎；</w:t>
            </w:r>
            <w:r>
              <w:rPr>
                <w:rFonts w:ascii="Times New Roman" w:hAnsi="Times New Roman" w:cs="Times New Roman"/>
                <w:bCs/>
                <w:sz w:val="15"/>
                <w:szCs w:val="15"/>
              </w:rPr>
              <w:t>假俭草、百喜草、</w:t>
            </w:r>
            <w:r>
              <w:rPr>
                <w:rFonts w:ascii="Times New Roman" w:hAnsi="Times New Roman" w:cs="Times New Roman"/>
                <w:sz w:val="15"/>
                <w:szCs w:val="15"/>
              </w:rPr>
              <w:t>狗牙根、糖蜜草、爬山虎</w:t>
            </w:r>
            <w:r>
              <w:rPr>
                <w:rFonts w:ascii="Times New Roman" w:hAnsi="Times New Roman" w:cs="Times New Roman"/>
                <w:sz w:val="15"/>
                <w:szCs w:val="15"/>
                <w:vertAlign w:val="superscript"/>
              </w:rPr>
              <w:t>a</w:t>
            </w:r>
            <w:r>
              <w:rPr>
                <w:rFonts w:ascii="Times New Roman" w:hAnsi="Times New Roman" w:cs="Times New Roman"/>
                <w:sz w:val="15"/>
                <w:szCs w:val="15"/>
              </w:rPr>
              <w:t>、五叶地锦</w:t>
            </w:r>
            <w:r>
              <w:rPr>
                <w:rFonts w:ascii="Times New Roman" w:hAnsi="Times New Roman" w:cs="Times New Roman"/>
                <w:sz w:val="15"/>
                <w:szCs w:val="15"/>
                <w:vertAlign w:val="superscript"/>
              </w:rPr>
              <w:t>a</w:t>
            </w:r>
            <w:bookmarkEnd w:id="656"/>
          </w:p>
        </w:tc>
        <w:tc>
          <w:tcPr>
            <w:tcW w:w="1877" w:type="dxa"/>
          </w:tcPr>
          <w:p w14:paraId="6DC12746">
            <w:pPr>
              <w:snapToGrid w:val="0"/>
              <w:spacing w:line="200" w:lineRule="exact"/>
              <w:rPr>
                <w:rFonts w:ascii="Times New Roman" w:hAnsi="Times New Roman" w:cs="Times New Roman"/>
                <w:sz w:val="15"/>
                <w:szCs w:val="15"/>
              </w:rPr>
            </w:pPr>
            <w:bookmarkStart w:id="657" w:name="_Toc263599746"/>
            <w:r>
              <w:rPr>
                <w:rFonts w:ascii="Times New Roman" w:hAnsi="Times New Roman" w:cs="Times New Roman"/>
                <w:sz w:val="15"/>
                <w:szCs w:val="15"/>
              </w:rPr>
              <w:t>青梅、枫杨、水杉、喜树、长叶竹柏、长蕊木兰、长柄双花木</w:t>
            </w:r>
            <w:bookmarkEnd w:id="657"/>
          </w:p>
        </w:tc>
        <w:tc>
          <w:tcPr>
            <w:tcW w:w="1877" w:type="dxa"/>
          </w:tcPr>
          <w:p w14:paraId="34143643">
            <w:pPr>
              <w:snapToGrid w:val="0"/>
              <w:spacing w:line="200" w:lineRule="exact"/>
              <w:rPr>
                <w:rFonts w:ascii="Times New Roman" w:hAnsi="Times New Roman" w:cs="Times New Roman"/>
                <w:sz w:val="15"/>
                <w:szCs w:val="15"/>
              </w:rPr>
            </w:pPr>
            <w:bookmarkStart w:id="658" w:name="_Toc263599747"/>
            <w:r>
              <w:rPr>
                <w:rFonts w:ascii="Times New Roman" w:hAnsi="Times New Roman" w:cs="Times New Roman"/>
                <w:sz w:val="15"/>
                <w:szCs w:val="15"/>
              </w:rPr>
              <w:t>木麻黄、柽柳、红树、椰子树、棕榈</w:t>
            </w:r>
            <w:bookmarkEnd w:id="658"/>
          </w:p>
        </w:tc>
        <w:tc>
          <w:tcPr>
            <w:tcW w:w="1877" w:type="dxa"/>
          </w:tcPr>
          <w:p w14:paraId="5BA170D8">
            <w:pPr>
              <w:snapToGrid w:val="0"/>
              <w:spacing w:line="200" w:lineRule="exact"/>
              <w:rPr>
                <w:rFonts w:ascii="Times New Roman" w:hAnsi="Times New Roman" w:cs="Times New Roman"/>
                <w:sz w:val="15"/>
                <w:szCs w:val="15"/>
              </w:rPr>
            </w:pPr>
            <w:bookmarkStart w:id="659" w:name="_Toc263599748"/>
            <w:r>
              <w:rPr>
                <w:rFonts w:ascii="Times New Roman" w:hAnsi="Times New Roman" w:cs="Times New Roman"/>
                <w:sz w:val="15"/>
                <w:szCs w:val="15"/>
              </w:rPr>
              <w:t>砂糖椰、紫花泡桐、直干桉、任豆、顶果木、枫香、柚木</w:t>
            </w:r>
            <w:bookmarkEnd w:id="659"/>
          </w:p>
        </w:tc>
      </w:tr>
    </w:tbl>
    <w:p w14:paraId="230C49A9">
      <w:pPr>
        <w:ind w:firstLine="300" w:firstLineChars="200"/>
        <w:rPr>
          <w:rFonts w:ascii="Times New Roman" w:hAnsi="Times New Roman" w:cs="Times New Roman"/>
          <w:sz w:val="15"/>
          <w:szCs w:val="15"/>
        </w:rPr>
      </w:pPr>
      <w:r>
        <w:rPr>
          <w:rFonts w:ascii="Times New Roman" w:hAnsi="Times New Roman" w:cs="Times New Roman"/>
          <w:sz w:val="15"/>
          <w:szCs w:val="15"/>
        </w:rPr>
        <w:t>注：a为攀缘植物。</w:t>
      </w:r>
    </w:p>
    <w:p w14:paraId="4B634F71">
      <w:pPr>
        <w:rPr>
          <w:rFonts w:ascii="Times New Roman" w:hAnsi="Times New Roman" w:eastAsia="黑体" w:cs="Times New Roman"/>
          <w:bCs/>
          <w:kern w:val="44"/>
          <w:szCs w:val="28"/>
        </w:rPr>
        <w:sectPr>
          <w:footerReference r:id="rId15" w:type="default"/>
          <w:pgSz w:w="11906" w:h="16838"/>
          <w:pgMar w:top="1440" w:right="1800" w:bottom="1440" w:left="1800" w:header="851" w:footer="992" w:gutter="0"/>
          <w:cols w:space="425" w:num="1"/>
          <w:docGrid w:type="lines" w:linePitch="312" w:charSpace="0"/>
        </w:sectPr>
      </w:pPr>
    </w:p>
    <w:p w14:paraId="35705A5C">
      <w:pPr>
        <w:keepNext/>
        <w:keepLines/>
        <w:spacing w:before="340" w:after="330" w:line="578" w:lineRule="auto"/>
        <w:jc w:val="center"/>
        <w:outlineLvl w:val="0"/>
        <w:rPr>
          <w:rFonts w:ascii="Times New Roman" w:hAnsi="Times New Roman" w:eastAsia="黑体" w:cs="Times New Roman"/>
          <w:bCs/>
          <w:kern w:val="44"/>
          <w:sz w:val="30"/>
          <w:szCs w:val="30"/>
        </w:rPr>
      </w:pPr>
      <w:bookmarkStart w:id="660" w:name="_Toc7359"/>
      <w:bookmarkStart w:id="661" w:name="_Toc32359"/>
      <w:r>
        <w:rPr>
          <w:rFonts w:ascii="Times New Roman" w:hAnsi="Times New Roman" w:eastAsia="黑体" w:cs="Times New Roman"/>
          <w:bCs/>
          <w:kern w:val="44"/>
          <w:sz w:val="30"/>
          <w:szCs w:val="30"/>
        </w:rPr>
        <w:t>本</w:t>
      </w:r>
      <w:r>
        <w:rPr>
          <w:rFonts w:hint="eastAsia" w:ascii="Times New Roman" w:hAnsi="Times New Roman" w:eastAsia="黑体" w:cs="Times New Roman"/>
          <w:bCs/>
          <w:kern w:val="44"/>
          <w:sz w:val="30"/>
          <w:szCs w:val="30"/>
        </w:rPr>
        <w:t>标准</w:t>
      </w:r>
      <w:r>
        <w:rPr>
          <w:rFonts w:ascii="Times New Roman" w:hAnsi="Times New Roman" w:eastAsia="黑体" w:cs="Times New Roman"/>
          <w:bCs/>
          <w:kern w:val="44"/>
          <w:sz w:val="30"/>
          <w:szCs w:val="30"/>
        </w:rPr>
        <w:t>用词说明</w:t>
      </w:r>
      <w:bookmarkEnd w:id="660"/>
      <w:bookmarkEnd w:id="661"/>
    </w:p>
    <w:p w14:paraId="63DAFB57">
      <w:pPr>
        <w:spacing w:line="360" w:lineRule="auto"/>
        <w:ind w:firstLine="422" w:firstLineChars="200"/>
        <w:rPr>
          <w:rFonts w:ascii="Times New Roman" w:hAnsi="Times New Roman" w:cs="Times New Roman"/>
          <w:sz w:val="21"/>
          <w:szCs w:val="21"/>
        </w:rPr>
      </w:pPr>
      <w:bookmarkStart w:id="662" w:name="_Toc323744210"/>
      <w:r>
        <w:rPr>
          <w:rFonts w:ascii="Times New Roman" w:hAnsi="Times New Roman" w:cs="Times New Roman"/>
          <w:b/>
          <w:sz w:val="21"/>
          <w:szCs w:val="21"/>
        </w:rPr>
        <w:t>1</w:t>
      </w:r>
      <w:r>
        <w:rPr>
          <w:rFonts w:ascii="Times New Roman" w:hAnsi="Times New Roman" w:cs="Times New Roman"/>
          <w:sz w:val="21"/>
          <w:szCs w:val="21"/>
        </w:rPr>
        <w:t xml:space="preserve"> </w:t>
      </w:r>
      <w:r>
        <w:rPr>
          <w:rFonts w:hint="eastAsia" w:ascii="Times New Roman" w:hAnsi="Times New Roman" w:cs="Times New Roman"/>
          <w:sz w:val="21"/>
          <w:szCs w:val="21"/>
        </w:rPr>
        <w:t xml:space="preserve"> </w:t>
      </w:r>
      <w:r>
        <w:rPr>
          <w:rFonts w:ascii="Times New Roman" w:hAnsi="Times New Roman" w:cs="Times New Roman"/>
          <w:sz w:val="21"/>
          <w:szCs w:val="21"/>
        </w:rPr>
        <w:t>为便于在执行本</w:t>
      </w:r>
      <w:r>
        <w:rPr>
          <w:rFonts w:hint="eastAsia" w:ascii="Times New Roman" w:hAnsi="Times New Roman" w:cs="Times New Roman"/>
          <w:sz w:val="21"/>
          <w:szCs w:val="21"/>
        </w:rPr>
        <w:t>标准</w:t>
      </w:r>
      <w:r>
        <w:rPr>
          <w:rFonts w:ascii="Times New Roman" w:hAnsi="Times New Roman" w:cs="Times New Roman"/>
          <w:sz w:val="21"/>
          <w:szCs w:val="21"/>
        </w:rPr>
        <w:t>条文时区别对待，对要求严格程度不同的用词说明如下：</w:t>
      </w:r>
      <w:bookmarkEnd w:id="662"/>
    </w:p>
    <w:p w14:paraId="78FD50B5">
      <w:pPr>
        <w:spacing w:line="360" w:lineRule="auto"/>
        <w:ind w:firstLine="780" w:firstLineChars="370"/>
        <w:rPr>
          <w:rFonts w:ascii="Times New Roman" w:hAnsi="Times New Roman" w:cs="Times New Roman"/>
          <w:sz w:val="21"/>
          <w:szCs w:val="21"/>
        </w:rPr>
      </w:pPr>
      <w:r>
        <w:rPr>
          <w:rFonts w:ascii="Times New Roman" w:hAnsi="Times New Roman" w:cs="Times New Roman"/>
          <w:b/>
          <w:sz w:val="21"/>
          <w:szCs w:val="21"/>
        </w:rPr>
        <w:t>1</w:t>
      </w:r>
      <w:r>
        <w:rPr>
          <w:rFonts w:ascii="Times New Roman" w:hAnsi="Times New Roman" w:cs="Times New Roman"/>
          <w:sz w:val="21"/>
          <w:szCs w:val="21"/>
        </w:rPr>
        <w:t>）表示很严格，非这样做不可的：</w:t>
      </w:r>
    </w:p>
    <w:p w14:paraId="03DC7A10">
      <w:pPr>
        <w:spacing w:line="360" w:lineRule="auto"/>
        <w:ind w:firstLine="567" w:firstLineChars="270"/>
        <w:rPr>
          <w:rFonts w:ascii="Times New Roman" w:hAnsi="Times New Roman" w:cs="Times New Roman"/>
          <w:sz w:val="21"/>
          <w:szCs w:val="21"/>
        </w:rPr>
      </w:pPr>
      <w:r>
        <w:rPr>
          <w:rFonts w:ascii="Times New Roman" w:hAnsi="Times New Roman" w:cs="Times New Roman"/>
          <w:sz w:val="21"/>
          <w:szCs w:val="21"/>
        </w:rPr>
        <w:t>正面词采用“必须”，反面词采用“严禁”；</w:t>
      </w:r>
    </w:p>
    <w:p w14:paraId="60F53D5F">
      <w:pPr>
        <w:spacing w:line="360" w:lineRule="auto"/>
        <w:ind w:firstLine="780" w:firstLineChars="370"/>
        <w:rPr>
          <w:rFonts w:ascii="Times New Roman" w:hAnsi="Times New Roman" w:cs="Times New Roman"/>
          <w:sz w:val="21"/>
          <w:szCs w:val="21"/>
        </w:rPr>
      </w:pPr>
      <w:r>
        <w:rPr>
          <w:rFonts w:ascii="Times New Roman" w:hAnsi="Times New Roman" w:cs="Times New Roman"/>
          <w:b/>
          <w:sz w:val="21"/>
          <w:szCs w:val="21"/>
        </w:rPr>
        <w:t>2</w:t>
      </w:r>
      <w:r>
        <w:rPr>
          <w:rFonts w:ascii="Times New Roman" w:hAnsi="Times New Roman" w:cs="Times New Roman"/>
          <w:sz w:val="21"/>
          <w:szCs w:val="21"/>
        </w:rPr>
        <w:t>）表示严格，在正常情况均应这样做的：</w:t>
      </w:r>
    </w:p>
    <w:p w14:paraId="2E5D8EFD">
      <w:pPr>
        <w:spacing w:line="360" w:lineRule="auto"/>
        <w:ind w:firstLine="567" w:firstLineChars="270"/>
        <w:rPr>
          <w:rFonts w:ascii="Times New Roman" w:hAnsi="Times New Roman" w:cs="Times New Roman"/>
          <w:sz w:val="21"/>
          <w:szCs w:val="21"/>
        </w:rPr>
      </w:pPr>
      <w:r>
        <w:rPr>
          <w:rFonts w:ascii="Times New Roman" w:hAnsi="Times New Roman" w:cs="Times New Roman"/>
          <w:sz w:val="21"/>
          <w:szCs w:val="21"/>
        </w:rPr>
        <w:t>正面词采用“应”，反面词采用“不应”或“不得”；</w:t>
      </w:r>
    </w:p>
    <w:p w14:paraId="7A4324AD">
      <w:pPr>
        <w:spacing w:line="360" w:lineRule="auto"/>
        <w:ind w:firstLine="780" w:firstLineChars="370"/>
        <w:rPr>
          <w:rFonts w:ascii="Times New Roman" w:hAnsi="Times New Roman" w:cs="Times New Roman"/>
          <w:sz w:val="21"/>
          <w:szCs w:val="21"/>
        </w:rPr>
      </w:pPr>
      <w:r>
        <w:rPr>
          <w:rFonts w:ascii="Times New Roman" w:hAnsi="Times New Roman" w:cs="Times New Roman"/>
          <w:b/>
          <w:sz w:val="21"/>
          <w:szCs w:val="21"/>
        </w:rPr>
        <w:t>3</w:t>
      </w:r>
      <w:r>
        <w:rPr>
          <w:rFonts w:ascii="Times New Roman" w:hAnsi="Times New Roman" w:cs="Times New Roman"/>
          <w:sz w:val="21"/>
          <w:szCs w:val="21"/>
        </w:rPr>
        <w:t>）表示允许稍有选择，在条件许可时首先应这样做的：</w:t>
      </w:r>
    </w:p>
    <w:p w14:paraId="04DCB0B0">
      <w:pPr>
        <w:spacing w:line="360" w:lineRule="auto"/>
        <w:ind w:firstLine="567" w:firstLineChars="270"/>
        <w:rPr>
          <w:rFonts w:ascii="Times New Roman" w:hAnsi="Times New Roman" w:cs="Times New Roman"/>
          <w:sz w:val="21"/>
          <w:szCs w:val="21"/>
        </w:rPr>
      </w:pPr>
      <w:r>
        <w:rPr>
          <w:rFonts w:ascii="Times New Roman" w:hAnsi="Times New Roman" w:cs="Times New Roman"/>
          <w:sz w:val="21"/>
          <w:szCs w:val="21"/>
        </w:rPr>
        <w:t>正面词采用“宜”，反面词采用“不宜”；</w:t>
      </w:r>
    </w:p>
    <w:p w14:paraId="5B0BE282">
      <w:pPr>
        <w:spacing w:line="360" w:lineRule="auto"/>
        <w:ind w:firstLine="780" w:firstLineChars="370"/>
        <w:rPr>
          <w:rFonts w:ascii="Times New Roman" w:hAnsi="Times New Roman" w:cs="Times New Roman"/>
          <w:sz w:val="21"/>
          <w:szCs w:val="21"/>
        </w:rPr>
      </w:pPr>
      <w:r>
        <w:rPr>
          <w:rFonts w:ascii="Times New Roman" w:hAnsi="Times New Roman" w:cs="Times New Roman"/>
          <w:b/>
          <w:bCs/>
          <w:sz w:val="21"/>
          <w:szCs w:val="21"/>
        </w:rPr>
        <w:t>4</w:t>
      </w:r>
      <w:r>
        <w:rPr>
          <w:rFonts w:ascii="Times New Roman" w:hAnsi="Times New Roman" w:cs="Times New Roman"/>
          <w:sz w:val="21"/>
          <w:szCs w:val="21"/>
        </w:rPr>
        <w:t>）表示有选择，在一定条件下可以这样做的，采用“可”。</w:t>
      </w:r>
    </w:p>
    <w:p w14:paraId="79041527">
      <w:pPr>
        <w:spacing w:line="360" w:lineRule="auto"/>
        <w:ind w:firstLine="569" w:firstLineChars="270"/>
        <w:jc w:val="left"/>
        <w:rPr>
          <w:rFonts w:ascii="Times New Roman" w:hAnsi="Times New Roman" w:cs="Times New Roman"/>
          <w:sz w:val="21"/>
          <w:szCs w:val="21"/>
        </w:rPr>
        <w:sectPr>
          <w:footerReference r:id="rId16" w:type="default"/>
          <w:pgSz w:w="11906" w:h="16838"/>
          <w:pgMar w:top="1440" w:right="1800" w:bottom="1440" w:left="1800" w:header="851" w:footer="992" w:gutter="0"/>
          <w:cols w:space="425" w:num="1"/>
          <w:docGrid w:type="lines" w:linePitch="312" w:charSpace="0"/>
        </w:sectPr>
      </w:pPr>
      <w:bookmarkStart w:id="663" w:name="_Toc262193609"/>
      <w:r>
        <w:rPr>
          <w:rFonts w:ascii="Times New Roman" w:hAnsi="Times New Roman" w:cs="Times New Roman"/>
          <w:b/>
          <w:sz w:val="21"/>
          <w:szCs w:val="21"/>
        </w:rPr>
        <w:t>2</w:t>
      </w:r>
      <w:r>
        <w:rPr>
          <w:rFonts w:ascii="Times New Roman" w:hAnsi="Times New Roman" w:cs="Times New Roman"/>
          <w:sz w:val="21"/>
          <w:szCs w:val="21"/>
        </w:rPr>
        <w:t xml:space="preserve"> </w:t>
      </w:r>
      <w:r>
        <w:rPr>
          <w:rFonts w:hint="eastAsia" w:ascii="Times New Roman" w:hAnsi="Times New Roman" w:cs="Times New Roman"/>
          <w:sz w:val="21"/>
          <w:szCs w:val="21"/>
        </w:rPr>
        <w:t xml:space="preserve"> </w:t>
      </w:r>
      <w:r>
        <w:rPr>
          <w:rFonts w:ascii="Times New Roman" w:hAnsi="Times New Roman" w:cs="Times New Roman"/>
          <w:sz w:val="21"/>
          <w:szCs w:val="21"/>
        </w:rPr>
        <w:t>条文中指明应按其他有关标准执行的写法为：“应符合……的规定”或“应按……执行”。</w:t>
      </w:r>
      <w:bookmarkEnd w:id="663"/>
    </w:p>
    <w:p w14:paraId="51B65739">
      <w:pPr>
        <w:keepNext/>
        <w:keepLines/>
        <w:spacing w:before="260" w:after="260" w:line="578" w:lineRule="auto"/>
        <w:jc w:val="center"/>
        <w:outlineLvl w:val="0"/>
        <w:rPr>
          <w:rFonts w:ascii="Times New Roman" w:hAnsi="Times New Roman" w:eastAsia="黑体" w:cs="Times New Roman"/>
          <w:bCs/>
          <w:kern w:val="44"/>
          <w:szCs w:val="28"/>
        </w:rPr>
      </w:pPr>
      <w:bookmarkStart w:id="664" w:name="_Toc4206"/>
      <w:bookmarkStart w:id="665" w:name="_Toc26173"/>
      <w:r>
        <w:rPr>
          <w:rFonts w:ascii="Times New Roman" w:hAnsi="Times New Roman" w:eastAsia="黑体" w:cs="Times New Roman"/>
          <w:bCs/>
          <w:kern w:val="44"/>
          <w:szCs w:val="28"/>
        </w:rPr>
        <w:t>引用标准名录</w:t>
      </w:r>
      <w:bookmarkEnd w:id="664"/>
      <w:bookmarkEnd w:id="665"/>
    </w:p>
    <w:p w14:paraId="47E74AD4">
      <w:pPr>
        <w:spacing w:line="360" w:lineRule="auto"/>
        <w:ind w:left="720"/>
        <w:jc w:val="left"/>
        <w:rPr>
          <w:rFonts w:ascii="Times New Roman" w:hAnsi="Times New Roman" w:cs="Times New Roman"/>
          <w:sz w:val="21"/>
          <w:szCs w:val="21"/>
        </w:rPr>
      </w:pPr>
      <w:r>
        <w:rPr>
          <w:rFonts w:ascii="Times New Roman" w:hAnsi="Times New Roman" w:cs="Times New Roman"/>
          <w:sz w:val="21"/>
          <w:szCs w:val="21"/>
        </w:rPr>
        <w:t>《砌体结构通用规范》GB</w:t>
      </w:r>
      <w:r>
        <w:rPr>
          <w:rFonts w:hint="eastAsia" w:ascii="Times New Roman" w:hAnsi="Times New Roman" w:cs="Times New Roman"/>
          <w:sz w:val="21"/>
          <w:szCs w:val="21"/>
        </w:rPr>
        <w:t xml:space="preserve"> </w:t>
      </w:r>
      <w:r>
        <w:rPr>
          <w:rFonts w:ascii="Times New Roman" w:hAnsi="Times New Roman" w:cs="Times New Roman"/>
          <w:sz w:val="21"/>
          <w:szCs w:val="21"/>
        </w:rPr>
        <w:t>55007</w:t>
      </w:r>
    </w:p>
    <w:p w14:paraId="150AD47D">
      <w:pPr>
        <w:spacing w:line="360" w:lineRule="auto"/>
        <w:ind w:left="720"/>
        <w:jc w:val="left"/>
        <w:rPr>
          <w:rFonts w:ascii="Times New Roman" w:hAnsi="Times New Roman" w:cs="Times New Roman"/>
          <w:sz w:val="21"/>
        </w:rPr>
      </w:pPr>
      <w:r>
        <w:rPr>
          <w:rFonts w:ascii="Times New Roman" w:hAnsi="Times New Roman" w:cs="Times New Roman"/>
          <w:sz w:val="21"/>
        </w:rPr>
        <w:t>《喷灌工程技术规范》GB/T 50085</w:t>
      </w:r>
    </w:p>
    <w:p w14:paraId="0DC7F1E6">
      <w:pPr>
        <w:spacing w:line="360" w:lineRule="auto"/>
        <w:ind w:left="720"/>
        <w:rPr>
          <w:rFonts w:ascii="Times New Roman" w:hAnsi="Times New Roman" w:cs="Times New Roman"/>
          <w:sz w:val="21"/>
        </w:rPr>
      </w:pPr>
      <w:r>
        <w:rPr>
          <w:rFonts w:ascii="Times New Roman" w:hAnsi="Times New Roman" w:cs="Times New Roman"/>
          <w:sz w:val="21"/>
        </w:rPr>
        <w:t>《堤防工程设计规范》GB 50286</w:t>
      </w:r>
    </w:p>
    <w:p w14:paraId="30D3EE5E">
      <w:pPr>
        <w:spacing w:line="360" w:lineRule="auto"/>
        <w:ind w:left="720"/>
        <w:rPr>
          <w:rFonts w:ascii="Times New Roman" w:hAnsi="Times New Roman" w:cs="Times New Roman"/>
          <w:sz w:val="21"/>
        </w:rPr>
      </w:pPr>
      <w:r>
        <w:rPr>
          <w:rFonts w:ascii="Times New Roman" w:hAnsi="Times New Roman" w:cs="Times New Roman"/>
          <w:sz w:val="21"/>
        </w:rPr>
        <w:t>《灌溉与排水工程设计规范》GB 50288</w:t>
      </w:r>
    </w:p>
    <w:p w14:paraId="2AC29CDF">
      <w:pPr>
        <w:spacing w:line="360" w:lineRule="auto"/>
        <w:ind w:left="720"/>
        <w:rPr>
          <w:rFonts w:ascii="Times New Roman" w:hAnsi="Times New Roman" w:cs="Times New Roman"/>
          <w:sz w:val="21"/>
        </w:rPr>
      </w:pPr>
      <w:r>
        <w:rPr>
          <w:rFonts w:ascii="Times New Roman" w:hAnsi="Times New Roman" w:cs="Times New Roman"/>
          <w:sz w:val="21"/>
        </w:rPr>
        <w:t>《生产建设项目水土保持技术标准》GB 50433</w:t>
      </w:r>
    </w:p>
    <w:p w14:paraId="3DF27703">
      <w:pPr>
        <w:spacing w:line="360" w:lineRule="auto"/>
        <w:ind w:left="720"/>
        <w:jc w:val="left"/>
        <w:rPr>
          <w:rFonts w:ascii="Times New Roman" w:hAnsi="Times New Roman" w:cs="Times New Roman"/>
          <w:sz w:val="21"/>
        </w:rPr>
      </w:pPr>
      <w:r>
        <w:rPr>
          <w:rFonts w:ascii="Times New Roman" w:hAnsi="Times New Roman" w:cs="Times New Roman"/>
          <w:sz w:val="21"/>
        </w:rPr>
        <w:t>《微灌工程技术规范》GB/T 50485</w:t>
      </w:r>
    </w:p>
    <w:p w14:paraId="2DE9D57E">
      <w:pPr>
        <w:spacing w:line="360" w:lineRule="auto"/>
        <w:ind w:left="720"/>
        <w:rPr>
          <w:rFonts w:ascii="Times New Roman" w:hAnsi="Times New Roman" w:cs="Times New Roman"/>
          <w:sz w:val="21"/>
        </w:rPr>
      </w:pPr>
      <w:r>
        <w:rPr>
          <w:rFonts w:ascii="Times New Roman" w:hAnsi="Times New Roman" w:cs="Times New Roman"/>
          <w:sz w:val="21"/>
        </w:rPr>
        <w:t xml:space="preserve">《雨水集蓄利用工程技术规范》GB/T 50596 </w:t>
      </w:r>
    </w:p>
    <w:p w14:paraId="1C5DF6C4">
      <w:pPr>
        <w:spacing w:line="360" w:lineRule="auto"/>
        <w:ind w:left="720"/>
        <w:jc w:val="left"/>
        <w:rPr>
          <w:rFonts w:ascii="Times New Roman" w:hAnsi="Times New Roman" w:cs="Times New Roman"/>
          <w:sz w:val="21"/>
          <w:szCs w:val="21"/>
        </w:rPr>
      </w:pPr>
      <w:r>
        <w:rPr>
          <w:rFonts w:ascii="Times New Roman" w:hAnsi="Times New Roman" w:cs="Times New Roman"/>
          <w:sz w:val="21"/>
          <w:szCs w:val="21"/>
        </w:rPr>
        <w:t>《水工建筑物抗冰冻设计规范》GB/T</w:t>
      </w:r>
      <w:r>
        <w:rPr>
          <w:rFonts w:hint="eastAsia" w:ascii="Times New Roman" w:hAnsi="Times New Roman" w:cs="Times New Roman"/>
          <w:sz w:val="21"/>
          <w:szCs w:val="21"/>
        </w:rPr>
        <w:t xml:space="preserve"> </w:t>
      </w:r>
      <w:r>
        <w:rPr>
          <w:rFonts w:ascii="Times New Roman" w:hAnsi="Times New Roman" w:cs="Times New Roman"/>
          <w:sz w:val="21"/>
          <w:szCs w:val="21"/>
        </w:rPr>
        <w:t>50662</w:t>
      </w:r>
    </w:p>
    <w:p w14:paraId="5D30DEE8">
      <w:pPr>
        <w:spacing w:line="360" w:lineRule="auto"/>
        <w:ind w:left="720"/>
        <w:rPr>
          <w:rFonts w:ascii="Times New Roman" w:hAnsi="Times New Roman" w:cs="Times New Roman"/>
          <w:sz w:val="21"/>
        </w:rPr>
      </w:pPr>
      <w:r>
        <w:rPr>
          <w:rFonts w:ascii="Times New Roman" w:hAnsi="Times New Roman" w:cs="Times New Roman"/>
          <w:sz w:val="21"/>
        </w:rPr>
        <w:t>《水土保持工程调查与勘测标准》GB/T 51297</w:t>
      </w:r>
    </w:p>
    <w:p w14:paraId="7398B61D">
      <w:pPr>
        <w:spacing w:line="360" w:lineRule="auto"/>
        <w:ind w:left="720"/>
        <w:jc w:val="left"/>
        <w:rPr>
          <w:rFonts w:ascii="Times New Roman" w:hAnsi="Times New Roman" w:cs="Times New Roman"/>
          <w:sz w:val="21"/>
          <w:szCs w:val="21"/>
        </w:rPr>
      </w:pPr>
      <w:r>
        <w:rPr>
          <w:rFonts w:ascii="Times New Roman" w:hAnsi="Times New Roman" w:cs="Times New Roman"/>
          <w:sz w:val="21"/>
          <w:szCs w:val="21"/>
        </w:rPr>
        <w:t>《金属材料 室温拉伸试验方法》GB/T 228</w:t>
      </w:r>
    </w:p>
    <w:p w14:paraId="71A46E7D">
      <w:pPr>
        <w:spacing w:line="360" w:lineRule="auto"/>
        <w:ind w:left="720"/>
        <w:rPr>
          <w:rFonts w:ascii="Times New Roman" w:hAnsi="Times New Roman" w:cs="Times New Roman"/>
          <w:sz w:val="21"/>
        </w:rPr>
      </w:pPr>
      <w:r>
        <w:rPr>
          <w:rFonts w:ascii="Times New Roman" w:hAnsi="Times New Roman" w:cs="Times New Roman"/>
          <w:sz w:val="21"/>
        </w:rPr>
        <w:t>《主要造林树种苗木质量分级》GB 6000</w:t>
      </w:r>
    </w:p>
    <w:p w14:paraId="26DD00EC">
      <w:pPr>
        <w:spacing w:line="360" w:lineRule="auto"/>
        <w:ind w:left="720"/>
        <w:rPr>
          <w:rFonts w:ascii="Times New Roman" w:hAnsi="Times New Roman" w:cs="Times New Roman"/>
          <w:sz w:val="21"/>
        </w:rPr>
      </w:pPr>
      <w:r>
        <w:rPr>
          <w:rFonts w:ascii="Times New Roman" w:hAnsi="Times New Roman" w:cs="Times New Roman"/>
          <w:sz w:val="21"/>
        </w:rPr>
        <w:t>《造林技术规程》GB/T 15776</w:t>
      </w:r>
    </w:p>
    <w:p w14:paraId="7E748487">
      <w:pPr>
        <w:spacing w:line="360" w:lineRule="auto"/>
        <w:ind w:left="720"/>
        <w:rPr>
          <w:rFonts w:ascii="Times New Roman" w:hAnsi="Times New Roman" w:cs="Times New Roman"/>
          <w:sz w:val="21"/>
        </w:rPr>
      </w:pPr>
      <w:r>
        <w:rPr>
          <w:rFonts w:ascii="Times New Roman" w:hAnsi="Times New Roman" w:cs="Times New Roman"/>
          <w:sz w:val="21"/>
        </w:rPr>
        <w:t>《水土保持综合治理技术规范》GB/T 16453</w:t>
      </w:r>
    </w:p>
    <w:p w14:paraId="5FFAC16E">
      <w:pPr>
        <w:spacing w:line="360" w:lineRule="auto"/>
        <w:ind w:left="720"/>
        <w:rPr>
          <w:rFonts w:ascii="Times New Roman" w:hAnsi="Times New Roman" w:cs="Times New Roman"/>
          <w:sz w:val="21"/>
        </w:rPr>
      </w:pPr>
      <w:r>
        <w:rPr>
          <w:rFonts w:ascii="Times New Roman" w:hAnsi="Times New Roman" w:cs="Times New Roman"/>
          <w:sz w:val="21"/>
        </w:rPr>
        <w:t>《生态公益林建设导则》GB/T 18337.1</w:t>
      </w:r>
    </w:p>
    <w:p w14:paraId="46CD133F">
      <w:pPr>
        <w:spacing w:line="360" w:lineRule="auto"/>
        <w:ind w:left="720"/>
        <w:rPr>
          <w:rFonts w:ascii="Times New Roman" w:hAnsi="Times New Roman" w:cs="Times New Roman"/>
          <w:sz w:val="21"/>
        </w:rPr>
      </w:pPr>
      <w:r>
        <w:rPr>
          <w:rFonts w:ascii="Times New Roman" w:hAnsi="Times New Roman" w:cs="Times New Roman"/>
          <w:sz w:val="21"/>
        </w:rPr>
        <w:t>《生态公益林建设技术规程》GB/T 18337.3</w:t>
      </w:r>
    </w:p>
    <w:p w14:paraId="7107A319">
      <w:pPr>
        <w:spacing w:line="360" w:lineRule="auto"/>
        <w:ind w:left="720"/>
        <w:rPr>
          <w:rFonts w:ascii="Times New Roman" w:hAnsi="Times New Roman" w:cs="Times New Roman"/>
          <w:sz w:val="21"/>
        </w:rPr>
      </w:pPr>
      <w:r>
        <w:rPr>
          <w:rFonts w:ascii="Times New Roman" w:hAnsi="Times New Roman" w:cs="Times New Roman"/>
          <w:sz w:val="21"/>
        </w:rPr>
        <w:t>《火力发电厂灰渣筑坝水工设计规范》DL/T 5339</w:t>
      </w:r>
    </w:p>
    <w:p w14:paraId="533D1038">
      <w:pPr>
        <w:spacing w:line="360" w:lineRule="auto"/>
        <w:ind w:left="720"/>
        <w:rPr>
          <w:rFonts w:ascii="Times New Roman" w:hAnsi="Times New Roman" w:cs="Times New Roman"/>
          <w:sz w:val="21"/>
        </w:rPr>
      </w:pPr>
      <w:r>
        <w:rPr>
          <w:rFonts w:ascii="Times New Roman" w:hAnsi="Times New Roman" w:cs="Times New Roman"/>
          <w:sz w:val="21"/>
        </w:rPr>
        <w:t>《林业苗圃工程设计规范》LYJ 128</w:t>
      </w:r>
    </w:p>
    <w:p w14:paraId="448CA9D8">
      <w:pPr>
        <w:spacing w:line="360" w:lineRule="auto"/>
        <w:ind w:left="720"/>
        <w:rPr>
          <w:rFonts w:ascii="Times New Roman" w:hAnsi="Times New Roman" w:cs="Times New Roman"/>
          <w:sz w:val="21"/>
        </w:rPr>
      </w:pPr>
      <w:r>
        <w:rPr>
          <w:rFonts w:ascii="Times New Roman" w:hAnsi="Times New Roman" w:cs="Times New Roman"/>
          <w:sz w:val="21"/>
        </w:rPr>
        <w:t>《浆砌石坝设计规范》SL 25</w:t>
      </w:r>
    </w:p>
    <w:p w14:paraId="33D7FE46">
      <w:pPr>
        <w:spacing w:line="360" w:lineRule="auto"/>
        <w:ind w:left="720"/>
        <w:rPr>
          <w:rFonts w:ascii="Times New Roman" w:hAnsi="Times New Roman" w:cs="Times New Roman"/>
          <w:sz w:val="21"/>
        </w:rPr>
      </w:pPr>
      <w:r>
        <w:rPr>
          <w:rFonts w:ascii="Times New Roman" w:hAnsi="Times New Roman" w:cs="Times New Roman"/>
          <w:sz w:val="21"/>
        </w:rPr>
        <w:t>《水利水电工程设计洪水计算规范》SL 44</w:t>
      </w:r>
    </w:p>
    <w:p w14:paraId="7D74FEA6">
      <w:pPr>
        <w:spacing w:line="360" w:lineRule="auto"/>
        <w:ind w:left="720"/>
        <w:rPr>
          <w:rFonts w:ascii="Times New Roman" w:hAnsi="Times New Roman" w:cs="Times New Roman"/>
          <w:sz w:val="21"/>
        </w:rPr>
      </w:pPr>
      <w:r>
        <w:rPr>
          <w:rFonts w:ascii="Times New Roman" w:hAnsi="Times New Roman" w:cs="Times New Roman"/>
          <w:sz w:val="21"/>
        </w:rPr>
        <w:t>《碾压式土石坝设计规范》SL 274</w:t>
      </w:r>
    </w:p>
    <w:p w14:paraId="7A8090DB">
      <w:pPr>
        <w:spacing w:line="360" w:lineRule="auto"/>
        <w:ind w:left="720"/>
        <w:rPr>
          <w:rFonts w:ascii="Times New Roman" w:hAnsi="Times New Roman" w:cs="Times New Roman"/>
          <w:sz w:val="21"/>
        </w:rPr>
      </w:pPr>
      <w:r>
        <w:rPr>
          <w:rFonts w:ascii="Times New Roman" w:hAnsi="Times New Roman" w:cs="Times New Roman"/>
          <w:sz w:val="21"/>
        </w:rPr>
        <w:t>《水利水电工程施工组织设计规范》SL 303</w:t>
      </w:r>
    </w:p>
    <w:p w14:paraId="24E42D28">
      <w:pPr>
        <w:spacing w:line="360" w:lineRule="auto"/>
        <w:ind w:left="720"/>
        <w:rPr>
          <w:rFonts w:ascii="Times New Roman" w:hAnsi="Times New Roman" w:cs="Times New Roman"/>
          <w:sz w:val="21"/>
        </w:rPr>
      </w:pPr>
      <w:r>
        <w:rPr>
          <w:rFonts w:ascii="Times New Roman" w:hAnsi="Times New Roman" w:cs="Times New Roman"/>
          <w:sz w:val="21"/>
        </w:rPr>
        <w:t>《岩溶地区水土流失综合治理技术标准》SL 461</w:t>
      </w:r>
    </w:p>
    <w:p w14:paraId="070ACE06">
      <w:pPr>
        <w:spacing w:line="360" w:lineRule="auto"/>
        <w:ind w:left="720"/>
        <w:rPr>
          <w:rFonts w:ascii="Times New Roman" w:hAnsi="Times New Roman" w:cs="Times New Roman"/>
          <w:sz w:val="21"/>
        </w:rPr>
      </w:pPr>
      <w:r>
        <w:rPr>
          <w:rFonts w:ascii="Times New Roman" w:hAnsi="Times New Roman" w:cs="Times New Roman"/>
          <w:sz w:val="21"/>
          <w:szCs w:val="21"/>
        </w:rPr>
        <w:t>《淤地坝技术规范》SL</w:t>
      </w:r>
      <w:r>
        <w:rPr>
          <w:rFonts w:ascii="Times New Roman" w:hAnsi="Times New Roman" w:cs="Times New Roman"/>
          <w:sz w:val="21"/>
        </w:rPr>
        <w:t>/T</w:t>
      </w:r>
      <w:r>
        <w:rPr>
          <w:rFonts w:ascii="Times New Roman" w:hAnsi="Times New Roman" w:cs="Times New Roman"/>
          <w:sz w:val="21"/>
          <w:szCs w:val="21"/>
        </w:rPr>
        <w:t xml:space="preserve"> 804</w:t>
      </w:r>
    </w:p>
    <w:p w14:paraId="4368D7C9">
      <w:pPr>
        <w:widowControl/>
        <w:jc w:val="left"/>
        <w:rPr>
          <w:rFonts w:ascii="Times New Roman" w:hAnsi="Times New Roman" w:cs="Times New Roman"/>
          <w:sz w:val="21"/>
        </w:rPr>
      </w:pPr>
    </w:p>
    <w:p w14:paraId="0EBAD198">
      <w:pPr>
        <w:jc w:val="center"/>
        <w:rPr>
          <w:rFonts w:ascii="Times New Roman" w:hAnsi="Times New Roman" w:cs="Times New Roman"/>
          <w:sz w:val="21"/>
          <w:szCs w:val="21"/>
        </w:rPr>
      </w:pPr>
    </w:p>
    <w:bookmarkEnd w:id="571"/>
    <w:bookmarkEnd w:id="572"/>
    <w:bookmarkEnd w:id="573"/>
    <w:bookmarkEnd w:id="574"/>
    <w:bookmarkEnd w:id="575"/>
    <w:bookmarkEnd w:id="576"/>
    <w:p w14:paraId="48DF7E2D">
      <w:pPr>
        <w:spacing w:line="360" w:lineRule="auto"/>
        <w:jc w:val="left"/>
        <w:rPr>
          <w:rFonts w:ascii="Times New Roman" w:hAnsi="Times New Roman" w:cs="Times New Roman"/>
          <w:sz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HiddenHorzOCR-Identity-H">
    <w:altName w:val="Times New Roman"/>
    <w:panose1 w:val="00000000000000000000"/>
    <w:charset w:val="00"/>
    <w:family w:val="auto"/>
    <w:pitch w:val="default"/>
    <w:sig w:usb0="00000000" w:usb1="00000000" w:usb2="00000000" w:usb3="00000000" w:csb0="00000000" w:csb1="00000000"/>
  </w:font>
  <w:font w:name="黑体_x0004_.">
    <w:altName w:val="黑体"/>
    <w:panose1 w:val="00000000000000000000"/>
    <w:charset w:val="86"/>
    <w:family w:val="swiss"/>
    <w:pitch w:val="default"/>
    <w:sig w:usb0="00000000" w:usb1="00000000" w:usb2="00000010" w:usb3="00000000" w:csb0="00040000" w:csb1="00000000"/>
  </w:font>
  <w:font w:name="Sim Hei+ 2">
    <w:altName w:val="宋体"/>
    <w:panose1 w:val="00000000000000000000"/>
    <w:charset w:val="86"/>
    <w:family w:val="swiss"/>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45BA0">
    <w:pPr>
      <w:framePr w:wrap="around" w:vAnchor="text" w:hAnchor="margin" w:xAlign="right" w:y="1"/>
      <w:tabs>
        <w:tab w:val="center" w:pos="4153"/>
        <w:tab w:val="right" w:pos="8306"/>
      </w:tabs>
      <w:snapToGrid w:val="0"/>
      <w:spacing w:line="360" w:lineRule="auto"/>
      <w:rPr>
        <w:rFonts w:cs="Times New Roman"/>
        <w:sz w:val="18"/>
        <w:szCs w:val="18"/>
      </w:rPr>
    </w:pPr>
    <w:r>
      <w:rPr>
        <w:rFonts w:cs="Times New Roman"/>
        <w:sz w:val="21"/>
      </w:rPr>
      <w:fldChar w:fldCharType="begin"/>
    </w:r>
    <w:r>
      <w:rPr>
        <w:rFonts w:cs="Times New Roman"/>
        <w:sz w:val="21"/>
      </w:rPr>
      <w:instrText xml:space="preserve">PAGE  </w:instrText>
    </w:r>
    <w:r>
      <w:rPr>
        <w:rFonts w:cs="Times New Roman"/>
        <w:sz w:val="21"/>
      </w:rPr>
      <w:fldChar w:fldCharType="separate"/>
    </w:r>
    <w:r>
      <w:rPr>
        <w:rFonts w:cs="Times New Roman"/>
        <w:sz w:val="21"/>
      </w:rPr>
      <w:t>1</w:t>
    </w:r>
    <w:r>
      <w:rPr>
        <w:rFonts w:cs="Times New Roman"/>
        <w:sz w:val="21"/>
      </w:rPr>
      <w:fldChar w:fldCharType="end"/>
    </w:r>
  </w:p>
  <w:p w14:paraId="67BBDEA3">
    <w:pPr>
      <w:tabs>
        <w:tab w:val="center" w:pos="4153"/>
        <w:tab w:val="right" w:pos="8306"/>
      </w:tabs>
      <w:snapToGrid w:val="0"/>
      <w:spacing w:line="360" w:lineRule="auto"/>
      <w:ind w:right="360"/>
      <w:jc w:val="center"/>
      <w:rPr>
        <w:rFonts w:cs="Times New Roman"/>
        <w:sz w:val="18"/>
        <w:szCs w:val="18"/>
      </w:rPr>
    </w:pPr>
    <w:r>
      <w:rPr>
        <w:rFonts w:ascii="宋体" w:hAnsi="宋体" w:cs="Times New Roman"/>
        <w:sz w:val="21"/>
        <w:szCs w:val="21"/>
      </w:rPr>
      <w:t>-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7A292">
    <w:pPr>
      <w:tabs>
        <w:tab w:val="center" w:pos="4153"/>
        <w:tab w:val="right" w:pos="8306"/>
      </w:tabs>
      <w:snapToGrid w:val="0"/>
      <w:spacing w:line="360" w:lineRule="auto"/>
      <w:jc w:val="center"/>
      <w:rPr>
        <w:rFonts w:cs="Times New Roman"/>
        <w:sz w:val="18"/>
        <w:szCs w:val="18"/>
      </w:rPr>
    </w:pPr>
    <w:r>
      <w:rPr>
        <w:rFonts w:cs="Times New Roman"/>
        <w:sz w:val="18"/>
        <w:szCs w:val="18"/>
      </w:rPr>
      <mc:AlternateContent>
        <mc:Choice Requires="wps">
          <w:drawing>
            <wp:anchor distT="0" distB="0" distL="0" distR="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6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C60177A">
                          <w:pPr>
                            <w:tabs>
                              <w:tab w:val="center" w:pos="4153"/>
                              <w:tab w:val="right" w:pos="8306"/>
                            </w:tabs>
                            <w:snapToGrid w:val="0"/>
                            <w:spacing w:line="360" w:lineRule="auto"/>
                            <w:jc w:val="center"/>
                            <w:rPr>
                              <w:rFonts w:cs="Times New Roman"/>
                              <w:sz w:val="18"/>
                              <w:szCs w:val="18"/>
                            </w:rPr>
                          </w:pPr>
                          <w:r>
                            <w:rPr>
                              <w:rFonts w:cs="Times New Roman"/>
                              <w:kern w:val="0"/>
                              <w:sz w:val="18"/>
                              <w:szCs w:val="18"/>
                            </w:rPr>
                            <w:fldChar w:fldCharType="begin"/>
                          </w:r>
                          <w:r>
                            <w:rPr>
                              <w:rFonts w:cs="Times New Roman"/>
                              <w:kern w:val="0"/>
                              <w:sz w:val="18"/>
                              <w:szCs w:val="18"/>
                            </w:rPr>
                            <w:instrText xml:space="preserve"> PAGE </w:instrText>
                          </w:r>
                          <w:r>
                            <w:rPr>
                              <w:rFonts w:cs="Times New Roman"/>
                              <w:kern w:val="0"/>
                              <w:sz w:val="18"/>
                              <w:szCs w:val="18"/>
                            </w:rPr>
                            <w:fldChar w:fldCharType="separate"/>
                          </w:r>
                          <w:r>
                            <w:rPr>
                              <w:rFonts w:cs="Times New Roman"/>
                              <w:kern w:val="0"/>
                              <w:sz w:val="18"/>
                              <w:szCs w:val="18"/>
                            </w:rPr>
                            <w:t>138</w:t>
                          </w:r>
                          <w:r>
                            <w:rPr>
                              <w:rFonts w:cs="Times New Roman"/>
                              <w:kern w:val="0"/>
                              <w:sz w:val="18"/>
                              <w:szCs w:val="18"/>
                            </w:rPr>
                            <w:fldChar w:fldCharType="end"/>
                          </w:r>
                        </w:p>
                      </w:txbxContent>
                    </wps:txbx>
                    <wps:bodyPr vert="horz" wrap="none" lIns="0" tIns="0" rIns="0" bIns="0" anchor="t">
                      <a:spAutoFit/>
                    </wps:bodyPr>
                  </wps:wsp>
                </a:graphicData>
              </a:graphic>
            </wp:anchor>
          </w:drawing>
        </mc:Choice>
        <mc:Fallback>
          <w:pict>
            <v:rect id="文本框 161" o:spid="_x0000_s1026" o:spt="1"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l1uVLQAAAABQEAAA8AAAAAAAAAAQAgAAAAIgAAAGRycy9kb3ducmV2Lnht&#10;bFBLAQIUABQAAAAIAIdO4kCpXPD2yAEAAJEDAAAOAAAAAAAAAAEAIAAAAB8BAABkcnMvZTJvRG9j&#10;LnhtbFBLBQYAAAAABgAGAFkBAABZBQAAAAA=&#10;">
              <v:fill on="f" focussize="0,0"/>
              <v:stroke on="f"/>
              <v:imagedata o:title=""/>
              <o:lock v:ext="edit" aspectratio="f"/>
              <v:textbox inset="0mm,0mm,0mm,0mm" style="mso-fit-shape-to-text:t;">
                <w:txbxContent>
                  <w:p w14:paraId="1C60177A">
                    <w:pPr>
                      <w:tabs>
                        <w:tab w:val="center" w:pos="4153"/>
                        <w:tab w:val="right" w:pos="8306"/>
                      </w:tabs>
                      <w:snapToGrid w:val="0"/>
                      <w:spacing w:line="360" w:lineRule="auto"/>
                      <w:jc w:val="center"/>
                      <w:rPr>
                        <w:rFonts w:cs="Times New Roman"/>
                        <w:sz w:val="18"/>
                        <w:szCs w:val="18"/>
                      </w:rPr>
                    </w:pPr>
                    <w:r>
                      <w:rPr>
                        <w:rFonts w:cs="Times New Roman"/>
                        <w:kern w:val="0"/>
                        <w:sz w:val="18"/>
                        <w:szCs w:val="18"/>
                      </w:rPr>
                      <w:fldChar w:fldCharType="begin"/>
                    </w:r>
                    <w:r>
                      <w:rPr>
                        <w:rFonts w:cs="Times New Roman"/>
                        <w:kern w:val="0"/>
                        <w:sz w:val="18"/>
                        <w:szCs w:val="18"/>
                      </w:rPr>
                      <w:instrText xml:space="preserve"> PAGE </w:instrText>
                    </w:r>
                    <w:r>
                      <w:rPr>
                        <w:rFonts w:cs="Times New Roman"/>
                        <w:kern w:val="0"/>
                        <w:sz w:val="18"/>
                        <w:szCs w:val="18"/>
                      </w:rPr>
                      <w:fldChar w:fldCharType="separate"/>
                    </w:r>
                    <w:r>
                      <w:rPr>
                        <w:rFonts w:cs="Times New Roman"/>
                        <w:kern w:val="0"/>
                        <w:sz w:val="18"/>
                        <w:szCs w:val="18"/>
                      </w:rPr>
                      <w:t>138</w:t>
                    </w:r>
                    <w:r>
                      <w:rPr>
                        <w:rFonts w:cs="Times New Roman"/>
                        <w:kern w:val="0"/>
                        <w:sz w:val="18"/>
                        <w:szCs w:val="18"/>
                      </w:rPr>
                      <w:fldChar w:fldCharType="end"/>
                    </w:r>
                  </w:p>
                </w:txbxContent>
              </v:textbox>
            </v:rect>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9E5CC">
    <w:pPr>
      <w:tabs>
        <w:tab w:val="center" w:pos="4153"/>
        <w:tab w:val="right" w:pos="8306"/>
      </w:tabs>
      <w:snapToGrid w:val="0"/>
      <w:spacing w:line="360" w:lineRule="auto"/>
      <w:jc w:val="center"/>
      <w:rPr>
        <w:rFonts w:cs="Times New Roman"/>
        <w:sz w:val="18"/>
        <w:szCs w:val="18"/>
      </w:rPr>
    </w:pPr>
    <w:r>
      <w:rPr>
        <w:rFonts w:cs="Times New Roman"/>
        <w:sz w:val="18"/>
        <w:szCs w:val="18"/>
      </w:rPr>
      <mc:AlternateContent>
        <mc:Choice Requires="wps">
          <w:drawing>
            <wp:anchor distT="0" distB="0" distL="0" distR="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7" name="文本框 16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A2C06EF">
                          <w:pPr>
                            <w:tabs>
                              <w:tab w:val="center" w:pos="4153"/>
                              <w:tab w:val="right" w:pos="8306"/>
                            </w:tabs>
                            <w:snapToGrid w:val="0"/>
                            <w:spacing w:line="360" w:lineRule="auto"/>
                            <w:jc w:val="center"/>
                            <w:rPr>
                              <w:rFonts w:ascii="Times New Roman" w:hAnsi="Times New Roman" w:cs="Times New Roman"/>
                              <w:sz w:val="18"/>
                              <w:szCs w:val="18"/>
                            </w:rPr>
                          </w:pPr>
                          <w:r>
                            <w:rPr>
                              <w:rFonts w:ascii="Times New Roman" w:hAnsi="Times New Roman" w:cs="Times New Roman"/>
                              <w:kern w:val="0"/>
                              <w:sz w:val="18"/>
                              <w:szCs w:val="18"/>
                            </w:rPr>
                            <w:fldChar w:fldCharType="begin"/>
                          </w:r>
                          <w:r>
                            <w:rPr>
                              <w:rFonts w:ascii="Times New Roman" w:hAnsi="Times New Roman" w:cs="Times New Roman"/>
                              <w:kern w:val="0"/>
                              <w:sz w:val="18"/>
                              <w:szCs w:val="18"/>
                            </w:rPr>
                            <w:instrText xml:space="preserve"> PAGE </w:instrText>
                          </w:r>
                          <w:r>
                            <w:rPr>
                              <w:rFonts w:ascii="Times New Roman" w:hAnsi="Times New Roman" w:cs="Times New Roman"/>
                              <w:kern w:val="0"/>
                              <w:sz w:val="18"/>
                              <w:szCs w:val="18"/>
                            </w:rPr>
                            <w:fldChar w:fldCharType="separate"/>
                          </w:r>
                          <w:r>
                            <w:rPr>
                              <w:rFonts w:ascii="Times New Roman" w:hAnsi="Times New Roman" w:cs="Times New Roman"/>
                              <w:kern w:val="0"/>
                              <w:sz w:val="18"/>
                              <w:szCs w:val="18"/>
                            </w:rPr>
                            <w:t>140</w:t>
                          </w:r>
                          <w:r>
                            <w:rPr>
                              <w:rFonts w:ascii="Times New Roman" w:hAnsi="Times New Roman" w:cs="Times New Roman"/>
                              <w:kern w:val="0"/>
                              <w:sz w:val="18"/>
                              <w:szCs w:val="18"/>
                            </w:rPr>
                            <w:fldChar w:fldCharType="end"/>
                          </w:r>
                        </w:p>
                      </w:txbxContent>
                    </wps:txbx>
                    <wps:bodyPr vert="horz" wrap="none" lIns="0" tIns="0" rIns="0" bIns="0" anchor="t">
                      <a:spAutoFit/>
                    </wps:bodyPr>
                  </wps:wsp>
                </a:graphicData>
              </a:graphic>
            </wp:anchor>
          </w:drawing>
        </mc:Choice>
        <mc:Fallback>
          <w:pict>
            <v:rect id="文本框 161" o:spid="_x0000_s1026" o:spt="1"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ND1i38wBAACUAwAADgAAAAAAAAABACAAAAAfAQAAZHJzL2Uy&#10;b0RvYy54bWxQSwUGAAAAAAYABgBZAQAAXQUAAAAA&#10;">
              <v:fill on="f" focussize="0,0"/>
              <v:stroke on="f"/>
              <v:imagedata o:title=""/>
              <o:lock v:ext="edit" aspectratio="f"/>
              <v:textbox inset="0mm,0mm,0mm,0mm" style="mso-fit-shape-to-text:t;">
                <w:txbxContent>
                  <w:p w14:paraId="4A2C06EF">
                    <w:pPr>
                      <w:tabs>
                        <w:tab w:val="center" w:pos="4153"/>
                        <w:tab w:val="right" w:pos="8306"/>
                      </w:tabs>
                      <w:snapToGrid w:val="0"/>
                      <w:spacing w:line="360" w:lineRule="auto"/>
                      <w:jc w:val="center"/>
                      <w:rPr>
                        <w:rFonts w:ascii="Times New Roman" w:hAnsi="Times New Roman" w:cs="Times New Roman"/>
                        <w:sz w:val="18"/>
                        <w:szCs w:val="18"/>
                      </w:rPr>
                    </w:pPr>
                    <w:r>
                      <w:rPr>
                        <w:rFonts w:ascii="Times New Roman" w:hAnsi="Times New Roman" w:cs="Times New Roman"/>
                        <w:kern w:val="0"/>
                        <w:sz w:val="18"/>
                        <w:szCs w:val="18"/>
                      </w:rPr>
                      <w:fldChar w:fldCharType="begin"/>
                    </w:r>
                    <w:r>
                      <w:rPr>
                        <w:rFonts w:ascii="Times New Roman" w:hAnsi="Times New Roman" w:cs="Times New Roman"/>
                        <w:kern w:val="0"/>
                        <w:sz w:val="18"/>
                        <w:szCs w:val="18"/>
                      </w:rPr>
                      <w:instrText xml:space="preserve"> PAGE </w:instrText>
                    </w:r>
                    <w:r>
                      <w:rPr>
                        <w:rFonts w:ascii="Times New Roman" w:hAnsi="Times New Roman" w:cs="Times New Roman"/>
                        <w:kern w:val="0"/>
                        <w:sz w:val="18"/>
                        <w:szCs w:val="18"/>
                      </w:rPr>
                      <w:fldChar w:fldCharType="separate"/>
                    </w:r>
                    <w:r>
                      <w:rPr>
                        <w:rFonts w:ascii="Times New Roman" w:hAnsi="Times New Roman" w:cs="Times New Roman"/>
                        <w:kern w:val="0"/>
                        <w:sz w:val="18"/>
                        <w:szCs w:val="18"/>
                      </w:rPr>
                      <w:t>140</w:t>
                    </w:r>
                    <w:r>
                      <w:rPr>
                        <w:rFonts w:ascii="Times New Roman" w:hAnsi="Times New Roman" w:cs="Times New Roman"/>
                        <w:kern w:val="0"/>
                        <w:sz w:val="18"/>
                        <w:szCs w:val="1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ED4CF">
    <w:pPr>
      <w:framePr w:wrap="around" w:vAnchor="text" w:hAnchor="margin" w:xAlign="right" w:y="1"/>
      <w:tabs>
        <w:tab w:val="center" w:pos="4153"/>
        <w:tab w:val="right" w:pos="8306"/>
      </w:tabs>
      <w:snapToGrid w:val="0"/>
      <w:spacing w:line="360" w:lineRule="auto"/>
      <w:rPr>
        <w:rFonts w:cs="Times New Roman"/>
        <w:sz w:val="18"/>
        <w:szCs w:val="18"/>
      </w:rPr>
    </w:pPr>
    <w:r>
      <w:rPr>
        <w:rFonts w:cs="Times New Roman"/>
        <w:sz w:val="21"/>
      </w:rPr>
      <w:fldChar w:fldCharType="begin"/>
    </w:r>
    <w:r>
      <w:rPr>
        <w:rFonts w:cs="Times New Roman"/>
        <w:sz w:val="21"/>
      </w:rPr>
      <w:instrText xml:space="preserve">PAGE  </w:instrText>
    </w:r>
    <w:r>
      <w:rPr>
        <w:rFonts w:cs="Times New Roman"/>
        <w:sz w:val="21"/>
      </w:rPr>
      <w:fldChar w:fldCharType="end"/>
    </w:r>
  </w:p>
  <w:p w14:paraId="280C06AE">
    <w:pPr>
      <w:tabs>
        <w:tab w:val="center" w:pos="4153"/>
        <w:tab w:val="right" w:pos="8306"/>
      </w:tabs>
      <w:snapToGrid w:val="0"/>
      <w:spacing w:line="360" w:lineRule="auto"/>
      <w:ind w:right="360" w:firstLine="360"/>
      <w:rPr>
        <w:rFonts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08B11">
    <w:pPr>
      <w:tabs>
        <w:tab w:val="center" w:pos="4153"/>
        <w:tab w:val="right" w:pos="8306"/>
      </w:tabs>
      <w:snapToGrid w:val="0"/>
      <w:spacing w:line="360" w:lineRule="auto"/>
      <w:jc w:val="center"/>
      <w:rPr>
        <w:rFonts w:cs="Times New Roman"/>
        <w:sz w:val="18"/>
        <w:szCs w:val="18"/>
      </w:rPr>
    </w:pPr>
    <w:r>
      <w:rPr>
        <w:rFonts w:cs="Times New Roman"/>
        <w:sz w:val="18"/>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1C4815E">
                          <w:pPr>
                            <w:tabs>
                              <w:tab w:val="center" w:pos="4153"/>
                              <w:tab w:val="right" w:pos="8306"/>
                            </w:tabs>
                            <w:snapToGrid w:val="0"/>
                            <w:spacing w:line="360" w:lineRule="auto"/>
                            <w:jc w:val="center"/>
                            <w:rPr>
                              <w:rFonts w:cs="Times New Roman"/>
                              <w:sz w:val="21"/>
                            </w:rPr>
                          </w:pPr>
                          <w:r>
                            <w:rPr>
                              <w:rFonts w:cs="Times New Roman"/>
                              <w:kern w:val="0"/>
                              <w:sz w:val="18"/>
                              <w:szCs w:val="18"/>
                            </w:rPr>
                            <w:fldChar w:fldCharType="begin"/>
                          </w:r>
                          <w:r>
                            <w:rPr>
                              <w:rFonts w:cs="Times New Roman"/>
                              <w:kern w:val="0"/>
                              <w:sz w:val="18"/>
                              <w:szCs w:val="18"/>
                            </w:rPr>
                            <w:instrText xml:space="preserve"> PAGE </w:instrText>
                          </w:r>
                          <w:r>
                            <w:rPr>
                              <w:rFonts w:cs="Times New Roman"/>
                              <w:kern w:val="0"/>
                              <w:sz w:val="18"/>
                              <w:szCs w:val="18"/>
                            </w:rPr>
                            <w:fldChar w:fldCharType="separate"/>
                          </w:r>
                          <w:r>
                            <w:rPr>
                              <w:rFonts w:cs="Times New Roman"/>
                              <w:kern w:val="0"/>
                              <w:sz w:val="18"/>
                              <w:szCs w:val="18"/>
                            </w:rPr>
                            <w:t>2</w:t>
                          </w:r>
                          <w:r>
                            <w:rPr>
                              <w:rFonts w:cs="Times New Roman"/>
                              <w:kern w:val="0"/>
                              <w:sz w:val="18"/>
                              <w:szCs w:val="18"/>
                            </w:rPr>
                            <w:fldChar w:fldCharType="end"/>
                          </w:r>
                        </w:p>
                      </w:txbxContent>
                    </wps:txbx>
                    <wps:bodyPr vert="horz" wrap="none" lIns="0" tIns="0" rIns="0" bIns="0" anchor="t">
                      <a:spAutoFit/>
                    </wps:bodyPr>
                  </wps:wsp>
                </a:graphicData>
              </a:graphic>
            </wp:anchor>
          </w:drawing>
        </mc:Choice>
        <mc:Fallback>
          <w:pict>
            <v:rect id="文本框 29"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XW5UtAAAAAFAQAADwAAAAAAAAABACAAAAAiAAAAZHJzL2Rvd25yZXYueG1s&#10;UEsBAhQAFAAAAAgAh07iQOaSdRvHAQAAkAMAAA4AAAAAAAAAAQAgAAAAHwEAAGRycy9lMm9Eb2Mu&#10;eG1sUEsFBgAAAAAGAAYAWQEAAFgFAAAAAA==&#10;">
              <v:fill on="f" focussize="0,0"/>
              <v:stroke on="f"/>
              <v:imagedata o:title=""/>
              <o:lock v:ext="edit" aspectratio="f"/>
              <v:textbox inset="0mm,0mm,0mm,0mm" style="mso-fit-shape-to-text:t;">
                <w:txbxContent>
                  <w:p w14:paraId="71C4815E">
                    <w:pPr>
                      <w:tabs>
                        <w:tab w:val="center" w:pos="4153"/>
                        <w:tab w:val="right" w:pos="8306"/>
                      </w:tabs>
                      <w:snapToGrid w:val="0"/>
                      <w:spacing w:line="360" w:lineRule="auto"/>
                      <w:jc w:val="center"/>
                      <w:rPr>
                        <w:rFonts w:cs="Times New Roman"/>
                        <w:sz w:val="21"/>
                      </w:rPr>
                    </w:pPr>
                    <w:r>
                      <w:rPr>
                        <w:rFonts w:cs="Times New Roman"/>
                        <w:kern w:val="0"/>
                        <w:sz w:val="18"/>
                        <w:szCs w:val="18"/>
                      </w:rPr>
                      <w:fldChar w:fldCharType="begin"/>
                    </w:r>
                    <w:r>
                      <w:rPr>
                        <w:rFonts w:cs="Times New Roman"/>
                        <w:kern w:val="0"/>
                        <w:sz w:val="18"/>
                        <w:szCs w:val="18"/>
                      </w:rPr>
                      <w:instrText xml:space="preserve"> PAGE </w:instrText>
                    </w:r>
                    <w:r>
                      <w:rPr>
                        <w:rFonts w:cs="Times New Roman"/>
                        <w:kern w:val="0"/>
                        <w:sz w:val="18"/>
                        <w:szCs w:val="18"/>
                      </w:rPr>
                      <w:fldChar w:fldCharType="separate"/>
                    </w:r>
                    <w:r>
                      <w:rPr>
                        <w:rFonts w:cs="Times New Roman"/>
                        <w:kern w:val="0"/>
                        <w:sz w:val="18"/>
                        <w:szCs w:val="18"/>
                      </w:rPr>
                      <w:t>2</w:t>
                    </w:r>
                    <w:r>
                      <w:rPr>
                        <w:rFonts w:cs="Times New Roman"/>
                        <w:kern w:val="0"/>
                        <w:sz w:val="18"/>
                        <w:szCs w:val="18"/>
                      </w:rP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9DA7A">
    <w:pPr>
      <w:tabs>
        <w:tab w:val="center" w:pos="4153"/>
        <w:tab w:val="right" w:pos="8306"/>
      </w:tabs>
      <w:snapToGrid w:val="0"/>
      <w:spacing w:line="360" w:lineRule="auto"/>
      <w:jc w:val="center"/>
      <w:rPr>
        <w:rFonts w:cs="Times New Roman"/>
        <w:sz w:val="18"/>
        <w:szCs w:val="18"/>
      </w:rPr>
    </w:pPr>
    <w:r>
      <w:rPr>
        <w:rFonts w:cs="Times New Roman"/>
        <w:sz w:val="18"/>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5" name="文本框 2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445CFB0">
                          <w:pPr>
                            <w:tabs>
                              <w:tab w:val="center" w:pos="4153"/>
                              <w:tab w:val="right" w:pos="8306"/>
                            </w:tabs>
                            <w:snapToGrid w:val="0"/>
                            <w:spacing w:line="360" w:lineRule="auto"/>
                            <w:jc w:val="center"/>
                            <w:rPr>
                              <w:rFonts w:ascii="Times New Roman" w:hAnsi="Times New Roman" w:cs="Times New Roman"/>
                              <w:sz w:val="21"/>
                            </w:rPr>
                          </w:pPr>
                          <w:r>
                            <w:rPr>
                              <w:rFonts w:ascii="Times New Roman" w:hAnsi="Times New Roman" w:cs="Times New Roman"/>
                              <w:kern w:val="0"/>
                              <w:sz w:val="18"/>
                              <w:szCs w:val="18"/>
                            </w:rPr>
                            <w:fldChar w:fldCharType="begin"/>
                          </w:r>
                          <w:r>
                            <w:rPr>
                              <w:rFonts w:ascii="Times New Roman" w:hAnsi="Times New Roman" w:cs="Times New Roman"/>
                              <w:kern w:val="0"/>
                              <w:sz w:val="18"/>
                              <w:szCs w:val="18"/>
                            </w:rPr>
                            <w:instrText xml:space="preserve"> PAGE </w:instrText>
                          </w:r>
                          <w:r>
                            <w:rPr>
                              <w:rFonts w:ascii="Times New Roman" w:hAnsi="Times New Roman" w:cs="Times New Roman"/>
                              <w:kern w:val="0"/>
                              <w:sz w:val="18"/>
                              <w:szCs w:val="18"/>
                            </w:rPr>
                            <w:fldChar w:fldCharType="separate"/>
                          </w:r>
                          <w:r>
                            <w:rPr>
                              <w:rFonts w:ascii="Times New Roman" w:hAnsi="Times New Roman" w:cs="Times New Roman"/>
                              <w:kern w:val="0"/>
                              <w:sz w:val="18"/>
                              <w:szCs w:val="18"/>
                            </w:rPr>
                            <w:t>5</w:t>
                          </w:r>
                          <w:r>
                            <w:rPr>
                              <w:rFonts w:ascii="Times New Roman" w:hAnsi="Times New Roman" w:cs="Times New Roman"/>
                              <w:kern w:val="0"/>
                              <w:sz w:val="18"/>
                              <w:szCs w:val="18"/>
                            </w:rPr>
                            <w:fldChar w:fldCharType="end"/>
                          </w:r>
                        </w:p>
                      </w:txbxContent>
                    </wps:txbx>
                    <wps:bodyPr vert="horz" wrap="none" lIns="0" tIns="0" rIns="0" bIns="0" anchor="t">
                      <a:spAutoFit/>
                    </wps:bodyPr>
                  </wps:wsp>
                </a:graphicData>
              </a:graphic>
            </wp:anchor>
          </w:drawing>
        </mc:Choice>
        <mc:Fallback>
          <w:pict>
            <v:rect id="文本框 29"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PiGapXKAQAAkwMAAA4AAAAAAAAAAQAgAAAAHwEAAGRycy9lMm9E&#10;b2MueG1sUEsFBgAAAAAGAAYAWQEAAFsFAAAAAA==&#10;">
              <v:fill on="f" focussize="0,0"/>
              <v:stroke on="f"/>
              <v:imagedata o:title=""/>
              <o:lock v:ext="edit" aspectratio="f"/>
              <v:textbox inset="0mm,0mm,0mm,0mm" style="mso-fit-shape-to-text:t;">
                <w:txbxContent>
                  <w:p w14:paraId="5445CFB0">
                    <w:pPr>
                      <w:tabs>
                        <w:tab w:val="center" w:pos="4153"/>
                        <w:tab w:val="right" w:pos="8306"/>
                      </w:tabs>
                      <w:snapToGrid w:val="0"/>
                      <w:spacing w:line="360" w:lineRule="auto"/>
                      <w:jc w:val="center"/>
                      <w:rPr>
                        <w:rFonts w:ascii="Times New Roman" w:hAnsi="Times New Roman" w:cs="Times New Roman"/>
                        <w:sz w:val="21"/>
                      </w:rPr>
                    </w:pPr>
                    <w:r>
                      <w:rPr>
                        <w:rFonts w:ascii="Times New Roman" w:hAnsi="Times New Roman" w:cs="Times New Roman"/>
                        <w:kern w:val="0"/>
                        <w:sz w:val="18"/>
                        <w:szCs w:val="18"/>
                      </w:rPr>
                      <w:fldChar w:fldCharType="begin"/>
                    </w:r>
                    <w:r>
                      <w:rPr>
                        <w:rFonts w:ascii="Times New Roman" w:hAnsi="Times New Roman" w:cs="Times New Roman"/>
                        <w:kern w:val="0"/>
                        <w:sz w:val="18"/>
                        <w:szCs w:val="18"/>
                      </w:rPr>
                      <w:instrText xml:space="preserve"> PAGE </w:instrText>
                    </w:r>
                    <w:r>
                      <w:rPr>
                        <w:rFonts w:ascii="Times New Roman" w:hAnsi="Times New Roman" w:cs="Times New Roman"/>
                        <w:kern w:val="0"/>
                        <w:sz w:val="18"/>
                        <w:szCs w:val="18"/>
                      </w:rPr>
                      <w:fldChar w:fldCharType="separate"/>
                    </w:r>
                    <w:r>
                      <w:rPr>
                        <w:rFonts w:ascii="Times New Roman" w:hAnsi="Times New Roman" w:cs="Times New Roman"/>
                        <w:kern w:val="0"/>
                        <w:sz w:val="18"/>
                        <w:szCs w:val="18"/>
                      </w:rPr>
                      <w:t>5</w:t>
                    </w:r>
                    <w:r>
                      <w:rPr>
                        <w:rFonts w:ascii="Times New Roman" w:hAnsi="Times New Roman" w:cs="Times New Roman"/>
                        <w:kern w:val="0"/>
                        <w:sz w:val="18"/>
                        <w:szCs w:val="18"/>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2EA14">
    <w:pPr>
      <w:tabs>
        <w:tab w:val="center" w:pos="4153"/>
        <w:tab w:val="right" w:pos="8306"/>
      </w:tabs>
      <w:snapToGrid w:val="0"/>
      <w:spacing w:line="360" w:lineRule="auto"/>
      <w:jc w:val="center"/>
      <w:rPr>
        <w:rFonts w:cs="Times New Roman"/>
        <w:sz w:val="18"/>
        <w:szCs w:val="18"/>
      </w:rPr>
    </w:pPr>
    <w:r>
      <w:rPr>
        <w:rFonts w:cs="Times New Roman"/>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84A17D7">
                          <w:pPr>
                            <w:tabs>
                              <w:tab w:val="center" w:pos="4153"/>
                              <w:tab w:val="right" w:pos="8306"/>
                            </w:tabs>
                            <w:snapToGrid w:val="0"/>
                            <w:spacing w:line="360" w:lineRule="auto"/>
                            <w:jc w:val="center"/>
                            <w:rPr>
                              <w:rFonts w:ascii="Times New Roman" w:hAnsi="Times New Roman" w:cs="Times New Roman"/>
                              <w:sz w:val="21"/>
                            </w:rPr>
                          </w:pPr>
                          <w:r>
                            <w:rPr>
                              <w:rFonts w:ascii="Times New Roman" w:hAnsi="Times New Roman" w:cs="Times New Roman"/>
                              <w:kern w:val="0"/>
                              <w:sz w:val="18"/>
                              <w:szCs w:val="18"/>
                            </w:rPr>
                            <w:fldChar w:fldCharType="begin"/>
                          </w:r>
                          <w:r>
                            <w:rPr>
                              <w:rFonts w:ascii="Times New Roman" w:hAnsi="Times New Roman" w:cs="Times New Roman"/>
                              <w:kern w:val="0"/>
                              <w:sz w:val="18"/>
                              <w:szCs w:val="18"/>
                            </w:rPr>
                            <w:instrText xml:space="preserve"> PAGE </w:instrText>
                          </w:r>
                          <w:r>
                            <w:rPr>
                              <w:rFonts w:ascii="Times New Roman" w:hAnsi="Times New Roman" w:cs="Times New Roman"/>
                              <w:kern w:val="0"/>
                              <w:sz w:val="18"/>
                              <w:szCs w:val="18"/>
                            </w:rPr>
                            <w:fldChar w:fldCharType="separate"/>
                          </w:r>
                          <w:r>
                            <w:rPr>
                              <w:rFonts w:ascii="Times New Roman" w:hAnsi="Times New Roman" w:cs="Times New Roman"/>
                              <w:kern w:val="0"/>
                              <w:sz w:val="18"/>
                              <w:szCs w:val="18"/>
                            </w:rPr>
                            <w:t>42</w:t>
                          </w:r>
                          <w:r>
                            <w:rPr>
                              <w:rFonts w:ascii="Times New Roman" w:hAnsi="Times New Roman" w:cs="Times New Roman"/>
                              <w:kern w:val="0"/>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O+oYzAgAAZw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MO+oYzAgAAZwQAAA4AAAAAAAAAAQAgAAAAHwEAAGRycy9lMm9Eb2MueG1sUEsF&#10;BgAAAAAGAAYAWQEAAMQFAAAAAA==&#10;">
              <v:fill on="f" focussize="0,0"/>
              <v:stroke on="f" weight="0.5pt"/>
              <v:imagedata o:title=""/>
              <o:lock v:ext="edit" aspectratio="f"/>
              <v:textbox inset="0mm,0mm,0mm,0mm" style="mso-fit-shape-to-text:t;">
                <w:txbxContent>
                  <w:p w14:paraId="084A17D7">
                    <w:pPr>
                      <w:tabs>
                        <w:tab w:val="center" w:pos="4153"/>
                        <w:tab w:val="right" w:pos="8306"/>
                      </w:tabs>
                      <w:snapToGrid w:val="0"/>
                      <w:spacing w:line="360" w:lineRule="auto"/>
                      <w:jc w:val="center"/>
                      <w:rPr>
                        <w:rFonts w:ascii="Times New Roman" w:hAnsi="Times New Roman" w:cs="Times New Roman"/>
                        <w:sz w:val="21"/>
                      </w:rPr>
                    </w:pPr>
                    <w:r>
                      <w:rPr>
                        <w:rFonts w:ascii="Times New Roman" w:hAnsi="Times New Roman" w:cs="Times New Roman"/>
                        <w:kern w:val="0"/>
                        <w:sz w:val="18"/>
                        <w:szCs w:val="18"/>
                      </w:rPr>
                      <w:fldChar w:fldCharType="begin"/>
                    </w:r>
                    <w:r>
                      <w:rPr>
                        <w:rFonts w:ascii="Times New Roman" w:hAnsi="Times New Roman" w:cs="Times New Roman"/>
                        <w:kern w:val="0"/>
                        <w:sz w:val="18"/>
                        <w:szCs w:val="18"/>
                      </w:rPr>
                      <w:instrText xml:space="preserve"> PAGE </w:instrText>
                    </w:r>
                    <w:r>
                      <w:rPr>
                        <w:rFonts w:ascii="Times New Roman" w:hAnsi="Times New Roman" w:cs="Times New Roman"/>
                        <w:kern w:val="0"/>
                        <w:sz w:val="18"/>
                        <w:szCs w:val="18"/>
                      </w:rPr>
                      <w:fldChar w:fldCharType="separate"/>
                    </w:r>
                    <w:r>
                      <w:rPr>
                        <w:rFonts w:ascii="Times New Roman" w:hAnsi="Times New Roman" w:cs="Times New Roman"/>
                        <w:kern w:val="0"/>
                        <w:sz w:val="18"/>
                        <w:szCs w:val="18"/>
                      </w:rPr>
                      <w:t>42</w:t>
                    </w:r>
                    <w:r>
                      <w:rPr>
                        <w:rFonts w:ascii="Times New Roman" w:hAnsi="Times New Roman" w:cs="Times New Roman"/>
                        <w:kern w:val="0"/>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04E1E">
    <w:pPr>
      <w:tabs>
        <w:tab w:val="center" w:pos="4153"/>
        <w:tab w:val="right" w:pos="8306"/>
      </w:tabs>
      <w:snapToGrid w:val="0"/>
      <w:spacing w:line="360" w:lineRule="auto"/>
      <w:jc w:val="center"/>
      <w:rPr>
        <w:rFonts w:cs="Times New Roman"/>
        <w:sz w:val="18"/>
        <w:szCs w:val="18"/>
      </w:rPr>
    </w:pPr>
    <w:r>
      <w:rPr>
        <w:rFonts w:cs="Times New Roman"/>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C031CA6">
                          <w:pPr>
                            <w:tabs>
                              <w:tab w:val="center" w:pos="4153"/>
                              <w:tab w:val="right" w:pos="8306"/>
                            </w:tabs>
                            <w:snapToGrid w:val="0"/>
                            <w:spacing w:line="360" w:lineRule="auto"/>
                            <w:jc w:val="center"/>
                            <w:rPr>
                              <w:rFonts w:ascii="Times New Roman" w:hAnsi="Times New Roman" w:cs="Times New Roman"/>
                              <w:sz w:val="21"/>
                            </w:rPr>
                          </w:pPr>
                          <w:r>
                            <w:rPr>
                              <w:rFonts w:ascii="Times New Roman" w:hAnsi="Times New Roman" w:cs="Times New Roman"/>
                              <w:kern w:val="0"/>
                              <w:sz w:val="18"/>
                              <w:szCs w:val="18"/>
                            </w:rPr>
                            <w:fldChar w:fldCharType="begin"/>
                          </w:r>
                          <w:r>
                            <w:rPr>
                              <w:rFonts w:ascii="Times New Roman" w:hAnsi="Times New Roman" w:cs="Times New Roman"/>
                              <w:kern w:val="0"/>
                              <w:sz w:val="18"/>
                              <w:szCs w:val="18"/>
                            </w:rPr>
                            <w:instrText xml:space="preserve"> PAGE </w:instrText>
                          </w:r>
                          <w:r>
                            <w:rPr>
                              <w:rFonts w:ascii="Times New Roman" w:hAnsi="Times New Roman" w:cs="Times New Roman"/>
                              <w:kern w:val="0"/>
                              <w:sz w:val="18"/>
                              <w:szCs w:val="18"/>
                            </w:rPr>
                            <w:fldChar w:fldCharType="separate"/>
                          </w:r>
                          <w:r>
                            <w:rPr>
                              <w:rFonts w:ascii="Times New Roman" w:hAnsi="Times New Roman" w:cs="Times New Roman"/>
                              <w:kern w:val="0"/>
                              <w:sz w:val="18"/>
                              <w:szCs w:val="18"/>
                            </w:rPr>
                            <w:t>57</w:t>
                          </w:r>
                          <w:r>
                            <w:rPr>
                              <w:rFonts w:ascii="Times New Roman" w:hAnsi="Times New Roman" w:cs="Times New Roman"/>
                              <w:kern w:val="0"/>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7C031CA6">
                    <w:pPr>
                      <w:tabs>
                        <w:tab w:val="center" w:pos="4153"/>
                        <w:tab w:val="right" w:pos="8306"/>
                      </w:tabs>
                      <w:snapToGrid w:val="0"/>
                      <w:spacing w:line="360" w:lineRule="auto"/>
                      <w:jc w:val="center"/>
                      <w:rPr>
                        <w:rFonts w:ascii="Times New Roman" w:hAnsi="Times New Roman" w:cs="Times New Roman"/>
                        <w:sz w:val="21"/>
                      </w:rPr>
                    </w:pPr>
                    <w:r>
                      <w:rPr>
                        <w:rFonts w:ascii="Times New Roman" w:hAnsi="Times New Roman" w:cs="Times New Roman"/>
                        <w:kern w:val="0"/>
                        <w:sz w:val="18"/>
                        <w:szCs w:val="18"/>
                      </w:rPr>
                      <w:fldChar w:fldCharType="begin"/>
                    </w:r>
                    <w:r>
                      <w:rPr>
                        <w:rFonts w:ascii="Times New Roman" w:hAnsi="Times New Roman" w:cs="Times New Roman"/>
                        <w:kern w:val="0"/>
                        <w:sz w:val="18"/>
                        <w:szCs w:val="18"/>
                      </w:rPr>
                      <w:instrText xml:space="preserve"> PAGE </w:instrText>
                    </w:r>
                    <w:r>
                      <w:rPr>
                        <w:rFonts w:ascii="Times New Roman" w:hAnsi="Times New Roman" w:cs="Times New Roman"/>
                        <w:kern w:val="0"/>
                        <w:sz w:val="18"/>
                        <w:szCs w:val="18"/>
                      </w:rPr>
                      <w:fldChar w:fldCharType="separate"/>
                    </w:r>
                    <w:r>
                      <w:rPr>
                        <w:rFonts w:ascii="Times New Roman" w:hAnsi="Times New Roman" w:cs="Times New Roman"/>
                        <w:kern w:val="0"/>
                        <w:sz w:val="18"/>
                        <w:szCs w:val="18"/>
                      </w:rPr>
                      <w:t>57</w:t>
                    </w:r>
                    <w:r>
                      <w:rPr>
                        <w:rFonts w:ascii="Times New Roman" w:hAnsi="Times New Roman" w:cs="Times New Roman"/>
                        <w:kern w:val="0"/>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8AE07">
    <w:pPr>
      <w:tabs>
        <w:tab w:val="center" w:pos="4153"/>
        <w:tab w:val="right" w:pos="8306"/>
      </w:tabs>
      <w:snapToGrid w:val="0"/>
      <w:spacing w:line="360" w:lineRule="auto"/>
      <w:jc w:val="center"/>
      <w:rPr>
        <w:rFonts w:cs="Times New Roman"/>
        <w:sz w:val="18"/>
        <w:szCs w:val="18"/>
      </w:rPr>
    </w:pPr>
    <w:r>
      <w:rPr>
        <w:rFonts w:cs="Times New Roman"/>
        <w:sz w:val="21"/>
      </w:rPr>
      <mc:AlternateContent>
        <mc:Choice Requires="wps">
          <w:drawing>
            <wp:anchor distT="0" distB="0" distL="0" distR="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6" name="文本框 12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DC24B3A">
                          <w:pPr>
                            <w:tabs>
                              <w:tab w:val="center" w:pos="4153"/>
                              <w:tab w:val="right" w:pos="8306"/>
                            </w:tabs>
                            <w:snapToGrid w:val="0"/>
                            <w:spacing w:line="360" w:lineRule="auto"/>
                            <w:jc w:val="center"/>
                            <w:rPr>
                              <w:rFonts w:cs="Times New Roman"/>
                              <w:sz w:val="21"/>
                            </w:rPr>
                          </w:pPr>
                          <w:r>
                            <w:rPr>
                              <w:rFonts w:cs="Times New Roman"/>
                              <w:kern w:val="0"/>
                              <w:sz w:val="18"/>
                              <w:szCs w:val="18"/>
                            </w:rPr>
                            <w:fldChar w:fldCharType="begin"/>
                          </w:r>
                          <w:r>
                            <w:rPr>
                              <w:rFonts w:cs="Times New Roman"/>
                              <w:kern w:val="0"/>
                              <w:sz w:val="18"/>
                              <w:szCs w:val="18"/>
                            </w:rPr>
                            <w:instrText xml:space="preserve"> PAGE </w:instrText>
                          </w:r>
                          <w:r>
                            <w:rPr>
                              <w:rFonts w:cs="Times New Roman"/>
                              <w:kern w:val="0"/>
                              <w:sz w:val="18"/>
                              <w:szCs w:val="18"/>
                            </w:rPr>
                            <w:fldChar w:fldCharType="separate"/>
                          </w:r>
                          <w:r>
                            <w:rPr>
                              <w:rFonts w:cs="Times New Roman"/>
                              <w:kern w:val="0"/>
                              <w:sz w:val="18"/>
                              <w:szCs w:val="18"/>
                            </w:rPr>
                            <w:t>118</w:t>
                          </w:r>
                          <w:r>
                            <w:rPr>
                              <w:rFonts w:cs="Times New Roman"/>
                              <w:kern w:val="0"/>
                              <w:sz w:val="18"/>
                              <w:szCs w:val="18"/>
                            </w:rPr>
                            <w:fldChar w:fldCharType="end"/>
                          </w:r>
                        </w:p>
                      </w:txbxContent>
                    </wps:txbx>
                    <wps:bodyPr vert="horz" wrap="none" lIns="0" tIns="0" rIns="0" bIns="0" anchor="t">
                      <a:spAutoFit/>
                    </wps:bodyPr>
                  </wps:wsp>
                </a:graphicData>
              </a:graphic>
            </wp:anchor>
          </w:drawing>
        </mc:Choice>
        <mc:Fallback>
          <w:pict>
            <v:rect id="文本框 127" o:spid="_x0000_s1026" o:spt="1"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gC0C88wBAACUAwAADgAAAAAAAAABACAAAAAfAQAAZHJzL2Uy&#10;b0RvYy54bWxQSwUGAAAAAAYABgBZAQAAXQUAAAAA&#10;">
              <v:fill on="f" focussize="0,0"/>
              <v:stroke on="f"/>
              <v:imagedata o:title=""/>
              <o:lock v:ext="edit" aspectratio="f"/>
              <v:textbox inset="0mm,0mm,0mm,0mm" style="mso-fit-shape-to-text:t;">
                <w:txbxContent>
                  <w:p w14:paraId="2DC24B3A">
                    <w:pPr>
                      <w:tabs>
                        <w:tab w:val="center" w:pos="4153"/>
                        <w:tab w:val="right" w:pos="8306"/>
                      </w:tabs>
                      <w:snapToGrid w:val="0"/>
                      <w:spacing w:line="360" w:lineRule="auto"/>
                      <w:jc w:val="center"/>
                      <w:rPr>
                        <w:rFonts w:cs="Times New Roman"/>
                        <w:sz w:val="21"/>
                      </w:rPr>
                    </w:pPr>
                    <w:r>
                      <w:rPr>
                        <w:rFonts w:cs="Times New Roman"/>
                        <w:kern w:val="0"/>
                        <w:sz w:val="18"/>
                        <w:szCs w:val="18"/>
                      </w:rPr>
                      <w:fldChar w:fldCharType="begin"/>
                    </w:r>
                    <w:r>
                      <w:rPr>
                        <w:rFonts w:cs="Times New Roman"/>
                        <w:kern w:val="0"/>
                        <w:sz w:val="18"/>
                        <w:szCs w:val="18"/>
                      </w:rPr>
                      <w:instrText xml:space="preserve"> PAGE </w:instrText>
                    </w:r>
                    <w:r>
                      <w:rPr>
                        <w:rFonts w:cs="Times New Roman"/>
                        <w:kern w:val="0"/>
                        <w:sz w:val="18"/>
                        <w:szCs w:val="18"/>
                      </w:rPr>
                      <w:fldChar w:fldCharType="separate"/>
                    </w:r>
                    <w:r>
                      <w:rPr>
                        <w:rFonts w:cs="Times New Roman"/>
                        <w:kern w:val="0"/>
                        <w:sz w:val="18"/>
                        <w:szCs w:val="18"/>
                      </w:rPr>
                      <w:t>118</w:t>
                    </w:r>
                    <w:r>
                      <w:rPr>
                        <w:rFonts w:cs="Times New Roman"/>
                        <w:kern w:val="0"/>
                        <w:sz w:val="18"/>
                        <w:szCs w:val="18"/>
                      </w:rPr>
                      <w:fldChar w:fldCharType="end"/>
                    </w:r>
                  </w:p>
                </w:txbxContent>
              </v:textbox>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47BD1">
    <w:pPr>
      <w:tabs>
        <w:tab w:val="center" w:pos="4153"/>
        <w:tab w:val="right" w:pos="8306"/>
      </w:tabs>
      <w:snapToGrid w:val="0"/>
      <w:spacing w:line="360" w:lineRule="auto"/>
      <w:jc w:val="center"/>
      <w:rPr>
        <w:rFonts w:cs="Times New Roman"/>
        <w:sz w:val="18"/>
        <w:szCs w:val="18"/>
      </w:rPr>
    </w:pPr>
    <w:r>
      <w:rPr>
        <w:rFonts w:cs="Times New Roman"/>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9" name="文本框 1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FF002F5">
                          <w:pPr>
                            <w:tabs>
                              <w:tab w:val="center" w:pos="4153"/>
                              <w:tab w:val="right" w:pos="8306"/>
                            </w:tabs>
                            <w:snapToGrid w:val="0"/>
                            <w:spacing w:line="360" w:lineRule="auto"/>
                            <w:jc w:val="center"/>
                            <w:rPr>
                              <w:rFonts w:cs="Times New Roman"/>
                              <w:sz w:val="21"/>
                            </w:rPr>
                          </w:pPr>
                          <w:r>
                            <w:rPr>
                              <w:rFonts w:cs="Times New Roman"/>
                              <w:kern w:val="0"/>
                              <w:sz w:val="18"/>
                              <w:szCs w:val="18"/>
                            </w:rPr>
                            <w:fldChar w:fldCharType="begin"/>
                          </w:r>
                          <w:r>
                            <w:rPr>
                              <w:rFonts w:cs="Times New Roman"/>
                              <w:kern w:val="0"/>
                              <w:sz w:val="18"/>
                              <w:szCs w:val="18"/>
                            </w:rPr>
                            <w:instrText xml:space="preserve"> PAGE </w:instrText>
                          </w:r>
                          <w:r>
                            <w:rPr>
                              <w:rFonts w:cs="Times New Roman"/>
                              <w:kern w:val="0"/>
                              <w:sz w:val="18"/>
                              <w:szCs w:val="18"/>
                            </w:rPr>
                            <w:fldChar w:fldCharType="separate"/>
                          </w:r>
                          <w:r>
                            <w:rPr>
                              <w:rFonts w:cs="Times New Roman"/>
                              <w:kern w:val="0"/>
                              <w:sz w:val="18"/>
                              <w:szCs w:val="18"/>
                            </w:rPr>
                            <w:t>127</w:t>
                          </w:r>
                          <w:r>
                            <w:rPr>
                              <w:rFonts w:cs="Times New Roman"/>
                              <w:kern w:val="0"/>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VsIMYzAgAAZwQAAA4AAABkcnMvZTJvRG9jLnhtbK1UzY7TMBC+I/EO&#10;lu80aRFL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VsIMYzAgAAZwQAAA4AAAAAAAAAAQAgAAAAHwEAAGRycy9lMm9Eb2MueG1sUEsF&#10;BgAAAAAGAAYAWQEAAMQFAAAAAA==&#10;">
              <v:fill on="f" focussize="0,0"/>
              <v:stroke on="f" weight="0.5pt"/>
              <v:imagedata o:title=""/>
              <o:lock v:ext="edit" aspectratio="f"/>
              <v:textbox inset="0mm,0mm,0mm,0mm" style="mso-fit-shape-to-text:t;">
                <w:txbxContent>
                  <w:p w14:paraId="3FF002F5">
                    <w:pPr>
                      <w:tabs>
                        <w:tab w:val="center" w:pos="4153"/>
                        <w:tab w:val="right" w:pos="8306"/>
                      </w:tabs>
                      <w:snapToGrid w:val="0"/>
                      <w:spacing w:line="360" w:lineRule="auto"/>
                      <w:jc w:val="center"/>
                      <w:rPr>
                        <w:rFonts w:cs="Times New Roman"/>
                        <w:sz w:val="21"/>
                      </w:rPr>
                    </w:pPr>
                    <w:r>
                      <w:rPr>
                        <w:rFonts w:cs="Times New Roman"/>
                        <w:kern w:val="0"/>
                        <w:sz w:val="18"/>
                        <w:szCs w:val="18"/>
                      </w:rPr>
                      <w:fldChar w:fldCharType="begin"/>
                    </w:r>
                    <w:r>
                      <w:rPr>
                        <w:rFonts w:cs="Times New Roman"/>
                        <w:kern w:val="0"/>
                        <w:sz w:val="18"/>
                        <w:szCs w:val="18"/>
                      </w:rPr>
                      <w:instrText xml:space="preserve"> PAGE </w:instrText>
                    </w:r>
                    <w:r>
                      <w:rPr>
                        <w:rFonts w:cs="Times New Roman"/>
                        <w:kern w:val="0"/>
                        <w:sz w:val="18"/>
                        <w:szCs w:val="18"/>
                      </w:rPr>
                      <w:fldChar w:fldCharType="separate"/>
                    </w:r>
                    <w:r>
                      <w:rPr>
                        <w:rFonts w:cs="Times New Roman"/>
                        <w:kern w:val="0"/>
                        <w:sz w:val="18"/>
                        <w:szCs w:val="18"/>
                      </w:rPr>
                      <w:t>127</w:t>
                    </w:r>
                    <w:r>
                      <w:rPr>
                        <w:rFonts w:cs="Times New Roman"/>
                        <w:kern w:val="0"/>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FBCEA">
    <w:pPr>
      <w:tabs>
        <w:tab w:val="center" w:pos="4153"/>
        <w:tab w:val="right" w:pos="8306"/>
      </w:tabs>
      <w:snapToGrid w:val="0"/>
      <w:spacing w:line="360" w:lineRule="auto"/>
      <w:jc w:val="center"/>
      <w:rPr>
        <w:rFonts w:cs="Times New Roman"/>
        <w:sz w:val="18"/>
        <w:szCs w:val="18"/>
      </w:rPr>
    </w:pPr>
    <w:r>
      <w:rPr>
        <w:rFonts w:cs="Times New Roman"/>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7" name="文本框 1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3EC0B0">
                          <w:pPr>
                            <w:tabs>
                              <w:tab w:val="center" w:pos="4153"/>
                              <w:tab w:val="right" w:pos="8306"/>
                            </w:tabs>
                            <w:snapToGrid w:val="0"/>
                            <w:spacing w:line="360" w:lineRule="auto"/>
                            <w:jc w:val="center"/>
                            <w:rPr>
                              <w:rFonts w:ascii="Times New Roman" w:hAnsi="Times New Roman" w:cs="Times New Roman"/>
                              <w:sz w:val="21"/>
                            </w:rPr>
                          </w:pPr>
                          <w:r>
                            <w:rPr>
                              <w:rFonts w:ascii="Times New Roman" w:hAnsi="Times New Roman" w:cs="Times New Roman"/>
                              <w:kern w:val="0"/>
                              <w:sz w:val="18"/>
                              <w:szCs w:val="18"/>
                            </w:rPr>
                            <w:fldChar w:fldCharType="begin"/>
                          </w:r>
                          <w:r>
                            <w:rPr>
                              <w:rFonts w:ascii="Times New Roman" w:hAnsi="Times New Roman" w:cs="Times New Roman"/>
                              <w:kern w:val="0"/>
                              <w:sz w:val="18"/>
                              <w:szCs w:val="18"/>
                            </w:rPr>
                            <w:instrText xml:space="preserve"> PAGE </w:instrText>
                          </w:r>
                          <w:r>
                            <w:rPr>
                              <w:rFonts w:ascii="Times New Roman" w:hAnsi="Times New Roman" w:cs="Times New Roman"/>
                              <w:kern w:val="0"/>
                              <w:sz w:val="18"/>
                              <w:szCs w:val="18"/>
                            </w:rPr>
                            <w:fldChar w:fldCharType="separate"/>
                          </w:r>
                          <w:r>
                            <w:rPr>
                              <w:rFonts w:ascii="Times New Roman" w:hAnsi="Times New Roman" w:cs="Times New Roman"/>
                              <w:kern w:val="0"/>
                              <w:sz w:val="18"/>
                              <w:szCs w:val="18"/>
                            </w:rPr>
                            <w:t>128</w:t>
                          </w:r>
                          <w:r>
                            <w:rPr>
                              <w:rFonts w:ascii="Times New Roman" w:hAnsi="Times New Roman" w:cs="Times New Roman"/>
                              <w:kern w:val="0"/>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PeEzAgAAZw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BPeEzAgAAZwQAAA4AAAAAAAAAAQAgAAAAHwEAAGRycy9lMm9Eb2MueG1sUEsF&#10;BgAAAAAGAAYAWQEAAMQFAAAAAA==&#10;">
              <v:fill on="f" focussize="0,0"/>
              <v:stroke on="f" weight="0.5pt"/>
              <v:imagedata o:title=""/>
              <o:lock v:ext="edit" aspectratio="f"/>
              <v:textbox inset="0mm,0mm,0mm,0mm" style="mso-fit-shape-to-text:t;">
                <w:txbxContent>
                  <w:p w14:paraId="213EC0B0">
                    <w:pPr>
                      <w:tabs>
                        <w:tab w:val="center" w:pos="4153"/>
                        <w:tab w:val="right" w:pos="8306"/>
                      </w:tabs>
                      <w:snapToGrid w:val="0"/>
                      <w:spacing w:line="360" w:lineRule="auto"/>
                      <w:jc w:val="center"/>
                      <w:rPr>
                        <w:rFonts w:ascii="Times New Roman" w:hAnsi="Times New Roman" w:cs="Times New Roman"/>
                        <w:sz w:val="21"/>
                      </w:rPr>
                    </w:pPr>
                    <w:r>
                      <w:rPr>
                        <w:rFonts w:ascii="Times New Roman" w:hAnsi="Times New Roman" w:cs="Times New Roman"/>
                        <w:kern w:val="0"/>
                        <w:sz w:val="18"/>
                        <w:szCs w:val="18"/>
                      </w:rPr>
                      <w:fldChar w:fldCharType="begin"/>
                    </w:r>
                    <w:r>
                      <w:rPr>
                        <w:rFonts w:ascii="Times New Roman" w:hAnsi="Times New Roman" w:cs="Times New Roman"/>
                        <w:kern w:val="0"/>
                        <w:sz w:val="18"/>
                        <w:szCs w:val="18"/>
                      </w:rPr>
                      <w:instrText xml:space="preserve"> PAGE </w:instrText>
                    </w:r>
                    <w:r>
                      <w:rPr>
                        <w:rFonts w:ascii="Times New Roman" w:hAnsi="Times New Roman" w:cs="Times New Roman"/>
                        <w:kern w:val="0"/>
                        <w:sz w:val="18"/>
                        <w:szCs w:val="18"/>
                      </w:rPr>
                      <w:fldChar w:fldCharType="separate"/>
                    </w:r>
                    <w:r>
                      <w:rPr>
                        <w:rFonts w:ascii="Times New Roman" w:hAnsi="Times New Roman" w:cs="Times New Roman"/>
                        <w:kern w:val="0"/>
                        <w:sz w:val="18"/>
                        <w:szCs w:val="18"/>
                      </w:rPr>
                      <w:t>128</w:t>
                    </w:r>
                    <w:r>
                      <w:rPr>
                        <w:rFonts w:ascii="Times New Roman" w:hAnsi="Times New Roman" w:cs="Times New Roman"/>
                        <w:kern w:val="0"/>
                        <w:sz w:val="18"/>
                        <w:szCs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5A3A8">
    <w:pPr>
      <w:tabs>
        <w:tab w:val="center" w:pos="4153"/>
        <w:tab w:val="right" w:pos="8306"/>
      </w:tabs>
      <w:snapToGrid w:val="0"/>
      <w:spacing w:line="360" w:lineRule="auto"/>
      <w:jc w:val="center"/>
      <w:rPr>
        <w:rFonts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6D332">
    <w:pPr>
      <w:tabs>
        <w:tab w:val="center" w:pos="4153"/>
        <w:tab w:val="right" w:pos="8306"/>
      </w:tabs>
      <w:snapToGrid w:val="0"/>
      <w:spacing w:line="360" w:lineRule="auto"/>
      <w:jc w:val="center"/>
      <w:rPr>
        <w:rFonts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FF6BF">
    <w:pPr>
      <w:tabs>
        <w:tab w:val="center" w:pos="4153"/>
        <w:tab w:val="right" w:pos="8306"/>
      </w:tabs>
      <w:snapToGrid w:val="0"/>
      <w:spacing w:line="360" w:lineRule="auto"/>
      <w:jc w:val="center"/>
      <w:rPr>
        <w:rFonts w:cs="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3D48F3"/>
    <w:rsid w:val="00096E72"/>
    <w:rsid w:val="00272BAC"/>
    <w:rsid w:val="002B77DD"/>
    <w:rsid w:val="0046134A"/>
    <w:rsid w:val="00525B31"/>
    <w:rsid w:val="00532443"/>
    <w:rsid w:val="00553A4A"/>
    <w:rsid w:val="005A7881"/>
    <w:rsid w:val="00607DF9"/>
    <w:rsid w:val="00671D7E"/>
    <w:rsid w:val="006C3A73"/>
    <w:rsid w:val="00717106"/>
    <w:rsid w:val="007D59EE"/>
    <w:rsid w:val="008F1786"/>
    <w:rsid w:val="008F6295"/>
    <w:rsid w:val="00931EA1"/>
    <w:rsid w:val="009713BB"/>
    <w:rsid w:val="00BE0285"/>
    <w:rsid w:val="00BE24FB"/>
    <w:rsid w:val="00D63B5B"/>
    <w:rsid w:val="00D86977"/>
    <w:rsid w:val="00DA29CD"/>
    <w:rsid w:val="012913E6"/>
    <w:rsid w:val="02182ED7"/>
    <w:rsid w:val="03A27AC2"/>
    <w:rsid w:val="04036C83"/>
    <w:rsid w:val="04895D53"/>
    <w:rsid w:val="04B643F8"/>
    <w:rsid w:val="04C82F50"/>
    <w:rsid w:val="05E93D47"/>
    <w:rsid w:val="071806C5"/>
    <w:rsid w:val="07802F52"/>
    <w:rsid w:val="0883289E"/>
    <w:rsid w:val="092476D3"/>
    <w:rsid w:val="094C3466"/>
    <w:rsid w:val="09954E0D"/>
    <w:rsid w:val="09AF0359"/>
    <w:rsid w:val="09BB0DAA"/>
    <w:rsid w:val="0A0E1433"/>
    <w:rsid w:val="0B603208"/>
    <w:rsid w:val="0BD845F9"/>
    <w:rsid w:val="0C0310D3"/>
    <w:rsid w:val="0C1621E1"/>
    <w:rsid w:val="0C3A6E39"/>
    <w:rsid w:val="0C9C3E0D"/>
    <w:rsid w:val="0DC70EE4"/>
    <w:rsid w:val="0F242EBB"/>
    <w:rsid w:val="0F9A2C19"/>
    <w:rsid w:val="100625C1"/>
    <w:rsid w:val="108C689C"/>
    <w:rsid w:val="10E27953"/>
    <w:rsid w:val="123B1977"/>
    <w:rsid w:val="13096A1B"/>
    <w:rsid w:val="1326458A"/>
    <w:rsid w:val="14C93E56"/>
    <w:rsid w:val="16575945"/>
    <w:rsid w:val="16E22E73"/>
    <w:rsid w:val="17024787"/>
    <w:rsid w:val="193622F5"/>
    <w:rsid w:val="19922ECC"/>
    <w:rsid w:val="1A324761"/>
    <w:rsid w:val="1AB16805"/>
    <w:rsid w:val="1BAB18B2"/>
    <w:rsid w:val="1BCE4786"/>
    <w:rsid w:val="1CE31D44"/>
    <w:rsid w:val="1CEB00C0"/>
    <w:rsid w:val="1D101801"/>
    <w:rsid w:val="1D5B4D95"/>
    <w:rsid w:val="1DAD2E60"/>
    <w:rsid w:val="1DB805F1"/>
    <w:rsid w:val="1DBE44DB"/>
    <w:rsid w:val="1E044557"/>
    <w:rsid w:val="1E7A7BAA"/>
    <w:rsid w:val="1E877B21"/>
    <w:rsid w:val="1FD01641"/>
    <w:rsid w:val="21C35F1E"/>
    <w:rsid w:val="228746A0"/>
    <w:rsid w:val="23EE02E6"/>
    <w:rsid w:val="25A53853"/>
    <w:rsid w:val="27183806"/>
    <w:rsid w:val="28B963F1"/>
    <w:rsid w:val="28DD68EC"/>
    <w:rsid w:val="28EE21A8"/>
    <w:rsid w:val="299754DF"/>
    <w:rsid w:val="2A1536D4"/>
    <w:rsid w:val="2BD42DCD"/>
    <w:rsid w:val="2BD84ADA"/>
    <w:rsid w:val="2BD90536"/>
    <w:rsid w:val="2C1C3440"/>
    <w:rsid w:val="2C322C9F"/>
    <w:rsid w:val="2C8608B9"/>
    <w:rsid w:val="2CF4690E"/>
    <w:rsid w:val="2D71729C"/>
    <w:rsid w:val="2E326404"/>
    <w:rsid w:val="2E7006B9"/>
    <w:rsid w:val="2E91612D"/>
    <w:rsid w:val="30A548F5"/>
    <w:rsid w:val="30F532D8"/>
    <w:rsid w:val="31345AC0"/>
    <w:rsid w:val="319055C5"/>
    <w:rsid w:val="321D7E59"/>
    <w:rsid w:val="331E35CE"/>
    <w:rsid w:val="336B3C15"/>
    <w:rsid w:val="3546508A"/>
    <w:rsid w:val="35A52A2B"/>
    <w:rsid w:val="35BC17F0"/>
    <w:rsid w:val="37C66C06"/>
    <w:rsid w:val="38133D5A"/>
    <w:rsid w:val="385202A6"/>
    <w:rsid w:val="39FE117F"/>
    <w:rsid w:val="3A4D2CC3"/>
    <w:rsid w:val="3B6760CF"/>
    <w:rsid w:val="3BB15227"/>
    <w:rsid w:val="3C675A00"/>
    <w:rsid w:val="3D3D48F3"/>
    <w:rsid w:val="3E00358B"/>
    <w:rsid w:val="3E0351A8"/>
    <w:rsid w:val="3EBE7890"/>
    <w:rsid w:val="3F7F7B16"/>
    <w:rsid w:val="3FB6362D"/>
    <w:rsid w:val="40837643"/>
    <w:rsid w:val="40985D19"/>
    <w:rsid w:val="41516319"/>
    <w:rsid w:val="417D3C45"/>
    <w:rsid w:val="42072045"/>
    <w:rsid w:val="437D257B"/>
    <w:rsid w:val="457A23A3"/>
    <w:rsid w:val="45CF0800"/>
    <w:rsid w:val="4A4F6732"/>
    <w:rsid w:val="4AD71076"/>
    <w:rsid w:val="4C56395F"/>
    <w:rsid w:val="4C6C1422"/>
    <w:rsid w:val="4D5763B7"/>
    <w:rsid w:val="4D7F678C"/>
    <w:rsid w:val="4E2822C2"/>
    <w:rsid w:val="4E4A12AC"/>
    <w:rsid w:val="4E55387D"/>
    <w:rsid w:val="4F9B1887"/>
    <w:rsid w:val="4FBE5E63"/>
    <w:rsid w:val="51430B01"/>
    <w:rsid w:val="52AF2069"/>
    <w:rsid w:val="52C53929"/>
    <w:rsid w:val="52D80534"/>
    <w:rsid w:val="53831F9C"/>
    <w:rsid w:val="53F73CC7"/>
    <w:rsid w:val="53FE7896"/>
    <w:rsid w:val="54BF2A6C"/>
    <w:rsid w:val="5521492F"/>
    <w:rsid w:val="553019DE"/>
    <w:rsid w:val="55B01D32"/>
    <w:rsid w:val="55E54DEC"/>
    <w:rsid w:val="56206DD9"/>
    <w:rsid w:val="56A31AAE"/>
    <w:rsid w:val="582216A0"/>
    <w:rsid w:val="5A120CE8"/>
    <w:rsid w:val="5D7D5090"/>
    <w:rsid w:val="5E2511AD"/>
    <w:rsid w:val="5F1F783D"/>
    <w:rsid w:val="5F426012"/>
    <w:rsid w:val="5FC54109"/>
    <w:rsid w:val="6169158A"/>
    <w:rsid w:val="61D76EE6"/>
    <w:rsid w:val="62194401"/>
    <w:rsid w:val="62C23D0F"/>
    <w:rsid w:val="6385583F"/>
    <w:rsid w:val="64336DDE"/>
    <w:rsid w:val="64536461"/>
    <w:rsid w:val="65660C07"/>
    <w:rsid w:val="661421E4"/>
    <w:rsid w:val="669C736B"/>
    <w:rsid w:val="66AA5578"/>
    <w:rsid w:val="68CC254F"/>
    <w:rsid w:val="692A3D9F"/>
    <w:rsid w:val="6A79583A"/>
    <w:rsid w:val="6AD7131F"/>
    <w:rsid w:val="6AE35CD8"/>
    <w:rsid w:val="6B4C44A1"/>
    <w:rsid w:val="6C0E4593"/>
    <w:rsid w:val="6E6B74DC"/>
    <w:rsid w:val="6F463B6B"/>
    <w:rsid w:val="6FD76303"/>
    <w:rsid w:val="6FEF59BE"/>
    <w:rsid w:val="70A9484F"/>
    <w:rsid w:val="70C764C9"/>
    <w:rsid w:val="716360A0"/>
    <w:rsid w:val="730A45D6"/>
    <w:rsid w:val="73413DCB"/>
    <w:rsid w:val="741A03DB"/>
    <w:rsid w:val="744144D4"/>
    <w:rsid w:val="74936C9D"/>
    <w:rsid w:val="75C63E75"/>
    <w:rsid w:val="75C66A6B"/>
    <w:rsid w:val="76484BEE"/>
    <w:rsid w:val="76FE58BA"/>
    <w:rsid w:val="774D5D80"/>
    <w:rsid w:val="77AE6131"/>
    <w:rsid w:val="77D67A78"/>
    <w:rsid w:val="786705D7"/>
    <w:rsid w:val="78F254FF"/>
    <w:rsid w:val="79C96E6F"/>
    <w:rsid w:val="79D40B4B"/>
    <w:rsid w:val="7A545277"/>
    <w:rsid w:val="7B5B40E9"/>
    <w:rsid w:val="7BFB4974"/>
    <w:rsid w:val="7C0C233A"/>
    <w:rsid w:val="7CAC368C"/>
    <w:rsid w:val="7DF204B4"/>
    <w:rsid w:val="7E7E6EF1"/>
    <w:rsid w:val="7F2C11FF"/>
    <w:rsid w:val="7F621ABB"/>
    <w:rsid w:val="7FCA6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8"/>
      <w:szCs w:val="22"/>
      <w:lang w:val="en-US" w:eastAsia="zh-CN" w:bidi="ar-SA"/>
    </w:rPr>
  </w:style>
  <w:style w:type="paragraph" w:styleId="2">
    <w:name w:val="heading 2"/>
    <w:basedOn w:val="1"/>
    <w:next w:val="1"/>
    <w:unhideWhenUsed/>
    <w:qFormat/>
    <w:uiPriority w:val="0"/>
    <w:pPr>
      <w:keepNext/>
      <w:keepLines/>
      <w:widowControl/>
      <w:spacing w:before="200" w:after="100" w:line="360" w:lineRule="auto"/>
      <w:jc w:val="center"/>
      <w:outlineLvl w:val="1"/>
    </w:pPr>
    <w:rPr>
      <w:rFonts w:ascii="黑体" w:hAnsi="黑体" w:eastAsia="黑体" w:cstheme="majorBidi"/>
      <w:b/>
      <w:bCs/>
      <w:kern w:val="0"/>
      <w:sz w:val="24"/>
      <w:szCs w:val="26"/>
    </w:rPr>
  </w:style>
  <w:style w:type="paragraph" w:styleId="3">
    <w:name w:val="heading 3"/>
    <w:basedOn w:val="1"/>
    <w:next w:val="1"/>
    <w:unhideWhenUsed/>
    <w:qFormat/>
    <w:uiPriority w:val="9"/>
    <w:pPr>
      <w:keepNext/>
      <w:keepLines/>
      <w:spacing w:before="260" w:after="260" w:line="416" w:lineRule="auto"/>
      <w:jc w:val="center"/>
      <w:outlineLvl w:val="2"/>
    </w:pPr>
    <w:rPr>
      <w:bCs/>
      <w:sz w:val="30"/>
      <w:szCs w:val="32"/>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annotation text"/>
    <w:basedOn w:val="1"/>
    <w:semiHidden/>
    <w:unhideWhenUsed/>
    <w:qFormat/>
    <w:uiPriority w:val="0"/>
    <w:pPr>
      <w:jc w:val="left"/>
    </w:pPr>
  </w:style>
  <w:style w:type="paragraph" w:styleId="5">
    <w:name w:val="Body Text Indent 2"/>
    <w:basedOn w:val="1"/>
    <w:qFormat/>
    <w:uiPriority w:val="0"/>
    <w:pPr>
      <w:ind w:firstLine="480" w:firstLineChars="200"/>
    </w:pPr>
    <w:rPr>
      <w:szCs w:val="24"/>
    </w:rPr>
  </w:style>
  <w:style w:type="paragraph" w:styleId="6">
    <w:name w:val="Balloon Text"/>
    <w:basedOn w:val="1"/>
    <w:link w:val="19"/>
    <w:qFormat/>
    <w:uiPriority w:val="0"/>
    <w:rPr>
      <w:sz w:val="18"/>
      <w:szCs w:val="18"/>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qFormat/>
    <w:uiPriority w:val="0"/>
    <w:rPr>
      <w:sz w:val="21"/>
      <w:szCs w:val="21"/>
    </w:rPr>
  </w:style>
  <w:style w:type="paragraph" w:customStyle="1" w:styleId="14">
    <w:name w:val="样式 表格 + 黑体 小四 两端对齐 段后: 3 磅 行距: 固定值 28 磅"/>
    <w:basedOn w:val="15"/>
    <w:qFormat/>
    <w:uiPriority w:val="0"/>
    <w:pPr>
      <w:spacing w:after="60" w:line="560" w:lineRule="exact"/>
      <w:ind w:firstLine="100" w:firstLineChars="100"/>
    </w:pPr>
    <w:rPr>
      <w:rFonts w:ascii="黑体" w:hAnsi="Times New Roman" w:eastAsia="黑体"/>
      <w:sz w:val="24"/>
      <w:szCs w:val="20"/>
    </w:rPr>
  </w:style>
  <w:style w:type="paragraph" w:customStyle="1" w:styleId="15">
    <w:name w:val="表格"/>
    <w:basedOn w:val="1"/>
    <w:qFormat/>
    <w:uiPriority w:val="0"/>
    <w:pPr>
      <w:spacing w:line="0" w:lineRule="atLeast"/>
      <w:jc w:val="center"/>
    </w:pPr>
    <w:rPr>
      <w:rFonts w:eastAsia="楷体_GB2312"/>
      <w:sz w:val="21"/>
    </w:rPr>
  </w:style>
  <w:style w:type="paragraph" w:customStyle="1" w:styleId="16">
    <w:name w:val="公式"/>
    <w:basedOn w:val="1"/>
    <w:link w:val="17"/>
    <w:qFormat/>
    <w:uiPriority w:val="0"/>
    <w:pPr>
      <w:tabs>
        <w:tab w:val="center" w:pos="4150"/>
        <w:tab w:val="right" w:pos="8300"/>
      </w:tabs>
      <w:spacing w:line="360" w:lineRule="auto"/>
      <w:ind w:right="244"/>
    </w:pPr>
    <w:rPr>
      <w:rFonts w:ascii="Times New Roman" w:hAnsi="Times New Roman" w:cs="Times New Roman"/>
      <w:i/>
      <w:sz w:val="21"/>
      <w:szCs w:val="21"/>
    </w:rPr>
  </w:style>
  <w:style w:type="character" w:customStyle="1" w:styleId="17">
    <w:name w:val="公式 Char"/>
    <w:link w:val="16"/>
    <w:qFormat/>
    <w:uiPriority w:val="0"/>
    <w:rPr>
      <w:rFonts w:ascii="Times New Roman" w:hAnsi="Times New Roman" w:eastAsia="宋体" w:cs="Times New Roman"/>
      <w:i/>
      <w:sz w:val="21"/>
      <w:szCs w:val="21"/>
    </w:rPr>
  </w:style>
  <w:style w:type="character" w:customStyle="1" w:styleId="18">
    <w:name w:val="fontstyle01"/>
    <w:basedOn w:val="12"/>
    <w:qFormat/>
    <w:uiPriority w:val="0"/>
    <w:rPr>
      <w:rFonts w:ascii="HiddenHorzOCR-Identity-H" w:hAnsi="HiddenHorzOCR-Identity-H" w:eastAsia="HiddenHorzOCR-Identity-H" w:cs="HiddenHorzOCR-Identity-H"/>
      <w:color w:val="000000"/>
      <w:sz w:val="18"/>
      <w:szCs w:val="18"/>
    </w:rPr>
  </w:style>
  <w:style w:type="character" w:customStyle="1" w:styleId="19">
    <w:name w:val="批注框文本 Char"/>
    <w:basedOn w:val="12"/>
    <w:link w:val="6"/>
    <w:qFormat/>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37.bin"/><Relationship Id="rId98" Type="http://schemas.openxmlformats.org/officeDocument/2006/relationships/image" Target="media/image45.wmf"/><Relationship Id="rId97" Type="http://schemas.openxmlformats.org/officeDocument/2006/relationships/oleObject" Target="embeddings/oleObject36.bin"/><Relationship Id="rId96" Type="http://schemas.openxmlformats.org/officeDocument/2006/relationships/oleObject" Target="embeddings/oleObject35.bin"/><Relationship Id="rId95" Type="http://schemas.openxmlformats.org/officeDocument/2006/relationships/image" Target="media/image44.wmf"/><Relationship Id="rId94" Type="http://schemas.openxmlformats.org/officeDocument/2006/relationships/oleObject" Target="embeddings/oleObject34.bin"/><Relationship Id="rId93" Type="http://schemas.openxmlformats.org/officeDocument/2006/relationships/image" Target="media/image43.wmf"/><Relationship Id="rId92" Type="http://schemas.openxmlformats.org/officeDocument/2006/relationships/oleObject" Target="embeddings/oleObject33.bin"/><Relationship Id="rId91" Type="http://schemas.openxmlformats.org/officeDocument/2006/relationships/image" Target="media/image42.wmf"/><Relationship Id="rId90" Type="http://schemas.openxmlformats.org/officeDocument/2006/relationships/oleObject" Target="embeddings/oleObject32.bin"/><Relationship Id="rId9" Type="http://schemas.openxmlformats.org/officeDocument/2006/relationships/footer" Target="footer4.xml"/><Relationship Id="rId89" Type="http://schemas.openxmlformats.org/officeDocument/2006/relationships/image" Target="media/image41.wmf"/><Relationship Id="rId88" Type="http://schemas.openxmlformats.org/officeDocument/2006/relationships/oleObject" Target="embeddings/oleObject31.bin"/><Relationship Id="rId87" Type="http://schemas.openxmlformats.org/officeDocument/2006/relationships/image" Target="media/image40.wmf"/><Relationship Id="rId86" Type="http://schemas.openxmlformats.org/officeDocument/2006/relationships/image" Target="media/image39.wmf"/><Relationship Id="rId85" Type="http://schemas.openxmlformats.org/officeDocument/2006/relationships/image" Target="media/image38.wmf"/><Relationship Id="rId84" Type="http://schemas.openxmlformats.org/officeDocument/2006/relationships/image" Target="media/image37.wmf"/><Relationship Id="rId83" Type="http://schemas.openxmlformats.org/officeDocument/2006/relationships/image" Target="media/image36.wmf"/><Relationship Id="rId82" Type="http://schemas.openxmlformats.org/officeDocument/2006/relationships/oleObject" Target="embeddings/oleObject30.bin"/><Relationship Id="rId81" Type="http://schemas.openxmlformats.org/officeDocument/2006/relationships/image" Target="media/image35.wmf"/><Relationship Id="rId80" Type="http://schemas.openxmlformats.org/officeDocument/2006/relationships/oleObject" Target="embeddings/oleObject29.bin"/><Relationship Id="rId8" Type="http://schemas.openxmlformats.org/officeDocument/2006/relationships/header" Target="header3.xml"/><Relationship Id="rId79" Type="http://schemas.openxmlformats.org/officeDocument/2006/relationships/image" Target="media/image34.wmf"/><Relationship Id="rId78" Type="http://schemas.openxmlformats.org/officeDocument/2006/relationships/oleObject" Target="embeddings/oleObject28.bin"/><Relationship Id="rId77" Type="http://schemas.openxmlformats.org/officeDocument/2006/relationships/image" Target="media/image33.wmf"/><Relationship Id="rId76" Type="http://schemas.openxmlformats.org/officeDocument/2006/relationships/image" Target="media/image32.wmf"/><Relationship Id="rId75" Type="http://schemas.openxmlformats.org/officeDocument/2006/relationships/oleObject" Target="embeddings/oleObject27.bin"/><Relationship Id="rId74" Type="http://schemas.openxmlformats.org/officeDocument/2006/relationships/image" Target="media/image31.png"/><Relationship Id="rId73" Type="http://schemas.openxmlformats.org/officeDocument/2006/relationships/image" Target="media/image30.png"/><Relationship Id="rId72" Type="http://schemas.openxmlformats.org/officeDocument/2006/relationships/image" Target="media/image29.wmf"/><Relationship Id="rId71" Type="http://schemas.openxmlformats.org/officeDocument/2006/relationships/oleObject" Target="embeddings/oleObject26.bin"/><Relationship Id="rId70" Type="http://schemas.openxmlformats.org/officeDocument/2006/relationships/image" Target="media/image28.wmf"/><Relationship Id="rId7" Type="http://schemas.openxmlformats.org/officeDocument/2006/relationships/footer" Target="footer3.xml"/><Relationship Id="rId69" Type="http://schemas.openxmlformats.org/officeDocument/2006/relationships/oleObject" Target="embeddings/oleObject25.bin"/><Relationship Id="rId68" Type="http://schemas.openxmlformats.org/officeDocument/2006/relationships/image" Target="media/image27.wmf"/><Relationship Id="rId67" Type="http://schemas.openxmlformats.org/officeDocument/2006/relationships/oleObject" Target="embeddings/oleObject24.bin"/><Relationship Id="rId66" Type="http://schemas.openxmlformats.org/officeDocument/2006/relationships/image" Target="media/image26.wmf"/><Relationship Id="rId65" Type="http://schemas.openxmlformats.org/officeDocument/2006/relationships/oleObject" Target="embeddings/oleObject23.bin"/><Relationship Id="rId64" Type="http://schemas.openxmlformats.org/officeDocument/2006/relationships/image" Target="media/image25.wmf"/><Relationship Id="rId63" Type="http://schemas.openxmlformats.org/officeDocument/2006/relationships/oleObject" Target="embeddings/oleObject22.bin"/><Relationship Id="rId62" Type="http://schemas.openxmlformats.org/officeDocument/2006/relationships/image" Target="media/image24.wmf"/><Relationship Id="rId61" Type="http://schemas.openxmlformats.org/officeDocument/2006/relationships/oleObject" Target="embeddings/oleObject21.bin"/><Relationship Id="rId60" Type="http://schemas.openxmlformats.org/officeDocument/2006/relationships/image" Target="media/image23.png"/><Relationship Id="rId6" Type="http://schemas.openxmlformats.org/officeDocument/2006/relationships/footer" Target="footer2.xml"/><Relationship Id="rId59" Type="http://schemas.openxmlformats.org/officeDocument/2006/relationships/image" Target="media/image22.wmf"/><Relationship Id="rId58" Type="http://schemas.openxmlformats.org/officeDocument/2006/relationships/oleObject" Target="embeddings/oleObject20.bin"/><Relationship Id="rId57" Type="http://schemas.openxmlformats.org/officeDocument/2006/relationships/image" Target="media/image21.wmf"/><Relationship Id="rId56" Type="http://schemas.openxmlformats.org/officeDocument/2006/relationships/oleObject" Target="embeddings/oleObject19.bin"/><Relationship Id="rId55" Type="http://schemas.openxmlformats.org/officeDocument/2006/relationships/image" Target="media/image20.wmf"/><Relationship Id="rId54" Type="http://schemas.openxmlformats.org/officeDocument/2006/relationships/oleObject" Target="embeddings/oleObject18.bin"/><Relationship Id="rId53" Type="http://schemas.openxmlformats.org/officeDocument/2006/relationships/image" Target="media/image19.wmf"/><Relationship Id="rId52" Type="http://schemas.openxmlformats.org/officeDocument/2006/relationships/oleObject" Target="embeddings/oleObject17.bin"/><Relationship Id="rId51" Type="http://schemas.openxmlformats.org/officeDocument/2006/relationships/image" Target="media/image18.wmf"/><Relationship Id="rId50" Type="http://schemas.openxmlformats.org/officeDocument/2006/relationships/oleObject" Target="embeddings/oleObject16.bin"/><Relationship Id="rId5" Type="http://schemas.openxmlformats.org/officeDocument/2006/relationships/footer" Target="footer1.xml"/><Relationship Id="rId49" Type="http://schemas.openxmlformats.org/officeDocument/2006/relationships/image" Target="media/image17.wmf"/><Relationship Id="rId48" Type="http://schemas.openxmlformats.org/officeDocument/2006/relationships/oleObject" Target="embeddings/oleObject15.bin"/><Relationship Id="rId47" Type="http://schemas.openxmlformats.org/officeDocument/2006/relationships/image" Target="media/image16.wmf"/><Relationship Id="rId46" Type="http://schemas.openxmlformats.org/officeDocument/2006/relationships/oleObject" Target="embeddings/oleObject14.bin"/><Relationship Id="rId45" Type="http://schemas.openxmlformats.org/officeDocument/2006/relationships/image" Target="media/image15.png"/><Relationship Id="rId44" Type="http://schemas.openxmlformats.org/officeDocument/2006/relationships/image" Target="media/image14.wmf"/><Relationship Id="rId43" Type="http://schemas.openxmlformats.org/officeDocument/2006/relationships/oleObject" Target="embeddings/oleObject13.bin"/><Relationship Id="rId42" Type="http://schemas.openxmlformats.org/officeDocument/2006/relationships/image" Target="media/image13.wmf"/><Relationship Id="rId41" Type="http://schemas.openxmlformats.org/officeDocument/2006/relationships/oleObject" Target="embeddings/oleObject12.bin"/><Relationship Id="rId40" Type="http://schemas.openxmlformats.org/officeDocument/2006/relationships/image" Target="media/image12.wmf"/><Relationship Id="rId4" Type="http://schemas.openxmlformats.org/officeDocument/2006/relationships/header" Target="header2.xml"/><Relationship Id="rId39" Type="http://schemas.openxmlformats.org/officeDocument/2006/relationships/oleObject" Target="embeddings/oleObject11.bin"/><Relationship Id="rId38" Type="http://schemas.openxmlformats.org/officeDocument/2006/relationships/image" Target="media/image11.wmf"/><Relationship Id="rId37" Type="http://schemas.openxmlformats.org/officeDocument/2006/relationships/oleObject" Target="embeddings/oleObject10.bin"/><Relationship Id="rId36" Type="http://schemas.openxmlformats.org/officeDocument/2006/relationships/image" Target="media/image10.wmf"/><Relationship Id="rId35" Type="http://schemas.openxmlformats.org/officeDocument/2006/relationships/oleObject" Target="embeddings/oleObject9.bin"/><Relationship Id="rId34" Type="http://schemas.openxmlformats.org/officeDocument/2006/relationships/image" Target="media/image9.wmf"/><Relationship Id="rId33" Type="http://schemas.openxmlformats.org/officeDocument/2006/relationships/oleObject" Target="embeddings/oleObject8.bin"/><Relationship Id="rId32" Type="http://schemas.openxmlformats.org/officeDocument/2006/relationships/image" Target="media/image8.wmf"/><Relationship Id="rId31" Type="http://schemas.openxmlformats.org/officeDocument/2006/relationships/oleObject" Target="embeddings/oleObject7.bin"/><Relationship Id="rId30" Type="http://schemas.openxmlformats.org/officeDocument/2006/relationships/image" Target="media/image7.wmf"/><Relationship Id="rId3" Type="http://schemas.openxmlformats.org/officeDocument/2006/relationships/header" Target="header1.xml"/><Relationship Id="rId29" Type="http://schemas.openxmlformats.org/officeDocument/2006/relationships/oleObject" Target="embeddings/oleObject6.bin"/><Relationship Id="rId28" Type="http://schemas.openxmlformats.org/officeDocument/2006/relationships/image" Target="media/image6.wmf"/><Relationship Id="rId27" Type="http://schemas.openxmlformats.org/officeDocument/2006/relationships/oleObject" Target="embeddings/oleObject5.bin"/><Relationship Id="rId26" Type="http://schemas.openxmlformats.org/officeDocument/2006/relationships/image" Target="media/image5.wmf"/><Relationship Id="rId25" Type="http://schemas.openxmlformats.org/officeDocument/2006/relationships/oleObject" Target="embeddings/oleObject4.bin"/><Relationship Id="rId24" Type="http://schemas.openxmlformats.org/officeDocument/2006/relationships/image" Target="media/image4.wmf"/><Relationship Id="rId234" Type="http://schemas.openxmlformats.org/officeDocument/2006/relationships/fontTable" Target="fontTable.xml"/><Relationship Id="rId233" Type="http://schemas.openxmlformats.org/officeDocument/2006/relationships/customXml" Target="../customXml/item1.xml"/><Relationship Id="rId232" Type="http://schemas.openxmlformats.org/officeDocument/2006/relationships/image" Target="media/image130.wmf"/><Relationship Id="rId231" Type="http://schemas.openxmlformats.org/officeDocument/2006/relationships/oleObject" Target="embeddings/oleObject85.bin"/><Relationship Id="rId230" Type="http://schemas.openxmlformats.org/officeDocument/2006/relationships/image" Target="media/image129.wmf"/><Relationship Id="rId23" Type="http://schemas.openxmlformats.org/officeDocument/2006/relationships/oleObject" Target="embeddings/oleObject3.bin"/><Relationship Id="rId229" Type="http://schemas.openxmlformats.org/officeDocument/2006/relationships/oleObject" Target="embeddings/oleObject84.bin"/><Relationship Id="rId228" Type="http://schemas.openxmlformats.org/officeDocument/2006/relationships/image" Target="media/image128.wmf"/><Relationship Id="rId227" Type="http://schemas.openxmlformats.org/officeDocument/2006/relationships/oleObject" Target="embeddings/oleObject83.bin"/><Relationship Id="rId226" Type="http://schemas.openxmlformats.org/officeDocument/2006/relationships/image" Target="media/image127.wmf"/><Relationship Id="rId225" Type="http://schemas.openxmlformats.org/officeDocument/2006/relationships/oleObject" Target="embeddings/oleObject82.bin"/><Relationship Id="rId224" Type="http://schemas.openxmlformats.org/officeDocument/2006/relationships/image" Target="media/image126.wmf"/><Relationship Id="rId223" Type="http://schemas.openxmlformats.org/officeDocument/2006/relationships/oleObject" Target="embeddings/oleObject81.bin"/><Relationship Id="rId222" Type="http://schemas.openxmlformats.org/officeDocument/2006/relationships/image" Target="media/image125.wmf"/><Relationship Id="rId221" Type="http://schemas.openxmlformats.org/officeDocument/2006/relationships/oleObject" Target="embeddings/oleObject80.bin"/><Relationship Id="rId220" Type="http://schemas.openxmlformats.org/officeDocument/2006/relationships/image" Target="media/image124.wmf"/><Relationship Id="rId22" Type="http://schemas.openxmlformats.org/officeDocument/2006/relationships/image" Target="media/image3.wmf"/><Relationship Id="rId219" Type="http://schemas.openxmlformats.org/officeDocument/2006/relationships/oleObject" Target="embeddings/oleObject79.bin"/><Relationship Id="rId218" Type="http://schemas.openxmlformats.org/officeDocument/2006/relationships/image" Target="media/image123.wmf"/><Relationship Id="rId217" Type="http://schemas.openxmlformats.org/officeDocument/2006/relationships/oleObject" Target="embeddings/oleObject78.bin"/><Relationship Id="rId216" Type="http://schemas.openxmlformats.org/officeDocument/2006/relationships/image" Target="media/image122.wmf"/><Relationship Id="rId215" Type="http://schemas.openxmlformats.org/officeDocument/2006/relationships/oleObject" Target="embeddings/oleObject77.bin"/><Relationship Id="rId214" Type="http://schemas.openxmlformats.org/officeDocument/2006/relationships/image" Target="media/image121.wmf"/><Relationship Id="rId213" Type="http://schemas.openxmlformats.org/officeDocument/2006/relationships/oleObject" Target="embeddings/oleObject76.bin"/><Relationship Id="rId212" Type="http://schemas.openxmlformats.org/officeDocument/2006/relationships/image" Target="media/image120.wmf"/><Relationship Id="rId211" Type="http://schemas.openxmlformats.org/officeDocument/2006/relationships/oleObject" Target="embeddings/oleObject75.bin"/><Relationship Id="rId210" Type="http://schemas.openxmlformats.org/officeDocument/2006/relationships/image" Target="media/image119.jpeg"/><Relationship Id="rId21" Type="http://schemas.openxmlformats.org/officeDocument/2006/relationships/oleObject" Target="embeddings/oleObject2.bin"/><Relationship Id="rId209" Type="http://schemas.openxmlformats.org/officeDocument/2006/relationships/image" Target="media/image118.png"/><Relationship Id="rId208" Type="http://schemas.openxmlformats.org/officeDocument/2006/relationships/image" Target="media/image117.jpeg"/><Relationship Id="rId207" Type="http://schemas.openxmlformats.org/officeDocument/2006/relationships/image" Target="media/image116.wmf"/><Relationship Id="rId206" Type="http://schemas.openxmlformats.org/officeDocument/2006/relationships/oleObject" Target="embeddings/oleObject74.bin"/><Relationship Id="rId205" Type="http://schemas.openxmlformats.org/officeDocument/2006/relationships/image" Target="media/image115.wmf"/><Relationship Id="rId204" Type="http://schemas.openxmlformats.org/officeDocument/2006/relationships/oleObject" Target="embeddings/oleObject73.bin"/><Relationship Id="rId203" Type="http://schemas.openxmlformats.org/officeDocument/2006/relationships/image" Target="media/image114.jpeg"/><Relationship Id="rId202" Type="http://schemas.openxmlformats.org/officeDocument/2006/relationships/image" Target="media/image113.wmf"/><Relationship Id="rId201" Type="http://schemas.openxmlformats.org/officeDocument/2006/relationships/oleObject" Target="embeddings/oleObject72.bin"/><Relationship Id="rId200" Type="http://schemas.openxmlformats.org/officeDocument/2006/relationships/image" Target="media/image112.wmf"/><Relationship Id="rId20" Type="http://schemas.openxmlformats.org/officeDocument/2006/relationships/image" Target="media/image2.png"/><Relationship Id="rId2" Type="http://schemas.openxmlformats.org/officeDocument/2006/relationships/settings" Target="settings.xml"/><Relationship Id="rId199" Type="http://schemas.openxmlformats.org/officeDocument/2006/relationships/oleObject" Target="embeddings/oleObject71.bin"/><Relationship Id="rId198" Type="http://schemas.openxmlformats.org/officeDocument/2006/relationships/image" Target="media/image111.wmf"/><Relationship Id="rId197" Type="http://schemas.openxmlformats.org/officeDocument/2006/relationships/oleObject" Target="embeddings/oleObject70.bin"/><Relationship Id="rId196" Type="http://schemas.openxmlformats.org/officeDocument/2006/relationships/image" Target="media/image110.wmf"/><Relationship Id="rId195" Type="http://schemas.openxmlformats.org/officeDocument/2006/relationships/image" Target="media/image109.wmf"/><Relationship Id="rId194" Type="http://schemas.openxmlformats.org/officeDocument/2006/relationships/image" Target="media/image108.wmf"/><Relationship Id="rId193" Type="http://schemas.openxmlformats.org/officeDocument/2006/relationships/image" Target="media/image107.wmf"/><Relationship Id="rId192" Type="http://schemas.openxmlformats.org/officeDocument/2006/relationships/image" Target="media/image106.wmf"/><Relationship Id="rId191" Type="http://schemas.openxmlformats.org/officeDocument/2006/relationships/image" Target="media/image105.wmf"/><Relationship Id="rId190" Type="http://schemas.openxmlformats.org/officeDocument/2006/relationships/image" Target="media/image104.wmf"/><Relationship Id="rId19" Type="http://schemas.openxmlformats.org/officeDocument/2006/relationships/oleObject" Target="embeddings/oleObject1.bin"/><Relationship Id="rId189" Type="http://schemas.openxmlformats.org/officeDocument/2006/relationships/image" Target="media/image103.wmf"/><Relationship Id="rId188" Type="http://schemas.openxmlformats.org/officeDocument/2006/relationships/image" Target="media/image102.emf"/><Relationship Id="rId187" Type="http://schemas.openxmlformats.org/officeDocument/2006/relationships/image" Target="media/image101.wmf"/><Relationship Id="rId186" Type="http://schemas.openxmlformats.org/officeDocument/2006/relationships/image" Target="media/image100.wmf"/><Relationship Id="rId185" Type="http://schemas.openxmlformats.org/officeDocument/2006/relationships/image" Target="media/image99.wmf"/><Relationship Id="rId184" Type="http://schemas.openxmlformats.org/officeDocument/2006/relationships/image" Target="media/image98.wmf"/><Relationship Id="rId183" Type="http://schemas.openxmlformats.org/officeDocument/2006/relationships/oleObject" Target="embeddings/oleObject69.bin"/><Relationship Id="rId182" Type="http://schemas.openxmlformats.org/officeDocument/2006/relationships/image" Target="media/image97.wmf"/><Relationship Id="rId181" Type="http://schemas.openxmlformats.org/officeDocument/2006/relationships/oleObject" Target="embeddings/oleObject68.bin"/><Relationship Id="rId180" Type="http://schemas.openxmlformats.org/officeDocument/2006/relationships/image" Target="media/image96.wmf"/><Relationship Id="rId18" Type="http://schemas.openxmlformats.org/officeDocument/2006/relationships/image" Target="media/image1.png"/><Relationship Id="rId179" Type="http://schemas.openxmlformats.org/officeDocument/2006/relationships/oleObject" Target="embeddings/oleObject67.bin"/><Relationship Id="rId178" Type="http://schemas.openxmlformats.org/officeDocument/2006/relationships/image" Target="media/image95.wmf"/><Relationship Id="rId177" Type="http://schemas.openxmlformats.org/officeDocument/2006/relationships/oleObject" Target="embeddings/oleObject66.bin"/><Relationship Id="rId176" Type="http://schemas.openxmlformats.org/officeDocument/2006/relationships/image" Target="media/image94.wmf"/><Relationship Id="rId175" Type="http://schemas.openxmlformats.org/officeDocument/2006/relationships/oleObject" Target="embeddings/oleObject65.bin"/><Relationship Id="rId174" Type="http://schemas.openxmlformats.org/officeDocument/2006/relationships/image" Target="media/image93.wmf"/><Relationship Id="rId173" Type="http://schemas.openxmlformats.org/officeDocument/2006/relationships/oleObject" Target="embeddings/oleObject64.bin"/><Relationship Id="rId172" Type="http://schemas.openxmlformats.org/officeDocument/2006/relationships/image" Target="media/image92.wmf"/><Relationship Id="rId171" Type="http://schemas.openxmlformats.org/officeDocument/2006/relationships/oleObject" Target="embeddings/oleObject63.bin"/><Relationship Id="rId170" Type="http://schemas.openxmlformats.org/officeDocument/2006/relationships/image" Target="media/image91.wmf"/><Relationship Id="rId17" Type="http://schemas.openxmlformats.org/officeDocument/2006/relationships/theme" Target="theme/theme1.xml"/><Relationship Id="rId169" Type="http://schemas.openxmlformats.org/officeDocument/2006/relationships/oleObject" Target="embeddings/oleObject62.bin"/><Relationship Id="rId168" Type="http://schemas.openxmlformats.org/officeDocument/2006/relationships/image" Target="media/image90.wmf"/><Relationship Id="rId167" Type="http://schemas.openxmlformats.org/officeDocument/2006/relationships/oleObject" Target="embeddings/oleObject61.bin"/><Relationship Id="rId166" Type="http://schemas.openxmlformats.org/officeDocument/2006/relationships/image" Target="media/image89.wmf"/><Relationship Id="rId165" Type="http://schemas.openxmlformats.org/officeDocument/2006/relationships/oleObject" Target="embeddings/oleObject60.bin"/><Relationship Id="rId164" Type="http://schemas.openxmlformats.org/officeDocument/2006/relationships/image" Target="media/image88.wmf"/><Relationship Id="rId163" Type="http://schemas.openxmlformats.org/officeDocument/2006/relationships/oleObject" Target="embeddings/oleObject59.bin"/><Relationship Id="rId162" Type="http://schemas.openxmlformats.org/officeDocument/2006/relationships/image" Target="media/image87.wmf"/><Relationship Id="rId161" Type="http://schemas.openxmlformats.org/officeDocument/2006/relationships/oleObject" Target="embeddings/oleObject58.bin"/><Relationship Id="rId160" Type="http://schemas.openxmlformats.org/officeDocument/2006/relationships/image" Target="media/image86.wmf"/><Relationship Id="rId16" Type="http://schemas.openxmlformats.org/officeDocument/2006/relationships/footer" Target="footer11.xml"/><Relationship Id="rId159" Type="http://schemas.openxmlformats.org/officeDocument/2006/relationships/oleObject" Target="embeddings/oleObject57.bin"/><Relationship Id="rId158" Type="http://schemas.openxmlformats.org/officeDocument/2006/relationships/image" Target="media/image85.wmf"/><Relationship Id="rId157" Type="http://schemas.openxmlformats.org/officeDocument/2006/relationships/oleObject" Target="embeddings/oleObject56.bin"/><Relationship Id="rId156" Type="http://schemas.openxmlformats.org/officeDocument/2006/relationships/image" Target="media/image84.wmf"/><Relationship Id="rId155" Type="http://schemas.openxmlformats.org/officeDocument/2006/relationships/oleObject" Target="embeddings/oleObject55.bin"/><Relationship Id="rId154" Type="http://schemas.openxmlformats.org/officeDocument/2006/relationships/image" Target="media/image83.wmf"/><Relationship Id="rId153" Type="http://schemas.openxmlformats.org/officeDocument/2006/relationships/oleObject" Target="embeddings/oleObject54.bin"/><Relationship Id="rId152" Type="http://schemas.openxmlformats.org/officeDocument/2006/relationships/image" Target="media/image82.wmf"/><Relationship Id="rId151" Type="http://schemas.openxmlformats.org/officeDocument/2006/relationships/oleObject" Target="embeddings/oleObject53.bin"/><Relationship Id="rId150" Type="http://schemas.openxmlformats.org/officeDocument/2006/relationships/image" Target="media/image81.wmf"/><Relationship Id="rId15" Type="http://schemas.openxmlformats.org/officeDocument/2006/relationships/footer" Target="footer10.xml"/><Relationship Id="rId149" Type="http://schemas.openxmlformats.org/officeDocument/2006/relationships/oleObject" Target="embeddings/oleObject52.bin"/><Relationship Id="rId148" Type="http://schemas.openxmlformats.org/officeDocument/2006/relationships/image" Target="media/image80.wmf"/><Relationship Id="rId147" Type="http://schemas.openxmlformats.org/officeDocument/2006/relationships/oleObject" Target="embeddings/oleObject51.bin"/><Relationship Id="rId146" Type="http://schemas.openxmlformats.org/officeDocument/2006/relationships/image" Target="media/image79.wmf"/><Relationship Id="rId145" Type="http://schemas.openxmlformats.org/officeDocument/2006/relationships/oleObject" Target="embeddings/oleObject50.bin"/><Relationship Id="rId144" Type="http://schemas.openxmlformats.org/officeDocument/2006/relationships/image" Target="media/image78.wmf"/><Relationship Id="rId143" Type="http://schemas.openxmlformats.org/officeDocument/2006/relationships/oleObject" Target="embeddings/oleObject49.bin"/><Relationship Id="rId142" Type="http://schemas.openxmlformats.org/officeDocument/2006/relationships/image" Target="media/image77.wmf"/><Relationship Id="rId141" Type="http://schemas.openxmlformats.org/officeDocument/2006/relationships/oleObject" Target="embeddings/oleObject48.bin"/><Relationship Id="rId140" Type="http://schemas.openxmlformats.org/officeDocument/2006/relationships/image" Target="media/image76.wmf"/><Relationship Id="rId14" Type="http://schemas.openxmlformats.org/officeDocument/2006/relationships/footer" Target="footer9.xml"/><Relationship Id="rId139" Type="http://schemas.openxmlformats.org/officeDocument/2006/relationships/oleObject" Target="embeddings/oleObject47.bin"/><Relationship Id="rId138" Type="http://schemas.openxmlformats.org/officeDocument/2006/relationships/image" Target="media/image75.png"/><Relationship Id="rId137" Type="http://schemas.openxmlformats.org/officeDocument/2006/relationships/image" Target="media/image74.wmf"/><Relationship Id="rId136" Type="http://schemas.openxmlformats.org/officeDocument/2006/relationships/image" Target="media/image73.wmf"/><Relationship Id="rId135" Type="http://schemas.openxmlformats.org/officeDocument/2006/relationships/image" Target="media/image72.png"/><Relationship Id="rId134" Type="http://schemas.openxmlformats.org/officeDocument/2006/relationships/image" Target="media/image71.png"/><Relationship Id="rId133" Type="http://schemas.openxmlformats.org/officeDocument/2006/relationships/image" Target="media/image70.wmf"/><Relationship Id="rId132" Type="http://schemas.openxmlformats.org/officeDocument/2006/relationships/image" Target="../NULL"/><Relationship Id="rId131" Type="http://schemas.openxmlformats.org/officeDocument/2006/relationships/image" Target="media/image68.png"/><Relationship Id="rId130" Type="http://schemas.openxmlformats.org/officeDocument/2006/relationships/image" Target="media/image67.wmf"/><Relationship Id="rId13" Type="http://schemas.openxmlformats.org/officeDocument/2006/relationships/footer" Target="footer8.xml"/><Relationship Id="rId129" Type="http://schemas.openxmlformats.org/officeDocument/2006/relationships/image" Target="media/image66.png"/><Relationship Id="rId128" Type="http://schemas.openxmlformats.org/officeDocument/2006/relationships/image" Target="media/image65.wmf"/><Relationship Id="rId127" Type="http://schemas.openxmlformats.org/officeDocument/2006/relationships/image" Target="media/image64.jpeg"/><Relationship Id="rId126" Type="http://schemas.openxmlformats.org/officeDocument/2006/relationships/image" Target="media/image63.wmf"/><Relationship Id="rId125" Type="http://schemas.openxmlformats.org/officeDocument/2006/relationships/oleObject" Target="embeddings/oleObject46.bin"/><Relationship Id="rId124" Type="http://schemas.openxmlformats.org/officeDocument/2006/relationships/image" Target="media/image62.png"/><Relationship Id="rId123" Type="http://schemas.openxmlformats.org/officeDocument/2006/relationships/image" Target="media/image61.png"/><Relationship Id="rId122" Type="http://schemas.openxmlformats.org/officeDocument/2006/relationships/image" Target="media/image60.wmf"/><Relationship Id="rId121" Type="http://schemas.openxmlformats.org/officeDocument/2006/relationships/oleObject" Target="embeddings/oleObject45.bin"/><Relationship Id="rId120" Type="http://schemas.openxmlformats.org/officeDocument/2006/relationships/image" Target="media/image59.emf"/><Relationship Id="rId12" Type="http://schemas.openxmlformats.org/officeDocument/2006/relationships/footer" Target="footer7.xml"/><Relationship Id="rId119" Type="http://schemas.openxmlformats.org/officeDocument/2006/relationships/image" Target="media/image58.emf"/><Relationship Id="rId118" Type="http://schemas.openxmlformats.org/officeDocument/2006/relationships/image" Target="media/image57.wmf"/><Relationship Id="rId117" Type="http://schemas.openxmlformats.org/officeDocument/2006/relationships/image" Target="media/image56.png"/><Relationship Id="rId116" Type="http://schemas.openxmlformats.org/officeDocument/2006/relationships/image" Target="media/image55.wmf"/><Relationship Id="rId115" Type="http://schemas.openxmlformats.org/officeDocument/2006/relationships/oleObject" Target="embeddings/oleObject44.bin"/><Relationship Id="rId114" Type="http://schemas.openxmlformats.org/officeDocument/2006/relationships/image" Target="media/image54.wmf"/><Relationship Id="rId113" Type="http://schemas.openxmlformats.org/officeDocument/2006/relationships/image" Target="media/image53.wmf"/><Relationship Id="rId112" Type="http://schemas.openxmlformats.org/officeDocument/2006/relationships/oleObject" Target="embeddings/oleObject43.bin"/><Relationship Id="rId111" Type="http://schemas.openxmlformats.org/officeDocument/2006/relationships/image" Target="media/image52.wmf"/><Relationship Id="rId110" Type="http://schemas.openxmlformats.org/officeDocument/2006/relationships/oleObject" Target="embeddings/oleObject42.bin"/><Relationship Id="rId11" Type="http://schemas.openxmlformats.org/officeDocument/2006/relationships/footer" Target="footer6.xml"/><Relationship Id="rId109" Type="http://schemas.openxmlformats.org/officeDocument/2006/relationships/image" Target="media/image51.wmf"/><Relationship Id="rId108" Type="http://schemas.openxmlformats.org/officeDocument/2006/relationships/oleObject" Target="embeddings/oleObject41.bin"/><Relationship Id="rId107" Type="http://schemas.openxmlformats.org/officeDocument/2006/relationships/image" Target="media/image50.wmf"/><Relationship Id="rId106" Type="http://schemas.openxmlformats.org/officeDocument/2006/relationships/oleObject" Target="embeddings/oleObject40.bin"/><Relationship Id="rId105" Type="http://schemas.openxmlformats.org/officeDocument/2006/relationships/image" Target="media/image49.wmf"/><Relationship Id="rId104" Type="http://schemas.openxmlformats.org/officeDocument/2006/relationships/oleObject" Target="embeddings/oleObject39.bin"/><Relationship Id="rId103" Type="http://schemas.openxmlformats.org/officeDocument/2006/relationships/image" Target="media/image48.wmf"/><Relationship Id="rId102" Type="http://schemas.openxmlformats.org/officeDocument/2006/relationships/image" Target="media/image47.wmf"/><Relationship Id="rId101" Type="http://schemas.openxmlformats.org/officeDocument/2006/relationships/oleObject" Target="embeddings/oleObject38.bin"/><Relationship Id="rId100" Type="http://schemas.openxmlformats.org/officeDocument/2006/relationships/image" Target="media/image46.wmf"/><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Info spid="_x0000_s1153"/>
    <customShpInfo spid="_x0000_s1144"/>
    <customShpInfo spid="_x0000_s1145"/>
    <customShpInfo spid="_x0000_s1146"/>
    <customShpInfo spid="_x0000_s114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117</Pages>
  <Words>5183</Words>
  <Characters>5818</Characters>
  <Lines>1098</Lines>
  <Paragraphs>309</Paragraphs>
  <TotalTime>14</TotalTime>
  <ScaleCrop>false</ScaleCrop>
  <LinksUpToDate>false</LinksUpToDate>
  <CharactersWithSpaces>6236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2026-03-24T08:29:00Z</dcterms:created>
  <dc:creator>张帆</dc:creator>
  <cp:lastModifiedBy>高小明元气满满</cp:lastModifiedBy>
  <dcterms:modified xsi:type="dcterms:W3CDTF">2026-07-16T09:26:28Z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A6000D90117F461495C2149E5E838C94_13</vt:lpwstr>
  </property>
  <property fmtid="{D5CDD505-2E9C-101B-9397-08002B2CF9AE}" pid="4" name="KSOTemplateDocerSaveRecord">
    <vt:lpwstr>eyJoZGlkIjoiNjFjZmE3MTk0OTliYmQxZDQ5OWM5MTNmZWNkN2JlMDciLCJ1c2VySWQiOiIyMzk0ODExMDcifQ==</vt:lpwstr>
  </property>
</Properties>
</file>